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International Recovery Corporation</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460242100</w:t>
      </w:r>
    </w:p>
    <w:p>
      <w:pPr>
        <w:spacing w:after="0"/>
        <w:rPr>
          <w:sz w:val="20"/>
          <w:szCs w:val="20"/>
          <w:color w:val="auto"/>
        </w:rPr>
      </w:pPr>
      <w:r>
        <w:rPr>
          <w:rFonts w:ascii="Courier New" w:cs="Courier New" w:eastAsia="Courier New" w:hAnsi="Courier New"/>
          <w:sz w:val="18"/>
          <w:szCs w:val="18"/>
          <w:color w:val="auto"/>
        </w:rPr>
        <w:t>Filing Fee: No</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460242100</w:t>
      </w:r>
    </w:p>
    <w:p>
      <w:pPr>
        <w:sectPr>
          <w:pgSz w:w="11900" w:h="16838" w:orient="portrait"/>
          <w:cols w:equalWidth="0" w:num="1">
            <w:col w:w="10219"/>
          </w:cols>
          <w:pgMar w:left="240" w:top="623" w:right="1440" w:bottom="0" w:gutter="0" w:footer="0" w:header="0"/>
        </w:sectPr>
      </w:pPr>
    </w:p>
    <w:p>
      <w:pPr>
        <w:spacing w:after="0" w:line="2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48,200</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448,200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448,200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9.54%</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781" w:lineRule="exact"/>
        <w:rPr>
          <w:sz w:val="24"/>
          <w:szCs w:val="24"/>
          <w:color w:val="auto"/>
        </w:rPr>
      </w:pPr>
    </w:p>
    <w:p>
      <w:pPr>
        <w:sectPr>
          <w:pgSz w:w="11900" w:h="16838" w:orient="portrait"/>
          <w:cols w:equalWidth="0" w:num="2">
            <w:col w:w="5160" w:space="220"/>
            <w:col w:w="4839"/>
          </w:cols>
          <w:pgMar w:left="240" w:top="623" w:right="1440" w:bottom="0" w:gutter="0" w:footer="0" w:header="0"/>
          <w:type w:val="continuous"/>
        </w:sect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 460242100</w:t>
      </w:r>
    </w:p>
    <w:p>
      <w:pPr>
        <w:sectPr>
          <w:pgSz w:w="11900" w:h="16838" w:orient="portrait"/>
          <w:cols w:equalWidth="0" w:num="1">
            <w:col w:w="10219"/>
          </w:cols>
          <w:pgMar w:left="240" w:top="623" w:right="1440" w:bottom="0" w:gutter="0" w:footer="0" w:header="0"/>
          <w:type w:val="continuous"/>
        </w:sectPr>
      </w:pPr>
    </w:p>
    <w:p>
      <w:pPr>
        <w:spacing w:after="0" w:line="52"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448,200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448,200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9.54%</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81" w:lineRule="exact"/>
        <w:rPr>
          <w:sz w:val="24"/>
          <w:szCs w:val="24"/>
          <w:color w:val="auto"/>
        </w:rPr>
      </w:pPr>
    </w:p>
    <w:p>
      <w:pPr>
        <w:sectPr>
          <w:pgSz w:w="11900" w:h="16838" w:orient="portrait"/>
          <w:cols w:equalWidth="0" w:num="2">
            <w:col w:w="6320" w:space="220"/>
            <w:col w:w="3679"/>
          </w:cols>
          <w:pgMar w:left="240" w:top="623" w:right="1440" w:bottom="0" w:gutter="0" w:footer="0" w:header="0"/>
          <w:type w:val="continuous"/>
        </w:sect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37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International Recovery Corporation</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700 S. Royal Poinciana Blvd., Suite 800</w:t>
      </w:r>
    </w:p>
    <w:p>
      <w:pPr>
        <w:spacing w:after="0" w:line="3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Miami Springs, FL</w:t>
      </w:r>
    </w:p>
    <w:p>
      <w:pPr>
        <w:spacing w:after="0" w:line="169"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460242100</w:t>
      </w:r>
    </w:p>
    <w:p>
      <w:pPr>
        <w:spacing w:after="0" w:line="201" w:lineRule="exact"/>
        <w:rPr>
          <w:sz w:val="24"/>
          <w:szCs w:val="24"/>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6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4"/>
          <w:szCs w:val="24"/>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448,200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9.54%</w:t>
      </w:r>
    </w:p>
    <w:p>
      <w:pPr>
        <w:sectPr>
          <w:pgSz w:w="11900" w:h="16838" w:orient="portrait"/>
          <w:cols w:equalWidth="0" w:num="1">
            <w:col w:w="10219"/>
          </w:cols>
          <w:pgMar w:left="240" w:top="623" w:right="1440" w:bottom="0" w:gutter="0" w:footer="0" w:header="0"/>
          <w:type w:val="continuous"/>
        </w:sectPr>
      </w:pPr>
    </w:p>
    <w:bookmarkStart w:id="1" w:name="page2"/>
    <w:bookmarkEnd w:id="1"/>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48,200</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w:t>
      </w:r>
    </w:p>
    <w:p>
      <w:pPr>
        <w:spacing w:after="0" w:line="53"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448,200</w:t>
      </w:r>
    </w:p>
    <w:p>
      <w:pPr>
        <w:spacing w:after="0" w:line="169" w:lineRule="exact"/>
        <w:rPr>
          <w:rFonts w:ascii="Courier New" w:cs="Courier New" w:eastAsia="Courier New" w:hAnsi="Courier New"/>
          <w:sz w:val="16"/>
          <w:szCs w:val="16"/>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None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3259" w:firstLine="948"/>
        <w:spacing w:after="0" w:line="25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w:t>
      </w:r>
    </w:p>
    <w:p>
      <w:pPr>
        <w:ind w:right="4099"/>
        <w:spacing w:after="0" w:line="250" w:lineRule="auto"/>
        <w:rPr>
          <w:sz w:val="20"/>
          <w:szCs w:val="20"/>
          <w:color w:val="auto"/>
        </w:rPr>
      </w:pPr>
      <w:r>
        <w:rPr>
          <w:rFonts w:ascii="Courier New" w:cs="Courier New" w:eastAsia="Courier New" w:hAnsi="Courier New"/>
          <w:sz w:val="18"/>
          <w:szCs w:val="18"/>
          <w:color w:val="auto"/>
        </w:rPr>
        <w:t>the sale of, the common stock of International Recovery Corporation. The interest of one person, Fidelity Low-Priced Stock Fund, an investment company registered under the Investment Company Act of 1940, in the common stock of International Recovery Corporation, amounted to 345,000 shares or 7.34% of the total outstanding common stock at December 31, 1993.</w:t>
      </w:r>
    </w:p>
    <w:p>
      <w:pPr>
        <w:spacing w:after="0" w:line="102"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519" w:firstLine="948"/>
        <w:spacing w:after="0" w:line="25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w:t>
      </w:r>
    </w:p>
    <w:p>
      <w:pPr>
        <w:ind w:right="3259"/>
        <w:spacing w:after="0" w:line="256" w:lineRule="auto"/>
        <w:rPr>
          <w:sz w:val="20"/>
          <w:szCs w:val="20"/>
          <w:color w:val="auto"/>
        </w:rPr>
      </w:pPr>
      <w:r>
        <w:rPr>
          <w:rFonts w:ascii="Courier New" w:cs="Courier New" w:eastAsia="Courier New" w:hAnsi="Courier New"/>
          <w:sz w:val="18"/>
          <w:szCs w:val="18"/>
          <w:color w:val="auto"/>
        </w:rPr>
        <w:t>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93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/S/Arthur S. Loring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Arthur S. Loring,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312" w:right="1440" w:bottom="361"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ind w:right="2319" w:firstLine="421"/>
        <w:spacing w:after="0" w:line="289"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400,000 shares or 8.51% of the common stock outstanding of International Recovery Corporation ("the Company") as a result of acting as investment adviser to several investment companies registered under Section 8 of the Investment Company Act of 1940.</w:t>
      </w:r>
    </w:p>
    <w:p>
      <w:pPr>
        <w:spacing w:after="0" w:line="77" w:lineRule="exact"/>
        <w:rPr>
          <w:sz w:val="20"/>
          <w:szCs w:val="20"/>
          <w:color w:val="auto"/>
        </w:rPr>
      </w:pPr>
    </w:p>
    <w:p>
      <w:pPr>
        <w:ind w:right="2419" w:firstLine="421"/>
        <w:spacing w:after="0" w:line="274"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345,000 shares or 7.34% of the common stock outstanding. Fidelity Low-Priced Stock Fund has its principal business office at 82 Devonshire Street, Boston, Massachusetts 02109.</w:t>
      </w:r>
    </w:p>
    <w:p>
      <w:pPr>
        <w:spacing w:after="0" w:line="82" w:lineRule="exact"/>
        <w:rPr>
          <w:sz w:val="20"/>
          <w:szCs w:val="20"/>
          <w:color w:val="auto"/>
        </w:rPr>
      </w:pPr>
    </w:p>
    <w:p>
      <w:pPr>
        <w:ind w:right="2319" w:firstLine="421"/>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400,000 shares owned by the Funds.</w:t>
      </w:r>
    </w:p>
    <w:p>
      <w:pPr>
        <w:spacing w:after="0" w:line="66" w:lineRule="exact"/>
        <w:rPr>
          <w:sz w:val="20"/>
          <w:szCs w:val="20"/>
          <w:color w:val="auto"/>
        </w:rPr>
      </w:pPr>
    </w:p>
    <w:p>
      <w:pPr>
        <w:ind w:right="2419" w:firstLine="421"/>
        <w:spacing w:after="0" w:line="265"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90" w:lineRule="exact"/>
        <w:rPr>
          <w:sz w:val="20"/>
          <w:szCs w:val="20"/>
          <w:color w:val="auto"/>
        </w:rPr>
      </w:pPr>
    </w:p>
    <w:p>
      <w:pPr>
        <w:ind w:right="2419" w:firstLine="421"/>
        <w:spacing w:after="0" w:line="260"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48,200 shares or 1.03% of the common stock outstanding of the company as a result of its serving as investment manager of the institutional account(s).</w:t>
      </w:r>
    </w:p>
    <w:p>
      <w:pPr>
        <w:spacing w:after="0" w:line="93" w:lineRule="exact"/>
        <w:rPr>
          <w:sz w:val="20"/>
          <w:szCs w:val="20"/>
          <w:color w:val="auto"/>
        </w:rPr>
      </w:pPr>
    </w:p>
    <w:p>
      <w:pPr>
        <w:jc w:val="both"/>
        <w:ind w:right="2619" w:firstLine="421"/>
        <w:spacing w:after="0" w:line="292"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voting and dispositive power over 48,200 Shares of common stock owned by the institutional account(s) as reported above.</w:t>
      </w:r>
    </w:p>
    <w:p>
      <w:pPr>
        <w:spacing w:after="0" w:line="66" w:lineRule="exact"/>
        <w:rPr>
          <w:sz w:val="20"/>
          <w:szCs w:val="20"/>
          <w:color w:val="auto"/>
        </w:rPr>
      </w:pPr>
    </w:p>
    <w:p>
      <w:pPr>
        <w:ind w:right="2319" w:firstLine="421"/>
        <w:spacing w:after="0" w:line="260"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1" w:lineRule="exact"/>
        <w:rPr>
          <w:sz w:val="20"/>
          <w:szCs w:val="20"/>
          <w:color w:val="auto"/>
        </w:rPr>
      </w:pPr>
    </w:p>
    <w:p>
      <w:pPr>
        <w:ind w:right="2619" w:firstLine="421"/>
        <w:spacing w:after="0" w:line="274" w:lineRule="auto"/>
        <w:rPr>
          <w:sz w:val="20"/>
          <w:szCs w:val="20"/>
          <w:color w:val="auto"/>
        </w:rPr>
      </w:pPr>
      <w:r>
        <w:rPr>
          <w:rFonts w:ascii="Courier New" w:cs="Courier New" w:eastAsia="Courier New" w:hAnsi="Courier New"/>
          <w:sz w:val="18"/>
          <w:szCs w:val="18"/>
          <w:color w:val="auto"/>
        </w:rPr>
        <w:t>The undersigned persons, on February 11, 1994, agree and consent to the joint filing on their behalf of this Schedule 13G in connection with their beneficial ownership of the common stock of International Recovery Corporation at December 31, 1993.</w:t>
      </w:r>
    </w:p>
    <w:p>
      <w:pPr>
        <w:spacing w:after="0" w:line="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tbl>
      <w:tblPr>
        <w:tblLayout w:type="fixed"/>
        <w:tblInd w:w="0" w:type="dxa"/>
        <w:tblCellMar>
          <w:top w:w="0" w:type="dxa"/>
          <w:left w:w="0" w:type="dxa"/>
          <w:bottom w:w="0" w:type="dxa"/>
          <w:right w:w="0" w:type="dxa"/>
        </w:tblCellMar>
      </w:tblPr>
      <w:tr>
        <w:trPr>
          <w:trHeight w:val="201"/>
        </w:trPr>
        <w:tc>
          <w:tcPr>
            <w:tcW w:w="800" w:type="dxa"/>
            <w:vAlign w:val="bottom"/>
          </w:tcPr>
          <w:p>
            <w:pPr>
              <w:ind w:left="420"/>
              <w:spacing w:after="0" w:line="201" w:lineRule="exact"/>
              <w:rPr>
                <w:sz w:val="20"/>
                <w:szCs w:val="20"/>
                <w:color w:val="auto"/>
              </w:rPr>
            </w:pPr>
            <w:r>
              <w:rPr>
                <w:rFonts w:ascii="Courier New" w:cs="Courier New" w:eastAsia="Courier New" w:hAnsi="Courier New"/>
                <w:sz w:val="18"/>
                <w:szCs w:val="18"/>
                <w:color w:val="auto"/>
              </w:rPr>
              <w:t>By</w:t>
            </w:r>
          </w:p>
        </w:tc>
        <w:tc>
          <w:tcPr>
            <w:tcW w:w="2260" w:type="dxa"/>
            <w:vAlign w:val="bottom"/>
          </w:tcPr>
          <w:p>
            <w:pPr>
              <w:ind w:left="160"/>
              <w:spacing w:after="0" w:line="201" w:lineRule="exact"/>
              <w:rPr>
                <w:sz w:val="20"/>
                <w:szCs w:val="20"/>
                <w:color w:val="auto"/>
              </w:rPr>
            </w:pPr>
            <w:r>
              <w:rPr>
                <w:rFonts w:ascii="Courier New" w:cs="Courier New" w:eastAsia="Courier New" w:hAnsi="Courier New"/>
                <w:sz w:val="18"/>
                <w:szCs w:val="18"/>
                <w:color w:val="auto"/>
              </w:rPr>
              <w:t>/S/Arthur S. Loring</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Arthur S. Loring</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Vice President - Legal</w:t>
            </w:r>
          </w:p>
        </w:tc>
        <w:tc>
          <w:tcPr>
            <w:tcW w:w="0" w:type="dxa"/>
            <w:vAlign w:val="bottom"/>
          </w:tcPr>
          <w:p>
            <w:pPr>
              <w:spacing w:after="0"/>
              <w:rPr>
                <w:sz w:val="1"/>
                <w:szCs w:val="1"/>
                <w:color w:val="auto"/>
              </w:rPr>
            </w:pPr>
          </w:p>
        </w:tc>
      </w:tr>
      <w:tr>
        <w:trPr>
          <w:trHeight w:val="203"/>
        </w:trPr>
        <w:tc>
          <w:tcPr>
            <w:tcW w:w="8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By</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Edward C. Johnson 3d</w:t>
            </w:r>
          </w:p>
        </w:tc>
        <w:tc>
          <w:tcPr>
            <w:tcW w:w="0" w:type="dxa"/>
            <w:vAlign w:val="bottom"/>
          </w:tcPr>
          <w:p>
            <w:pPr>
              <w:spacing w:after="0"/>
              <w:rPr>
                <w:sz w:val="1"/>
                <w:szCs w:val="1"/>
                <w:color w:val="auto"/>
              </w:rPr>
            </w:pPr>
          </w:p>
        </w:tc>
      </w:tr>
      <w:tr>
        <w:trPr>
          <w:trHeight w:val="235"/>
        </w:trPr>
        <w:tc>
          <w:tcPr>
            <w:tcW w:w="800" w:type="dxa"/>
            <w:vAlign w:val="bottom"/>
            <w:vMerge w:val="continue"/>
          </w:tcPr>
          <w:p>
            <w:pPr>
              <w:spacing w:after="0"/>
              <w:rPr>
                <w:sz w:val="20"/>
                <w:szCs w:val="20"/>
                <w:color w:val="auto"/>
              </w:rPr>
            </w:pPr>
          </w:p>
        </w:tc>
        <w:tc>
          <w:tcPr>
            <w:tcW w:w="2260" w:type="dxa"/>
            <w:vAlign w:val="bottom"/>
          </w:tcPr>
          <w:p>
            <w:pPr>
              <w:ind w:left="160"/>
              <w:spacing w:after="0"/>
              <w:rPr>
                <w:sz w:val="20"/>
                <w:szCs w:val="20"/>
                <w:color w:val="auto"/>
              </w:rPr>
            </w:pPr>
            <w:r>
              <w:rPr>
                <w:rFonts w:ascii="Courier New" w:cs="Courier New" w:eastAsia="Courier New" w:hAnsi="Courier New"/>
                <w:sz w:val="18"/>
                <w:szCs w:val="18"/>
                <w:color w:val="auto"/>
              </w:rPr>
              <w:t>/S/Arthur S. Loring</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8"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 13G</w:t>
      </w:r>
    </w:p>
    <w:p>
      <w:pPr>
        <w:spacing w:after="0" w:line="238" w:lineRule="auto"/>
        <w:rPr>
          <w:sz w:val="20"/>
          <w:szCs w:val="20"/>
          <w:color w:val="auto"/>
        </w:rPr>
      </w:pPr>
      <w:r>
        <w:rPr>
          <w:rFonts w:ascii="Courier New" w:cs="Courier New" w:eastAsia="Courier New" w:hAnsi="Courier New"/>
          <w:sz w:val="18"/>
          <w:szCs w:val="18"/>
          <w:color w:val="auto"/>
        </w:rPr>
        <w:t>for</w:t>
      </w:r>
    </w:p>
    <w:p>
      <w:pPr>
        <w:spacing w:after="0"/>
        <w:rPr>
          <w:sz w:val="20"/>
          <w:szCs w:val="20"/>
          <w:color w:val="auto"/>
        </w:rPr>
      </w:pPr>
      <w:r>
        <w:rPr>
          <w:rFonts w:ascii="Courier New" w:cs="Courier New" w:eastAsia="Courier New" w:hAnsi="Courier New"/>
          <w:sz w:val="18"/>
          <w:szCs w:val="18"/>
          <w:color w:val="auto"/>
        </w:rPr>
        <w:t>Airborne Freight Corp.</w:t>
      </w:r>
    </w:p>
    <w:p>
      <w:pPr>
        <w:spacing w:after="0" w:line="238" w:lineRule="auto"/>
        <w:rPr>
          <w:sz w:val="20"/>
          <w:szCs w:val="20"/>
          <w:color w:val="auto"/>
        </w:rPr>
      </w:pPr>
      <w:r>
        <w:rPr>
          <w:rFonts w:ascii="Courier New" w:cs="Courier New" w:eastAsia="Courier New" w:hAnsi="Courier New"/>
          <w:sz w:val="18"/>
          <w:szCs w:val="18"/>
          <w:color w:val="auto"/>
        </w:rPr>
        <w:t>9/10/91</w:t>
      </w:r>
    </w:p>
    <w:p>
      <w:pPr>
        <w:ind w:left="420"/>
        <w:spacing w:after="0"/>
        <w:rPr>
          <w:sz w:val="20"/>
          <w:szCs w:val="20"/>
          <w:color w:val="auto"/>
        </w:rPr>
      </w:pPr>
      <w:r>
        <w:rPr>
          <w:rFonts w:ascii="Courier New" w:cs="Courier New" w:eastAsia="Courier New" w:hAnsi="Courier New"/>
          <w:sz w:val="18"/>
          <w:szCs w:val="18"/>
          <w:color w:val="auto"/>
        </w:rPr>
        <w:t>Fidelity Management &amp; Research Company</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Sr. V.P. and General</w:t>
      </w:r>
    </w:p>
    <w:p>
      <w:pPr>
        <w:spacing w:after="0"/>
        <w:rPr>
          <w:sz w:val="20"/>
          <w:szCs w:val="20"/>
          <w:color w:val="auto"/>
        </w:rPr>
      </w:pPr>
      <w:r>
        <w:rPr>
          <w:rFonts w:ascii="Courier New" w:cs="Courier New" w:eastAsia="Courier New" w:hAnsi="Courier New"/>
          <w:sz w:val="18"/>
          <w:szCs w:val="18"/>
          <w:color w:val="auto"/>
        </w:rPr>
        <w:t>Counsel</w:t>
      </w:r>
    </w:p>
    <w:p>
      <w:pPr>
        <w:ind w:left="420"/>
        <w:spacing w:after="0" w:line="238" w:lineRule="auto"/>
        <w:rPr>
          <w:sz w:val="20"/>
          <w:szCs w:val="20"/>
          <w:color w:val="auto"/>
        </w:rPr>
      </w:pPr>
      <w:r>
        <w:rPr>
          <w:rFonts w:ascii="Courier New" w:cs="Courier New" w:eastAsia="Courier New" w:hAnsi="Courier New"/>
          <w:sz w:val="18"/>
          <w:szCs w:val="18"/>
          <w:color w:val="auto"/>
        </w:rPr>
        <w:t>Fidelity Low-Priced Stock Fund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312"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2019-12-12T06:21:43Z</dcterms:created>
  <dcterms:modified xsi:type="dcterms:W3CDTF">2019-12-12T06:21:43Z</dcterms:modified>
</cp:coreProperties>
</file>