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5, 2025</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6535420</wp:posOffset>
            </wp:positionH>
            <wp:positionV relativeFrom="paragraph">
              <wp:posOffset>-19050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WORLD KINECT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59-2459427</w:t>
      </w:r>
    </w:p>
    <w:p>
      <w:pPr>
        <w:spacing w:after="0" w:line="12" w:lineRule="exact"/>
        <w:rPr>
          <w:sz w:val="24"/>
          <w:szCs w:val="24"/>
          <w:color w:val="auto"/>
        </w:rPr>
      </w:pPr>
    </w:p>
    <w:p>
      <w:pPr>
        <w:sectPr>
          <w:pgSz w:w="11900" w:h="16838" w:orient="portrait"/>
          <w:cols w:equalWidth="0" w:num="2">
            <w:col w:w="7180" w:space="720"/>
            <w:col w:w="3060"/>
          </w:cols>
          <w:pgMar w:left="440" w:top="225"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9800 N.W. 41st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Miami, FL 33178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60"/>
          </w:cols>
          <w:pgMar w:left="440" w:top="225" w:right="499" w:bottom="144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WORLD KINECT CORPORATION 2025 OMNIBUS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Jeffrey Weissman,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9800 N.W. 41st Street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Miami, FL 33178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(305) 428-8000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the participants in the World Kinect Corporation 2025 Omnibus Plan of World Kinect Corporation, a Florida corporation (the “Registrant”), as specified by Rule 428(b)(1) promulgated under the Securities Act of 1933 (the “Securities Act”). In accordance with the instructions to Part I of Form S-8, such documents will not be filed with the Securities and Exchange Commission (the “Commission”) either as part of this registration statement on Form S-8 (this “Registration Statement”) or as prospectuses or prospectus supplements pursuant to Rule 424 promulgated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Upon written or oral request, the Registrant will provide, without charge, the documents incorporated by reference in Item 3 of Part II of this Registration Statement. The documents are incorporated by reference in the Section 10(a) prospectus. The Registrant will also provide, without charge, upon written or oral request, other documents required to be delivered to employees pursuant to Rule 428(b). Requests for the above-mentioned information should be directed to the Registrant’s Corporate Secretary, at the address and telephone number listed on the cover of this Registration Statement.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of the Registrant filed with the Commission (File No. 001-09533), other than information furnished pursuant to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 or Item 7.01, or related exhibits under Item 9.01, of Form 8-K, are incorporated by reference:</w:t>
      </w:r>
    </w:p>
    <w:p>
      <w:pPr>
        <w:spacing w:after="0" w:line="234" w:lineRule="exact"/>
        <w:rPr>
          <w:sz w:val="20"/>
          <w:szCs w:val="20"/>
          <w:color w:val="auto"/>
        </w:rPr>
      </w:pPr>
    </w:p>
    <w:p>
      <w:pPr>
        <w:jc w:val="both"/>
        <w:ind w:left="960" w:right="56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auto"/>
          </w:rPr>
          <w:t xml:space="preserve">The Registrant’s </w:t>
        </w:r>
        <w:r>
          <w:rPr>
            <w:rFonts w:ascii="Times New Roman" w:cs="Times New Roman" w:eastAsia="Times New Roman" w:hAnsi="Times New Roman"/>
            <w:sz w:val="18"/>
            <w:szCs w:val="18"/>
            <w:u w:val="single" w:color="auto"/>
            <w:color w:val="0000EE"/>
          </w:rPr>
          <w:t>Annual Report on Form 10-K for the year ended December 31, 2024</w:t>
        </w:r>
        <w:r>
          <w:rPr>
            <w:rFonts w:ascii="Times New Roman" w:cs="Times New Roman" w:eastAsia="Times New Roman" w:hAnsi="Times New Roman"/>
            <w:sz w:val="18"/>
            <w:szCs w:val="18"/>
            <w:color w:val="auto"/>
          </w:rPr>
          <w:t xml:space="preserve">, including portions of the Registrant’s </w:t>
        </w:r>
        <w:r>
          <w:rPr>
            <w:rFonts w:ascii="Times New Roman" w:cs="Times New Roman" w:eastAsia="Times New Roman" w:hAnsi="Times New Roman"/>
            <w:sz w:val="18"/>
            <w:szCs w:val="18"/>
            <w:u w:val="single" w:color="auto"/>
            <w:color w:val="0000EE"/>
          </w:rPr>
          <w:t>Proxy</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Statement on Schedule 14A filed on April 25, 2025</w:t>
        </w:r>
        <w:r>
          <w:rPr>
            <w:rFonts w:ascii="Times New Roman" w:cs="Times New Roman" w:eastAsia="Times New Roman" w:hAnsi="Times New Roman"/>
            <w:sz w:val="18"/>
            <w:szCs w:val="18"/>
            <w:color w:val="000000"/>
          </w:rPr>
          <w:t>, to the extent incorporated by reference in such Annual Report on Form 10-K;</w:t>
        </w:r>
      </w:hyperlink>
    </w:p>
    <w:p>
      <w:pPr>
        <w:spacing w:after="0" w:line="67" w:lineRule="exact"/>
        <w:rPr>
          <w:rFonts w:ascii="Times New Roman" w:cs="Times New Roman" w:eastAsia="Times New Roman" w:hAnsi="Times New Roman"/>
          <w:sz w:val="18"/>
          <w:szCs w:val="18"/>
          <w:color w:val="0000EE"/>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0">
        <w:r>
          <w:rPr>
            <w:rFonts w:ascii="Times New Roman" w:cs="Times New Roman" w:eastAsia="Times New Roman" w:hAnsi="Times New Roman"/>
            <w:sz w:val="18"/>
            <w:szCs w:val="18"/>
            <w:u w:val="single" w:color="auto"/>
            <w:color w:val="0000EE"/>
          </w:rPr>
          <w:t>Quarterly Report on Form 10-Q for the quarter ended 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21">
        <w:r>
          <w:rPr>
            <w:rFonts w:ascii="Times New Roman" w:cs="Times New Roman" w:eastAsia="Times New Roman" w:hAnsi="Times New Roman"/>
            <w:sz w:val="18"/>
            <w:szCs w:val="18"/>
            <w:u w:val="single" w:color="auto"/>
            <w:color w:val="0000EE"/>
          </w:rPr>
          <w:t>April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The description of the Registrant’s Common Stock contained in Exhibit 4.1 to the Registrant’s Annual Report on Form 10-K for the year</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ended December 31, 2019, and any amendment or report filed for the purpose of updating such description.</w:t>
        </w:r>
      </w:hyperlink>
    </w:p>
    <w:p>
      <w:pPr>
        <w:spacing w:after="0" w:line="162" w:lineRule="exact"/>
        <w:rPr>
          <w:rFonts w:ascii="Times New Roman" w:cs="Times New Roman" w:eastAsia="Times New Roman" w:hAnsi="Times New Roman"/>
          <w:sz w:val="18"/>
          <w:szCs w:val="18"/>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filed pursuant to Section 13(a), 13(c), 14 or 15(d) of the Securities Exchange Act of 1934 after the date of this Registration Statement and prior to the filing of a post-effective amendment which indicates that all securities offered hereby have been sold or which de-registers all securities then remaining unsold, other than information furnished pursuant to Item 2.02 or Item 7.01, or related exhibits under Item 9.01, of Form 8-K, shall be deemed to be incorporated by reference into this Registration Statement and to be a part hereof from the date of filing of such documents.</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The Florida Business Corporation Act (the “Florida Act”) authorizes the indemnification of officers, directors, employees and agents under specified circumstances. Under Section 607.0831 of the Florida Act, a director is not personally liable for monetary damages to the corporation or any other person for any statement, vote, decision to take or not to take action, or any failure to take any action, as a director, unless (1) the director breached or failed to perform his or her duties as a director and (2) the director’s breach of, or failure to perform, those duties constitutes any of the following:</w:t>
      </w:r>
    </w:p>
    <w:p>
      <w:pPr>
        <w:spacing w:after="0" w:line="3" w:lineRule="exact"/>
        <w:rPr>
          <w:sz w:val="20"/>
          <w:szCs w:val="20"/>
          <w:color w:val="auto"/>
        </w:rPr>
      </w:pPr>
    </w:p>
    <w:p>
      <w:pPr>
        <w:ind w:left="4" w:hanging="4"/>
        <w:spacing w:after="0" w:line="251"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the criminal law, unless the director had reasonable cause to believe his or her conduct was lawful or had no reasonable cause to believe his or her conduct was unlawful, (b) a circumstance under which the transaction at issue is one from which the director derived an improper personal benefit, either directly or indirectly, (c) a circumstance under which the liability provisions of Section 607.0834 of the Florida Act are applicable, (d) in a proceeding by or in the right of the corporation to procure a judgment in its favor or by or in the right of a shareholder, conscious disregard for the best interest of the corporation, or willful or intentional misconduct, or (e) in a proceeding by or in the right of someone other than the corporation or a shareholder, recklessness or an act or omission which was committed in bad faith or with malicious purpose or in a manner exhibiting wanton and willful disregard of human rights, safety, or property. A judgment or other final adjudication against a director in any criminal proceeding for a violation of the criminal law estops that director from contesting the fact that his or her breach, or failure to perform, constitutes a violation of the criminal law; but does not estop the director from establishing that he or she had reasonable cause to believe that his or her conduct was lawful or had no reasonable cause to believe that his or her conduct was unlawful.</w:t>
      </w:r>
    </w:p>
    <w:p>
      <w:pPr>
        <w:spacing w:after="0" w:line="193"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Section 607.0851 of the Florida Act, a corporation may indemnify an individual who is a party to a proceeding (other than an action by, or in the right of the corporation), by reason of the fact that he or she is or was a director or officer of the corporation against liability incurred in connection with such proceeding if he or she acted in good faith and in a manner he or she reasonably believed to be in, or not opposed to, the best interests of the corporation and, in the case of any criminal proceeding, the director or officer had no reasonable cause to believe his or her conduct was unlawful. The termination of any proceeding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does not, of itself, create a presumption that the director or officer did not meet the relevant standard of conduct described in Section 607.0851. A corporation also has the power to indemnify a director or an officer in connection with a proceeding by or in the right of the corporation for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shall be authorized if such person acted in good faith and in a manner he or she reasonably believed to be in, or not opposed to, the best interests of the corporation.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 w:name="page4"/>
    <w:bookmarkEnd w:id="3"/>
    <w:p>
      <w:pPr>
        <w:ind w:left="4" w:right="10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Section 607.0852 of the Florida Act, a corporation must indemnify an individual who is or was a director or officer who was wholly successful, on the merits or otherwise, in the defense of any proceeding to which the individual was a party because he or she is or was a director or officer of the corporation against expenses incurred by the individual in connection with the proceeding. Further, under Section 607.0853 of the Florida Act, a corporation may, before final disposition of a proceeding, advance funds to pay for or reimburse expenses incurred in connection with the proceeding if the director or officer delivers to the corporation a signed written undertaking of the director or officer to repay any funds advanced if:</w:t>
      </w:r>
    </w:p>
    <w:p>
      <w:pPr>
        <w:spacing w:after="0" w:line="3" w:lineRule="exact"/>
        <w:rPr>
          <w:sz w:val="20"/>
          <w:szCs w:val="20"/>
          <w:color w:val="auto"/>
        </w:rPr>
      </w:pPr>
    </w:p>
    <w:p>
      <w:pPr>
        <w:ind w:left="4" w:right="320" w:hanging="4"/>
        <w:spacing w:after="0" w:line="255"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is not entitled to mandatory indemnification under Section 607.0852; and (b) it is ultimately determined that the director or officer has not met the relevant standard of conduct described in Section 607.0851 or the director or officer is not entitled to indemnification under Section 607.0859 (as described below).</w:t>
      </w:r>
    </w:p>
    <w:p>
      <w:pPr>
        <w:spacing w:after="0" w:line="186"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Under Section 607.0854 of the Florida Act, unless the corporation’s articles of incorporation provide otherwise, notwithstanding the failure of a corporation to provide indemnification, and despite any contrary determination of the board of directors or of the shareholders in the specific case, a director or officer of the corporation who is a party to a proceeding because he or she is or was a director or officer may apply for indemnification or an advance for expenses, or both, to a court having jurisdiction over the corporation which is conducting the proceeding, or to a circuit court of competent jurisdiction. After receipt of an application and after giving any notice it considers necessary, the court may: (a) order indemnification if the court determines that the director or officer is entitled to mandatory indemnification under Section 607.0852, (b) order indemnification or advance for expenses if the court determines that the director or officer is entitled to indemnification or advance for expenses pursuant to a provision authorized by Section 607.0858, or (c) order indemnification or advance for expenses if the court determines, in view of all the relevant circumstances, that it is fair and reasonable to indemnify the director or officer or to advance expenses to the director or officer, even if he or she has not met the relevant standard of conduct set forth in Section 607.0851(1), has failed to comply with Section 607.0853, or was adjudged liable in a proceeding referred to in</w:t>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607.0859. If the director or officer was adjudged liable, indemnification shall be limited to expenses incurred in connection with the proceeding.</w:t>
      </w:r>
    </w:p>
    <w:p>
      <w:pPr>
        <w:spacing w:after="0" w:line="207"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Section 607.0857 of the Florida Act also provides that a corporation shall have the power to purchase and maintain insurance on behalf of any person who is or was a director or officer of the corporation against any liability asserted against the person and incurred by him or her in any such capacity or arising out of his or her status as such, whether or not the corporation would have the power to indemnify him or her against such liability under Chapter 607 of the Florida Act.</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Under Section 607.0858 of the Florida Act, the indemnification pursuant to Sections 607.0851 and the advancement of expenses pursuant to Sections 607.0851, 607.0852 and 607.0853 are not exclusive, and a corporation may, by a provision in its articles of incorporation, bylaws or any agreement, or by vote of shareholders or disinterested directors, or otherwise, obligate itself in advance of the act or omission giving rise to a proceeding to provide any other or further indemnification or advancement of expenses to any of its directors or officers. However, a corporation may not indemnify a director or officer under Sections 607.0851 or 607.0858 or advance expenses under Sections 607.0853 or 607.0858 if a judgment or other final adjudication establishes that his or her actions, or omissions to act, were material to the cause of action so adjudicated and constitute: (a) willful or intentional misconduct or a conscious disregard for the best interests of the corporation in a proceeding by or in the right of the corporation to procure a judgment in its favor or in a proceeding by or in the right of a shareholder; (b) a transaction in which the director or officer derived an improper personal benefit; (c) a violation of the criminal law, unless the director or officer had reasonable cause to believe his or her conduct was lawful or had no reasonable cause to believe his or her conduct was unlawful; or (d) in the case of a director, a circumstance under which the liability provisions of Section 607.0834 are applicable.</w:t>
      </w:r>
    </w:p>
    <w:p>
      <w:pPr>
        <w:spacing w:after="0" w:line="19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Our Articles of Incorporation, as amended, provide that we shall, to the fullest extent permitted by law, indemnify our current and former directors and officers. Our Amended and Restated By-Laws also provide for indemnification of our directors and officers as well as employees and agents. In addition, we have executed indemnity agreements with each of our directors under the terms of which we agree to indemnify them against claims, liabilities, damages, expenses, penalties, and amounts paid in settlement that are incurred by any such director in, or arising out of, his or her service as a director.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42"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ind w:left="4"/>
        <w:spacing w:after="0"/>
        <w:tabs>
          <w:tab w:leader="none" w:pos="904"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5080</wp:posOffset>
            </wp:positionV>
            <wp:extent cx="64033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403340" cy="8890"/>
                    </a:xfrm>
                    <a:prstGeom prst="rect">
                      <a:avLst/>
                    </a:prstGeom>
                    <a:noFill/>
                  </pic:spPr>
                </pic:pic>
              </a:graphicData>
            </a:graphic>
          </wp:anchor>
        </w:drawing>
      </w:r>
    </w:p>
    <w:p>
      <w:pPr>
        <w:spacing w:after="0" w:line="77" w:lineRule="exact"/>
        <w:rPr>
          <w:sz w:val="20"/>
          <w:szCs w:val="20"/>
          <w:color w:val="auto"/>
        </w:rPr>
      </w:pPr>
    </w:p>
    <w:p>
      <w:pPr>
        <w:ind w:left="924" w:right="80" w:hanging="924"/>
        <w:spacing w:after="0" w:line="282" w:lineRule="auto"/>
        <w:tabs>
          <w:tab w:leader="none" w:pos="8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8">
        <w:r>
          <w:rPr>
            <w:rFonts w:ascii="Times New Roman" w:cs="Times New Roman" w:eastAsia="Times New Roman" w:hAnsi="Times New Roman"/>
            <w:sz w:val="18"/>
            <w:szCs w:val="18"/>
            <w:u w:val="single" w:color="auto"/>
            <w:color w:val="0000EE"/>
          </w:rPr>
          <w:t>Restated Articles of Incorporation of the Registrant (incorporated by reference herein to Exhibit 3.2 to our Quarterly Report on Form 10-Q</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for the quarter ended June 30, 2023 filed on July 28, 2023).</w:t>
        </w:r>
      </w:hyperlink>
    </w:p>
    <w:p>
      <w:pPr>
        <w:spacing w:after="0" w:line="53" w:lineRule="exact"/>
        <w:rPr>
          <w:rFonts w:ascii="Times New Roman" w:cs="Times New Roman" w:eastAsia="Times New Roman" w:hAnsi="Times New Roman"/>
          <w:sz w:val="18"/>
          <w:szCs w:val="18"/>
          <w:u w:val="single" w:color="auto"/>
          <w:color w:val="0000EE"/>
        </w:rPr>
      </w:pPr>
    </w:p>
    <w:p>
      <w:pPr>
        <w:ind w:left="924" w:right="320" w:hanging="924"/>
        <w:spacing w:after="0" w:line="282" w:lineRule="auto"/>
        <w:tabs>
          <w:tab w:leader="none" w:pos="8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9">
        <w:r>
          <w:rPr>
            <w:rFonts w:ascii="Times New Roman" w:cs="Times New Roman" w:eastAsia="Times New Roman" w:hAnsi="Times New Roman"/>
            <w:sz w:val="18"/>
            <w:szCs w:val="18"/>
            <w:u w:val="single" w:color="auto"/>
            <w:color w:val="0000EE"/>
          </w:rPr>
          <w:t>By-Laws of the Registrant, amended and restated as of August 26, 2011 (incorporated by reference herein to Exhibit 3.1 to our Current</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Report on Form 8-K filed on August 29, 2011).</w:t>
        </w:r>
      </w:hyperlink>
    </w:p>
    <w:p>
      <w:pPr>
        <w:spacing w:after="0" w:line="53" w:lineRule="exact"/>
        <w:rPr>
          <w:rFonts w:ascii="Times New Roman" w:cs="Times New Roman" w:eastAsia="Times New Roman" w:hAnsi="Times New Roman"/>
          <w:sz w:val="18"/>
          <w:szCs w:val="18"/>
          <w:u w:val="single" w:color="auto"/>
          <w:color w:val="0000EE"/>
        </w:rPr>
      </w:pPr>
    </w:p>
    <w:p>
      <w:pPr>
        <w:ind w:left="924" w:right="20" w:hanging="924"/>
        <w:spacing w:after="0" w:line="282" w:lineRule="auto"/>
        <w:tabs>
          <w:tab w:leader="none" w:pos="8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19">
        <w:r>
          <w:rPr>
            <w:rFonts w:ascii="Times New Roman" w:cs="Times New Roman" w:eastAsia="Times New Roman" w:hAnsi="Times New Roman"/>
            <w:sz w:val="18"/>
            <w:szCs w:val="18"/>
            <w:u w:val="single" w:color="auto"/>
            <w:color w:val="0000EE"/>
          </w:rPr>
          <w:t>World Kinect Corporation 2025 Omnibus Plan (incorporated by reference herein to Annex A to our Proxy Statement on Schedule 14A filed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on April 25,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Jones Day.</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PricewaterhouseCoopers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8"/>
          <w:szCs w:val="18"/>
          <w:u w:val="single" w:color="auto"/>
          <w:color w:val="0000EE"/>
        </w:rPr>
        <w:t>Consent of Jones Day (included in Exhibit 5.1).</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(included on signature page of this Registration Statement).</w:t>
      </w:r>
    </w:p>
    <w:p>
      <w:pPr>
        <w:spacing w:after="0" w:line="117" w:lineRule="exact"/>
        <w:rPr>
          <w:rFonts w:ascii="Times New Roman" w:cs="Times New Roman" w:eastAsia="Times New Roman" w:hAnsi="Times New Roman"/>
          <w:sz w:val="18"/>
          <w:szCs w:val="18"/>
          <w:color w:val="auto"/>
        </w:rPr>
      </w:pPr>
    </w:p>
    <w:p>
      <w:pPr>
        <w:ind w:left="924" w:hanging="924"/>
        <w:spacing w:after="0"/>
        <w:tabs>
          <w:tab w:leader="none" w:pos="9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29"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64" w:hanging="533"/>
        <w:spacing w:after="0" w:line="254" w:lineRule="auto"/>
        <w:tabs>
          <w:tab w:leader="none" w:pos="19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w:t>
      </w:r>
    </w:p>
    <w:p>
      <w:pPr>
        <w:spacing w:after="0" w:line="97" w:lineRule="exact"/>
        <w:rPr>
          <w:rFonts w:ascii="Times New Roman" w:cs="Times New Roman" w:eastAsia="Times New Roman" w:hAnsi="Times New Roman"/>
          <w:sz w:val="18"/>
          <w:szCs w:val="18"/>
          <w:color w:val="auto"/>
        </w:rPr>
      </w:pPr>
    </w:p>
    <w:p>
      <w:pPr>
        <w:ind w:left="1964" w:right="480" w:hanging="533"/>
        <w:spacing w:after="0" w:line="282" w:lineRule="auto"/>
        <w:tabs>
          <w:tab w:leader="none" w:pos="19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rFonts w:ascii="Times New Roman" w:cs="Times New Roman" w:eastAsia="Times New Roman" w:hAnsi="Times New Roman"/>
          <w:sz w:val="18"/>
          <w:szCs w:val="18"/>
          <w:color w:val="auto"/>
        </w:rPr>
      </w:pPr>
    </w:p>
    <w:p>
      <w:pPr>
        <w:ind w:left="142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w:t>
      </w:r>
    </w:p>
    <w:p>
      <w:pPr>
        <w:spacing w:after="0" w:line="114"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5" w:name="page6"/>
    <w:bookmarkEnd w:id="5"/>
    <w:p>
      <w:pPr>
        <w:ind w:left="1000" w:right="180" w:hanging="439"/>
        <w:spacing w:after="0" w:line="266"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00" w:right="180" w:hanging="439"/>
        <w:spacing w:after="0" w:line="282" w:lineRule="auto"/>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right="80" w:hanging="532"/>
        <w:spacing w:after="0" w:line="254"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60" w:top="270" w:right="45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Miami, State of Florida, on this June 5,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World Kinect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40" w:top="266" w:right="5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OF ATTORNEY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PERSONS BY THESE PRESENTS:</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each of Michael J. Kasbar and Ira M. Birns as his or her true and lawful attorney-in-fact and agent, with full power of substitution and resubstitution, for him or her and in his or her name, place and stead, in any and all capacities to sign any and all amendments or supplements to this Registration Statement, whether pre-effective or post-effective, any related registration statements filed pursuant to Rule 462 under the Securities Act, and any other documents filed in connection with any such registration statement, and to file or cause to be filed the same, with all exhibits thereto and all other documents in connection therewith, with the Commission, granting unto said attorneys-in-fact and agents, and each of them, full power and authority to do and perform each and every act and thing requisite and necessary or appropriate to be done, as fully to all intents and purposes as such person could or might do in person, hereby ratifying and confirming all that said attorneys-in-fact and agents, or any of them, or their substitute or substitutes, may lawfully do or cause to be done by virtue hereof.</w:t>
      </w:r>
    </w:p>
    <w:p>
      <w:pPr>
        <w:spacing w:after="0" w:line="19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indicated and on June 5,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Kasbar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Ira M. Birns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Jose-Miguel Tejada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Jose-Miguel Tejada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 Bakshi</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Ken Bakshi</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Jorge L. Benitez</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Jorge L. Benitez</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Sharda Cherwoo</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Sharda Cherwoo</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Kassar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M. Kottkamp</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Jeffrey M. Kottkamp</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L. Manley</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 Roddenberry</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H. Stebbins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6760" w:type="dxa"/>
            <w:vAlign w:val="bottom"/>
            <w:gridSpan w:val="2"/>
          </w:tcPr>
          <w:p>
            <w:pPr>
              <w:jc w:val="right"/>
              <w:ind w:right="5391"/>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173990</wp:posOffset>
            </wp:positionV>
            <wp:extent cx="12344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344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600 Brickell Avenue • Brickell World Plaza • Suite 3300 • Miami, Florida 33131</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TELEPHONE: +1.305.714.9700 • JONESDAY.COM</w:t>
      </w:r>
    </w:p>
    <w:p>
      <w:pPr>
        <w:spacing w:after="0" w:line="2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June 5,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World Kinect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9800 N.W. 41st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Miami, FL 33178</w:t>
      </w:r>
    </w:p>
    <w:p>
      <w:pPr>
        <w:spacing w:after="0" w:line="234" w:lineRule="exact"/>
        <w:rPr>
          <w:sz w:val="20"/>
          <w:szCs w:val="20"/>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 filed by World Kinect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for World Kinect Corporation, a Florida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of 2,945,182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$0.01 par value per share, of the Company that may be issued or delivered and sold pursuant to the World Kinect Corporation 2025 Omnibus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Shares that may be issued or delivered and sold pursuant to the Plan and authorized forms of stock option, stock appreciation rights, restricted stock, restricted stock unit or other applicable agreements thereunder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will be, when issued or delivered and sold in accordance with the Plan and the Award Agreements, validly issued, fully paid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nonassessable.</w:t>
      </w:r>
    </w:p>
    <w:p>
      <w:pPr>
        <w:spacing w:after="0" w:line="18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opinion expressed herein is limited to the Florida Business Corporation Act,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such Shares are issued or delivered or sold by the Company, and the Company will take no action inconsistent with such resolutions. In rendering the opinion above, we have assumed that each award under the Plan will be approved by the Board of Directors of the Company or an authorized committee thereof.</w:t>
      </w:r>
    </w:p>
    <w:p>
      <w:pPr>
        <w:spacing w:after="0" w:line="183"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on Form S-8 filed by the Company to effect registration of the Shares under the Securities Act of 1933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Jones Day</w:t>
      </w: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AMSTERDAM • ATLANTA • BEIJING • BOSTON • BRISBANE • BRUSSELS • CHICAGO • CLEVELAND • COLUMBUS • DALLAS DETROIT</w:t>
      </w:r>
    </w:p>
    <w:p>
      <w:pPr>
        <w:spacing w:after="0" w:line="27" w:lineRule="exact"/>
        <w:rPr>
          <w:sz w:val="20"/>
          <w:szCs w:val="20"/>
          <w:color w:val="auto"/>
        </w:rPr>
      </w:pPr>
    </w:p>
    <w:p>
      <w:pPr>
        <w:ind w:left="104" w:hanging="104"/>
        <w:spacing w:after="0"/>
        <w:tabs>
          <w:tab w:leader="none" w:pos="1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DUBAI • DÜSSELDORF • FRANKFURT • HONG KONG • HOUSTON • IRVINE • LONDON • LOS ANGELES • MADRID MELBOURNE</w:t>
      </w:r>
    </w:p>
    <w:p>
      <w:pPr>
        <w:spacing w:after="0" w:line="9"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MEXICO CITY • MIAMI • MILAN • MINNEAPOLIS • MUNICH • NEW YORK • PARIS • PERTH • PITTSBURGH SAN DIEGO</w:t>
      </w:r>
    </w:p>
    <w:p>
      <w:pPr>
        <w:spacing w:after="0" w:line="9"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FRANCISCO • SÃO PAULO • SHANGHAI • SILICON VALLEY • SINGAPORE • SYDNEY • TAIPEI • TOKYO • WASHINGTON</w:t>
      </w:r>
    </w:p>
    <w:p>
      <w:pPr>
        <w:sectPr>
          <w:pgSz w:w="11900" w:h="16838" w:orient="portrait"/>
          <w:cols w:equalWidth="0" w:num="1">
            <w:col w:w="11024"/>
          </w:cols>
          <w:pgMar w:left="436"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World Kinect Corporation of our report dated February 25, 2025 relating to the financial statements and the effectiveness of internal control over financial reporting, which appears in World Kinect Corporation’s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2025</w:t>
      </w:r>
    </w:p>
    <w:p>
      <w:pPr>
        <w:sectPr>
          <w:pgSz w:w="11900" w:h="16838" w:orient="portrait"/>
          <w:cols w:equalWidth="0" w:num="1">
            <w:col w:w="11020"/>
          </w:cols>
          <w:pgMar w:left="440" w:top="117" w:right="439" w:bottom="1440" w:gutter="0" w:footer="0" w:header="0"/>
        </w:sectPr>
      </w:pPr>
    </w:p>
    <w:bookmarkStart w:id="10" w:name="page11"/>
    <w:bookmarkEnd w:id="10"/>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ind w:left="3540"/>
        <w:spacing w:after="0"/>
        <w:rPr>
          <w:sz w:val="20"/>
          <w:szCs w:val="20"/>
          <w:color w:val="auto"/>
        </w:rPr>
      </w:pPr>
      <w:r>
        <w:rPr>
          <w:rFonts w:ascii="Arial" w:cs="Arial" w:eastAsia="Arial" w:hAnsi="Arial"/>
          <w:sz w:val="36"/>
          <w:szCs w:val="36"/>
          <w:b w:val="1"/>
          <w:bCs w:val="1"/>
          <w:color w:val="auto"/>
        </w:rPr>
        <w:t>WORLD KINECT CORP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Security</w:t>
            </w:r>
          </w:p>
        </w:tc>
        <w:tc>
          <w:tcPr>
            <w:tcW w:w="40" w:type="dxa"/>
            <w:vAlign w:val="bottom"/>
          </w:tcPr>
          <w:p>
            <w:pPr>
              <w:spacing w:after="0"/>
              <w:rPr>
                <w:sz w:val="21"/>
                <w:szCs w:val="21"/>
                <w:color w:val="auto"/>
              </w:rPr>
            </w:pPr>
          </w:p>
        </w:tc>
        <w:tc>
          <w:tcPr>
            <w:tcW w:w="9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Fee</w:t>
            </w:r>
          </w:p>
        </w:tc>
        <w:tc>
          <w:tcPr>
            <w:tcW w:w="40" w:type="dxa"/>
            <w:vAlign w:val="bottom"/>
          </w:tcPr>
          <w:p>
            <w:pPr>
              <w:spacing w:after="0"/>
              <w:rPr>
                <w:sz w:val="21"/>
                <w:szCs w:val="21"/>
                <w:color w:val="auto"/>
              </w:rPr>
            </w:pPr>
          </w:p>
        </w:tc>
        <w:tc>
          <w:tcPr>
            <w:tcW w:w="114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1"/>
                <w:szCs w:val="21"/>
                <w:color w:val="auto"/>
              </w:rPr>
            </w:pPr>
          </w:p>
        </w:tc>
        <w:tc>
          <w:tcPr>
            <w:tcW w:w="13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Offering</w:t>
            </w:r>
          </w:p>
        </w:tc>
        <w:tc>
          <w:tcPr>
            <w:tcW w:w="40" w:type="dxa"/>
            <w:vAlign w:val="bottom"/>
          </w:tcPr>
          <w:p>
            <w:pPr>
              <w:spacing w:after="0"/>
              <w:rPr>
                <w:sz w:val="18"/>
                <w:szCs w:val="18"/>
                <w:color w:val="auto"/>
              </w:rPr>
            </w:pPr>
          </w:p>
        </w:tc>
        <w:tc>
          <w:tcPr>
            <w:tcW w:w="15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9"/>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3"/>
              </w:rPr>
              <w:t>Type</w:t>
            </w:r>
          </w:p>
        </w:tc>
        <w:tc>
          <w:tcPr>
            <w:tcW w:w="4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2"/>
                <w:szCs w:val="22"/>
                <w:b w:val="1"/>
                <w:bCs w:val="1"/>
                <w:color w:val="auto"/>
                <w:w w:val="96"/>
              </w:rPr>
              <w:t>Registered</w:t>
            </w: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Price Per</w:t>
            </w:r>
          </w:p>
        </w:tc>
        <w:tc>
          <w:tcPr>
            <w:tcW w:w="40" w:type="dxa"/>
            <w:vAlign w:val="bottom"/>
          </w:tcPr>
          <w:p>
            <w:pPr>
              <w:spacing w:after="0"/>
              <w:rPr>
                <w:sz w:val="23"/>
                <w:szCs w:val="23"/>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4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E7E7E2"/>
          </w:tcPr>
          <w:p>
            <w:pPr>
              <w:jc w:val="center"/>
              <w:spacing w:after="0" w:line="230" w:lineRule="exact"/>
              <w:rPr>
                <w:sz w:val="20"/>
                <w:szCs w:val="20"/>
                <w:color w:val="auto"/>
              </w:rPr>
            </w:pPr>
            <w:r>
              <w:rPr>
                <w:rFonts w:ascii="Arial" w:cs="Arial" w:eastAsia="Arial" w:hAnsi="Arial"/>
                <w:sz w:val="22"/>
                <w:szCs w:val="22"/>
                <w:color w:val="auto"/>
                <w:w w:val="96"/>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4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6"/>
              </w:rPr>
              <w:t>$0.01 par</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Other</w:t>
            </w:r>
          </w:p>
        </w:tc>
        <w:tc>
          <w:tcPr>
            <w:tcW w:w="4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2,945,182</w:t>
            </w:r>
          </w:p>
        </w:tc>
        <w:tc>
          <w:tcPr>
            <w:tcW w:w="20" w:type="dxa"/>
            <w:vAlign w:val="bottom"/>
          </w:tcPr>
          <w:p>
            <w:pPr>
              <w:spacing w:after="0"/>
              <w:rPr>
                <w:sz w:val="10"/>
                <w:szCs w:val="1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$ 27.30</w:t>
            </w:r>
          </w:p>
        </w:tc>
        <w:tc>
          <w:tcPr>
            <w:tcW w:w="4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$ 12,309.78</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80,403,468.60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shd w:val="clear" w:color="auto" w:fill="E7E7E2"/>
          </w:tcPr>
          <w:p>
            <w:pPr>
              <w:jc w:val="center"/>
              <w:spacing w:after="0" w:line="149"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$ 12,309.78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80,403,468.60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$ 12,309.78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4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26"/>
          <w:szCs w:val="26"/>
          <w:color w:val="auto"/>
          <w:vertAlign w:val="superscript"/>
        </w:rPr>
      </w:pPr>
      <w:r>
        <w:rPr>
          <w:rFonts w:ascii="Arial" w:cs="Arial" w:eastAsia="Arial" w:hAnsi="Arial"/>
          <w:sz w:val="21"/>
          <w:szCs w:val="21"/>
          <w:color w:val="auto"/>
        </w:rPr>
        <w:t>(1) Represents 2,945,182 shares of common stock, par value $0.01 per share ("Common Stock"), of World Kinect Corporation (the "Registrant") available for issuance under the World Kinect Corporation 2025 Omnibus Plan (the "Plan"), comprised of: (i) 1,850,000 shares of Common Stock, plus (ii) shares of Common Stock remaining available for future awards under Prior Plans (as defined in the Plan) as of the date of shareholder approval of the Plan (the "Effective Date"), plus (iii) shares of Common Stock with respect to Awards and Prior Plan Awards (each as defined in the Plan) that are forfeited, cancelled, expired or settled in cash following the Effective Date. (2) Pursuant to Rule 416(a) under the Securities Act of 1933, as amended (the "Securities Act"), this Registration Statement shall also cover any additional shares of Common Stock that may become issuable under the Plan by reason of any stock dividend, stock split, recapitalization or any other similar transaction effected without receipt of consideration which results in an increase in the number of outstanding shares of Common Stock. (3) Estimated solely for purposes of calculating the registration fee under Rules 457(c) and 457(h) promulgated under the Securities Act on the basis of the average of the high and low selling price per share of Common Stock as reported on the New York Stock Exchange on June 2, 2025, a date that is within five business days prior to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97738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40"/>
      </w:cols>
      <w:pgMar w:left="360" w:top="14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
      <w:numFmt w:val="bullet"/>
      <w:start w:val="1"/>
    </w:lvl>
  </w:abstractNum>
  <w:abstractNum w:abstractNumId="4">
    <w:nsid w:val="79E2A9E3"/>
    <w:multiLevelType w:val="hybridMultilevel"/>
    <w:lvl w:ilvl="0">
      <w:lvlJc w:val="left"/>
      <w:lvlText w:val="%1"/>
      <w:numFmt w:val="decimal"/>
      <w:start w:val="107"/>
    </w:lvl>
  </w:abstractNum>
  <w:abstractNum w:abstractNumId="5">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15F007C"/>
    <w:multiLevelType w:val="hybridMultilevel"/>
    <w:lvl w:ilvl="0">
      <w:lvlJc w:val="left"/>
      <w:lvlText w:val="%1"/>
      <w:numFmt w:val="lowerLetter"/>
      <w:start w:val="1"/>
    </w:lvl>
    <w:lvl w:ilvl="1">
      <w:lvlJc w:val="left"/>
      <w:lvlText w:val="(%2)"/>
      <w:numFmt w:val="decimal"/>
      <w:start w:val="2"/>
    </w:lvl>
  </w:abstractNum>
  <w:abstractNum w:abstractNumId="7">
    <w:nsid w:val="5BD062C2"/>
    <w:multiLevelType w:val="hybridMultilevel"/>
    <w:lvl w:ilvl="0">
      <w:lvlJc w:val="left"/>
      <w:lvlText w:val="(%1)"/>
      <w:numFmt w:val="lowerLetter"/>
      <w:start w:val="2"/>
    </w:lvl>
    <w:lvl w:ilvl="1">
      <w:lvlJc w:val="left"/>
      <w:lvlText w:val="%2"/>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jpeg"/><Relationship Id="rId35" Type="http://schemas.openxmlformats.org/officeDocument/2006/relationships/image" Target="media/image21.png"/><Relationship Id="rId19" Type="http://schemas.openxmlformats.org/officeDocument/2006/relationships/hyperlink" Target="http://www.sec.gov/ix?doc=/Archives/edgar/data/0000789460/000095017025058752/wkc-20250425.htm" TargetMode="External"/><Relationship Id="rId20" Type="http://schemas.openxmlformats.org/officeDocument/2006/relationships/hyperlink" Target="http://www.sec.gov/ix?doc=/Archives/edgar/data/0000789460/000162828025019852/wkc-20250331.htm" TargetMode="External"/><Relationship Id="rId21" Type="http://schemas.openxmlformats.org/officeDocument/2006/relationships/hyperlink" Target="http://www.sec.gov/ix?doc=/Archives/edgar/data/0000789460/000119312525094775/d800450d8k.htm" TargetMode="External"/><Relationship Id="rId22" Type="http://schemas.openxmlformats.org/officeDocument/2006/relationships/hyperlink" Target="http://www.sec.gov/ix?doc=/Archives/edgar/data/0000789460/000119312525103827/d800759d8k.htm" TargetMode="External"/><Relationship Id="rId23" Type="http://schemas.openxmlformats.org/officeDocument/2006/relationships/hyperlink" Target="http://www.sec.gov/Archives/edgar/data/789460/000162828020002590/a2019q410kex41.htm" TargetMode="External"/><Relationship Id="rId28" Type="http://schemas.openxmlformats.org/officeDocument/2006/relationships/hyperlink" Target="http://www.sec.gov/Archives/edgar/data/789460/000162828023026035/ex32-articlesofincorporati.htm" TargetMode="External"/><Relationship Id="rId29" Type="http://schemas.openxmlformats.org/officeDocument/2006/relationships/hyperlink" Target="http://www.sec.gov/Archives/edgar/data/789460/000115752311005202/a684290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2025-06-05T16:29:32Z</dcterms:created>
  <dcterms:modified xsi:type="dcterms:W3CDTF">2025-06-05T16:29:32Z</dcterms:modified>
</cp:coreProperties>
</file>