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line="70"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780" w:hanging="969"/>
        <w:spacing w:after="0"/>
        <w:tabs>
          <w:tab w:leader="none" w:pos="1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32" w:lineRule="exact"/>
        <w:rPr>
          <w:sz w:val="24"/>
          <w:szCs w:val="24"/>
          <w:color w:val="auto"/>
        </w:rPr>
      </w:pPr>
    </w:p>
    <w:p>
      <w:pPr>
        <w:ind w:left="1780"/>
        <w:spacing w:after="0"/>
        <w:tabs>
          <w:tab w:leader="none" w:pos="4480" w:val="left"/>
        </w:tabs>
        <w:rPr>
          <w:sz w:val="20"/>
          <w:szCs w:val="20"/>
          <w:color w:val="auto"/>
        </w:rPr>
      </w:pPr>
      <w:r>
        <w:rPr>
          <w:rFonts w:ascii="Arial" w:cs="Arial" w:eastAsia="Arial" w:hAnsi="Arial"/>
          <w:sz w:val="16"/>
          <w:szCs w:val="16"/>
          <w:color w:val="auto"/>
        </w:rPr>
        <w:t>For the fiscal year ended</w:t>
      </w:r>
      <w:r>
        <w:rPr>
          <w:sz w:val="20"/>
          <w:szCs w:val="20"/>
          <w:color w:val="auto"/>
        </w:rPr>
        <w:tab/>
      </w:r>
      <w:r>
        <w:rPr>
          <w:rFonts w:ascii="Arial" w:cs="Arial" w:eastAsia="Arial" w:hAnsi="Arial"/>
          <w:sz w:val="16"/>
          <w:szCs w:val="16"/>
          <w:color w:val="auto"/>
        </w:rPr>
        <w:t>December 31, 2020</w:t>
      </w:r>
    </w:p>
    <w:p>
      <w:pPr>
        <w:spacing w:after="0" w:line="32"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OR</w:t>
      </w:r>
    </w:p>
    <w:p>
      <w:pPr>
        <w:spacing w:after="0" w:line="32" w:lineRule="exact"/>
        <w:rPr>
          <w:sz w:val="24"/>
          <w:szCs w:val="24"/>
          <w:color w:val="auto"/>
        </w:rPr>
      </w:pPr>
    </w:p>
    <w:p>
      <w:pPr>
        <w:ind w:left="1780" w:hanging="969"/>
        <w:spacing w:after="0"/>
        <w:tabs>
          <w:tab w:leader="none" w:pos="17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2" w:lineRule="exact"/>
        <w:rPr>
          <w:sz w:val="24"/>
          <w:szCs w:val="24"/>
          <w:color w:val="auto"/>
        </w:rPr>
      </w:pPr>
    </w:p>
    <w:p>
      <w:pPr>
        <w:ind w:left="1780"/>
        <w:spacing w:after="0"/>
        <w:tabs>
          <w:tab w:leader="none" w:pos="41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85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-14605</wp:posOffset>
            </wp:positionV>
            <wp:extent cx="85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263140" cy="1139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247" w:right="339" w:bottom="1440" w:gutter="0" w:footer="0" w:header="0"/>
        </w:sectPr>
      </w:pPr>
    </w:p>
    <w:p>
      <w:pPr>
        <w:spacing w:after="0" w:line="25" w:lineRule="exact"/>
        <w:rPr>
          <w:sz w:val="24"/>
          <w:szCs w:val="24"/>
          <w:color w:val="auto"/>
        </w:rPr>
      </w:pPr>
    </w:p>
    <w:p>
      <w:pPr>
        <w:jc w:val="center"/>
        <w:ind w:lef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both"/>
        <w:ind w:left="440" w:right="220" w:firstLine="38"/>
        <w:spacing w:after="0" w:line="288"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left="200"/>
        <w:spacing w:after="0"/>
        <w:rPr>
          <w:sz w:val="20"/>
          <w:szCs w:val="20"/>
          <w:color w:val="auto"/>
        </w:rPr>
      </w:pPr>
      <w:r>
        <w:rPr>
          <w:rFonts w:ascii="Arial" w:cs="Arial" w:eastAsia="Arial" w:hAnsi="Arial"/>
          <w:sz w:val="18"/>
          <w:szCs w:val="18"/>
          <w:u w:val="single" w:color="auto"/>
          <w:color w:val="auto"/>
        </w:rPr>
        <w:t>Title of each class</w:t>
      </w:r>
    </w:p>
    <w:p>
      <w:pPr>
        <w:spacing w:after="0" w:line="117" w:lineRule="exact"/>
        <w:rPr>
          <w:sz w:val="24"/>
          <w:szCs w:val="24"/>
          <w:color w:val="auto"/>
        </w:rPr>
      </w:pPr>
    </w:p>
    <w:p>
      <w:pPr>
        <w:jc w:val="center"/>
        <w:ind w:left="2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ind w:left="460"/>
              <w:spacing w:after="0"/>
              <w:rPr>
                <w:sz w:val="20"/>
                <w:szCs w:val="20"/>
                <w:color w:val="auto"/>
              </w:rPr>
            </w:pPr>
            <w:r>
              <w:rPr>
                <w:rFonts w:ascii="Arial" w:cs="Arial" w:eastAsia="Arial" w:hAnsi="Arial"/>
                <w:sz w:val="18"/>
                <w:szCs w:val="18"/>
                <w:b w:val="1"/>
                <w:bCs w:val="1"/>
                <w:color w:val="auto"/>
                <w:w w:val="90"/>
              </w:rPr>
              <w:t>9800 N.W. 41st Street,</w:t>
            </w: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Miami,  Florida   33178</w:t>
            </w:r>
          </w:p>
        </w:tc>
      </w:tr>
      <w:tr>
        <w:trPr>
          <w:trHeight w:val="310"/>
        </w:trPr>
        <w:tc>
          <w:tcPr>
            <w:tcW w:w="426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Offices) (Zip Code)</w:t>
            </w:r>
          </w:p>
        </w:tc>
      </w:tr>
      <w:tr>
        <w:trPr>
          <w:trHeight w:val="283"/>
        </w:trPr>
        <w:tc>
          <w:tcPr>
            <w:tcW w:w="20" w:type="dxa"/>
            <w:vAlign w:val="bottom"/>
          </w:tcPr>
          <w:p>
            <w:pPr>
              <w:spacing w:after="0"/>
              <w:rPr>
                <w:sz w:val="24"/>
                <w:szCs w:val="24"/>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4"/>
                <w:szCs w:val="24"/>
                <w:color w:val="auto"/>
              </w:rPr>
            </w:pPr>
          </w:p>
        </w:tc>
      </w:tr>
      <w:tr>
        <w:trPr>
          <w:trHeight w:val="250"/>
        </w:trPr>
        <w:tc>
          <w:tcPr>
            <w:tcW w:w="2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(305)</w:t>
            </w:r>
          </w:p>
        </w:tc>
        <w:tc>
          <w:tcPr>
            <w:tcW w:w="1560" w:type="dxa"/>
            <w:vAlign w:val="bottom"/>
          </w:tcPr>
          <w:p>
            <w:pPr>
              <w:jc w:val="right"/>
              <w:ind w:right="770"/>
              <w:spacing w:after="0"/>
              <w:rPr>
                <w:sz w:val="20"/>
                <w:szCs w:val="20"/>
                <w:color w:val="auto"/>
              </w:rPr>
            </w:pPr>
            <w:r>
              <w:rPr>
                <w:rFonts w:ascii="Arial" w:cs="Arial" w:eastAsia="Arial" w:hAnsi="Arial"/>
                <w:sz w:val="18"/>
                <w:szCs w:val="18"/>
                <w:b w:val="1"/>
                <w:bCs w:val="1"/>
                <w:color w:val="auto"/>
                <w:w w:val="89"/>
              </w:rPr>
              <w:t>428-8000</w:t>
            </w:r>
          </w:p>
        </w:tc>
        <w:tc>
          <w:tcPr>
            <w:tcW w:w="500" w:type="dxa"/>
            <w:vAlign w:val="bottom"/>
          </w:tcPr>
          <w:p>
            <w:pPr>
              <w:spacing w:after="0"/>
              <w:rPr>
                <w:sz w:val="21"/>
                <w:szCs w:val="21"/>
                <w:color w:val="auto"/>
              </w:rPr>
            </w:pPr>
          </w:p>
        </w:tc>
      </w:tr>
    </w:tbl>
    <w:p>
      <w:pPr>
        <w:jc w:val="center"/>
        <w:ind w:righ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6"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Trading Symbol (s)</w:t>
      </w:r>
    </w:p>
    <w:p>
      <w:pPr>
        <w:spacing w:after="0" w:line="117"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11"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ind w:left="5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20"/>
        <w:spacing w:after="0"/>
        <w:rPr>
          <w:sz w:val="20"/>
          <w:szCs w:val="20"/>
          <w:color w:val="auto"/>
        </w:rPr>
      </w:pPr>
      <w:r>
        <w:rPr>
          <w:rFonts w:ascii="Arial" w:cs="Arial" w:eastAsia="Arial" w:hAnsi="Arial"/>
          <w:sz w:val="16"/>
          <w:szCs w:val="16"/>
          <w:u w:val="single" w:color="auto"/>
          <w:color w:val="auto"/>
        </w:rPr>
        <w:t>Name of each exchange on which</w:t>
      </w:r>
    </w:p>
    <w:p>
      <w:pPr>
        <w:spacing w:after="0" w:line="8"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registered</w:t>
      </w:r>
    </w:p>
    <w:p>
      <w:pPr>
        <w:spacing w:after="0" w:line="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2820" w:space="720"/>
            <w:col w:w="4420" w:space="520"/>
            <w:col w:w="2760"/>
          </w:cols>
          <w:pgMar w:left="320" w:top="247"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7" w:lineRule="exact"/>
        <w:rPr>
          <w:sz w:val="24"/>
          <w:szCs w:val="24"/>
          <w:color w:val="auto"/>
        </w:rPr>
      </w:pPr>
    </w:p>
    <w:p>
      <w:pPr>
        <w:ind w:right="1920"/>
        <w:spacing w:after="0" w:line="26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June 30, 2020, the registrant’s most recently completed second fiscal quarter, the aggregate market value of the voting and non-voting common equity held by non-affiliates computed by reference to the market price at which the common equity was last sold was $1,600,695,540.</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19, 2021, the registrant had approximately 63,124,580 shares of outstanding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900" w:type="dxa"/>
            <w:vAlign w:val="bottom"/>
            <w:vMerge w:val="restart"/>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9400" w:type="dxa"/>
            <w:vAlign w:val="bottom"/>
          </w:tcPr>
          <w:p>
            <w:pPr>
              <w:spacing w:after="0"/>
              <w:rPr>
                <w:sz w:val="18"/>
                <w:szCs w:val="18"/>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29"/>
        </w:trPr>
        <w:tc>
          <w:tcPr>
            <w:tcW w:w="900" w:type="dxa"/>
            <w:vAlign w:val="bottom"/>
            <w:vMerge w:val="continue"/>
          </w:tcPr>
          <w:p>
            <w:pPr>
              <w:spacing w:after="0"/>
              <w:rPr>
                <w:sz w:val="19"/>
                <w:szCs w:val="19"/>
                <w:color w:val="auto"/>
              </w:rPr>
            </w:pPr>
          </w:p>
        </w:tc>
        <w:tc>
          <w:tcPr>
            <w:tcW w:w="9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760" w:type="dxa"/>
            <w:vAlign w:val="bottom"/>
          </w:tcPr>
          <w:p>
            <w:pPr>
              <w:jc w:val="center"/>
              <w:ind w:left="2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Item 1A.</w:t>
              </w:r>
            </w:hyperlink>
          </w:p>
        </w:tc>
        <w:tc>
          <w:tcPr>
            <w:tcW w:w="9400" w:type="dxa"/>
            <w:vAlign w:val="bottom"/>
          </w:tcPr>
          <w:p>
            <w:pPr>
              <w:ind w:left="1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760" w:type="dxa"/>
            <w:vAlign w:val="bottom"/>
          </w:tcPr>
          <w:p>
            <w:pPr>
              <w:jc w:val="center"/>
              <w:ind w:left="250"/>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8</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1B.</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21</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Properties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3.</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23</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4.</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u w:val="single" w:color="auto"/>
                  <w:color w:val="0000FF"/>
                </w:rPr>
                <w:t>PART II</w:t>
              </w:r>
              <w:r>
                <w:rPr>
                  <w:rFonts w:ascii="Arial" w:cs="Arial" w:eastAsia="Arial" w:hAnsi="Arial"/>
                  <w:sz w:val="18"/>
                  <w:szCs w:val="18"/>
                  <w:b w:val="1"/>
                  <w:bCs w:val="1"/>
                  <w:color w:val="0000FF"/>
                </w:rPr>
                <w:t>.</w:t>
              </w:r>
            </w:hyperlink>
          </w:p>
        </w:tc>
        <w:tc>
          <w:tcPr>
            <w:tcW w:w="9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Market for Registrant’s Common Equity, Related Shareholder Matters and Issuer Purchases of Equity Securities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24</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Reserved</w:t>
              </w:r>
            </w:hyperlink>
          </w:p>
        </w:tc>
        <w:tc>
          <w:tcPr>
            <w:tcW w:w="760" w:type="dxa"/>
            <w:vAlign w:val="bottom"/>
          </w:tcPr>
          <w:p>
            <w:pPr>
              <w:jc w:val="center"/>
              <w:ind w:left="230"/>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25</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7.</w:t>
              </w:r>
            </w:hyperlink>
          </w:p>
        </w:tc>
        <w:tc>
          <w:tcPr>
            <w:tcW w:w="940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25</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7A.</w:t>
              </w:r>
            </w:hyperlink>
          </w:p>
        </w:tc>
        <w:tc>
          <w:tcPr>
            <w:tcW w:w="9400" w:type="dxa"/>
            <w:vAlign w:val="bottom"/>
          </w:tcPr>
          <w:p>
            <w:pPr>
              <w:ind w:left="1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37</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8.</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Financial Statements and Supplementary Data</w:t>
              </w:r>
            </w:hyperlink>
          </w:p>
        </w:tc>
        <w:tc>
          <w:tcPr>
            <w:tcW w:w="760" w:type="dxa"/>
            <w:vAlign w:val="bottom"/>
          </w:tcPr>
          <w:p>
            <w:pPr>
              <w:jc w:val="center"/>
              <w:ind w:left="230"/>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39</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9.</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Changes in and Disagreements with Accountants on Accounting and Financial Disclosure</w:t>
              </w:r>
            </w:hyperlink>
          </w:p>
        </w:tc>
        <w:tc>
          <w:tcPr>
            <w:tcW w:w="760" w:type="dxa"/>
            <w:vAlign w:val="bottom"/>
          </w:tcPr>
          <w:p>
            <w:pPr>
              <w:jc w:val="center"/>
              <w:ind w:left="230"/>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39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9A.</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39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9B.</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760" w:type="dxa"/>
            <w:vAlign w:val="bottom"/>
          </w:tcPr>
          <w:p>
            <w:pPr>
              <w:jc w:val="center"/>
              <w:ind w:left="230"/>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40</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PART III.</w:t>
              </w:r>
            </w:hyperlink>
          </w:p>
        </w:tc>
        <w:tc>
          <w:tcPr>
            <w:tcW w:w="9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Directors, Executive Officers and Corporate Governance</w:t>
              </w:r>
            </w:hyperlink>
          </w:p>
        </w:tc>
        <w:tc>
          <w:tcPr>
            <w:tcW w:w="760" w:type="dxa"/>
            <w:vAlign w:val="bottom"/>
          </w:tcPr>
          <w:p>
            <w:pPr>
              <w:jc w:val="center"/>
              <w:ind w:left="23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Executive Compensation</w:t>
              </w:r>
            </w:hyperlink>
          </w:p>
        </w:tc>
        <w:tc>
          <w:tcPr>
            <w:tcW w:w="760" w:type="dxa"/>
            <w:vAlign w:val="bottom"/>
          </w:tcPr>
          <w:p>
            <w:pPr>
              <w:jc w:val="center"/>
              <w:ind w:left="23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Security Ownership of Certain Beneficial Owners and Management and Related Shareholder Matters</w:t>
              </w:r>
            </w:hyperlink>
          </w:p>
        </w:tc>
        <w:tc>
          <w:tcPr>
            <w:tcW w:w="760" w:type="dxa"/>
            <w:vAlign w:val="bottom"/>
          </w:tcPr>
          <w:p>
            <w:pPr>
              <w:jc w:val="center"/>
              <w:ind w:left="23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Certain Relationships and Related Transactions, and Director Independence</w:t>
              </w:r>
            </w:hyperlink>
          </w:p>
        </w:tc>
        <w:tc>
          <w:tcPr>
            <w:tcW w:w="760" w:type="dxa"/>
            <w:vAlign w:val="bottom"/>
          </w:tcPr>
          <w:p>
            <w:pPr>
              <w:jc w:val="center"/>
              <w:ind w:left="23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Principal Accounting Fees and Services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u w:val="single" w:color="auto"/>
                  <w:color w:val="0000FF"/>
                </w:rPr>
                <w:t>PART IV</w:t>
              </w:r>
              <w:r>
                <w:rPr>
                  <w:rFonts w:ascii="Arial" w:cs="Arial" w:eastAsia="Arial" w:hAnsi="Arial"/>
                  <w:sz w:val="18"/>
                  <w:szCs w:val="18"/>
                  <w:b w:val="1"/>
                  <w:bCs w:val="1"/>
                  <w:color w:val="0000FF"/>
                </w:rPr>
                <w:t>.</w:t>
              </w:r>
            </w:hyperlink>
          </w:p>
        </w:tc>
        <w:tc>
          <w:tcPr>
            <w:tcW w:w="9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 Financial Statement Schedules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42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color w:val="0000FF"/>
              </w:rPr>
            </w:pPr>
            <w:hyperlink w:anchor="page95">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9400" w:type="dxa"/>
            <w:vAlign w:val="bottom"/>
          </w:tcPr>
          <w:p>
            <w:pPr>
              <w:ind w:left="14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Form 10-K Summary</w:t>
              </w:r>
            </w:hyperlink>
          </w:p>
        </w:tc>
        <w:tc>
          <w:tcPr>
            <w:tcW w:w="760" w:type="dxa"/>
            <w:vAlign w:val="bottom"/>
          </w:tcPr>
          <w:p>
            <w:pPr>
              <w:jc w:val="center"/>
              <w:ind w:left="230"/>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92</w:t>
              </w:r>
            </w:hyperlink>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95">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(“2020 10-K Report”) as “World Fuel,” “we,” “our” and “us.”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will continue to focus on enhancing the portfolio of products and services we provide based on changes in customer demand, including sustainability offerings and renewable energy solutions.</w:t>
      </w:r>
    </w:p>
    <w:p>
      <w:pPr>
        <w:spacing w:after="0" w:line="20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Northwest 41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https://www.wfscorp.com and the investor relations section of our website is located at https://ir.wfscorp.com.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2020 10-K Report and are not incorporated by reference in this 2020 10-K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During each of the years presented on the Consolidated Statements of Income and Comprehensive Income, none of our aviation, land or marine customers accounted for more than 10% of any segment or total consolidated revenue. Financial information with respect to our business segments and the geographic areas of our business is provided below and within "Note 13. Business Segments, Geographic Information and Major Customers" within "Part IV. Item 15. Notes to the Consolidated Financial Statements" included in this 2020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fixed-based operators, corporate fleets, fractional operators and private aircraft. Our aviation-related service offerings include fuel management, price risk management, ground handling, 24/7 global dispatch services, and international trip planning services, including flight plans, weather reports and overflight permits. We also supply products and services to U.S. and foreign government and military customers, such as the North Atlantic Treaty Organization ("NATO") and the U.S. Defense Logistics Agency (collectively, "government customers"). In addition, we offer card payment solutions and related processing services and technology, and we have developed and operate a web-based marketplace platform that facilitates aircraft charter arrangements.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fuel is a major component of an aircraft’s operating costs, our customers require cost-effective and professional fuel services. We have developed an extensive network consisting of on-airport fueling operations and third-party suppliers and service providers that enable us to provide aviation fuel and related services throughout the world. We believe the breadth of our service offering combined with our global supplier network is a strategic differentiator that allows customers to secure fuel and high-quality services in locations worldwide on short notice.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who commit to purchasing fuel from us over the contract term. We also conduct spot sales, which are sales that do not involve continuing contractual obligations by our customers to purchase fuel from us. Our cost of fuel is generally tied to market-based formulas or government-controlled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land segment, we primarily offer fuel, heating oil, propane, natural gas, lubricants and related products and services to petroleum distributors operating in the land transportation market, retail petroleum operators, and industrial, commercial, residential and government customers. Our land-related services include management services for the procurement of fuel and price risk management. We primarily conduct these activities throughout most of the U.S. as well as parts of the United Kingdom ("U.K.") and Brazil. We also offer advisory and fulfillment solutions with respect to power, natural gas and other energy products, as well as sustainability consulting, renewable fuel products, and carbon management and renewable energy solutions through World Kinect, our global energy management brand, with offices in the U.S., Australia and throughout Europe. In addition, we offer transaction management services, which include government payment systems for global fuel procurement, merchant processing services, payment solutions for tolls across Europe and commercial payment programs.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including pipelines. Our cost of fuel is generally tied to market-based formulas.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we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third-parties.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end-user, as well as for expediting delivery of the fuel.</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which have significantly greater capital resources than us, to relatively small and specialized firms. In our fuel distribution activities, we compete with major oil producers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effects and impacts on the environment. Our business activities are subject to substantial regulation by federal, state, local and international governmental agencies in the countries in which we operate,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car; fuel storage terminals or underground storage tanks that we own, lease or operate; or the quality of product under our control may require significant capital expenditures and increased operating and maintenance costs, particularly as we continue to expand our physical presence globally.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the penalties for violations of environmental laws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negligent or at fault. See “Item 1A – Risk Factors,” and “Item 3 – 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the California cap-and-trade program and low carbon fuel standard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E.U., there is a commitment to cut carbon dioxide emissions by at least 40% by 2030 and E.U. member states have implemented a range of subsidies and incentives to achieve the EU’s climate change goals. Further, emissions are regulated via a number of means, including the European Union Emissions Trading System (‘‘EU ETS’’), which is a trading system across the E.U. for industrial emissions. The</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EU ETS is expected to become progressively more stringent over time, including by reducing the number of allowances to emit GHGs. In other countries, regulations include the adoption of cap and trade regimes, carbon taxes, restrictive permitting, increased efficiency standards, and incentives or mandates for renewable energy.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our vendors and our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Furthermore, changes in regulatory policies or increased awareness and any adverse publicity in the global marketplace about potential impacts on climate change by us or other companies in our industry could result in a reduction in the demand for hydrocarbon products that are deemed to contribute to GHGs, harm our reputation and adversely impact our sales of fuel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25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labor and employment;</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workplace and driver safety;</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consumer protection;</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data privacy and protection;</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commodities trading, brokerage, derivatives and advisory services;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credit and payment card processing and payment services;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antitrust and competition;</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anti-money laundering, financial services, and funds transmission;</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customs laws regulating the import and export of goods; and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other regulatory reporting and licensing requirements.</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we would be required to correct or implement measures to prevent a recurrence of any violations, which could increase our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World Fuel Services, we believe that our people's passion and expertise are what differentiates us and investing in our people is a top priority. Our comprehensive approach to serving our workforce includes our commitment to our employees' growth and development, health and safety, and overall well-being. As of February 19, 2021, we employed approximately 4,300 employees globally who are based in the following regions:</w:t>
      </w:r>
    </w:p>
    <w:p>
      <w:pPr>
        <w:spacing w:after="0" w:line="239" w:lineRule="exact"/>
        <w:rPr>
          <w:sz w:val="20"/>
          <w:szCs w:val="20"/>
          <w:color w:val="auto"/>
        </w:rPr>
      </w:pPr>
    </w:p>
    <w:tbl>
      <w:tblPr>
        <w:tblLayout w:type="fixed"/>
        <w:tblInd w:w="325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right w:val="single" w:sz="8" w:color="auto"/>
            </w:tcBorders>
            <w:shd w:val="clear" w:color="auto" w:fill="305496"/>
          </w:tcPr>
          <w:p>
            <w:pPr>
              <w:ind w:left="20"/>
              <w:spacing w:after="0"/>
              <w:rPr>
                <w:sz w:val="20"/>
                <w:szCs w:val="20"/>
                <w:color w:val="auto"/>
              </w:rPr>
            </w:pPr>
            <w:r>
              <w:rPr>
                <w:rFonts w:ascii="Arial" w:cs="Arial" w:eastAsia="Arial" w:hAnsi="Arial"/>
                <w:sz w:val="16"/>
                <w:szCs w:val="16"/>
                <w:color w:val="FFFFFF"/>
              </w:rPr>
              <w:t>Regions</w:t>
            </w:r>
          </w:p>
        </w:tc>
        <w:tc>
          <w:tcPr>
            <w:tcW w:w="1480" w:type="dxa"/>
            <w:vAlign w:val="bottom"/>
            <w:tcBorders>
              <w:top w:val="single" w:sz="8" w:color="auto"/>
              <w:right w:val="single" w:sz="8" w:color="auto"/>
            </w:tcBorders>
            <w:shd w:val="clear" w:color="auto" w:fill="305496"/>
          </w:tcPr>
          <w:p>
            <w:pPr>
              <w:ind w:left="180"/>
              <w:spacing w:after="0"/>
              <w:rPr>
                <w:sz w:val="20"/>
                <w:szCs w:val="20"/>
                <w:color w:val="auto"/>
              </w:rPr>
            </w:pPr>
            <w:r>
              <w:rPr>
                <w:rFonts w:ascii="Arial" w:cs="Arial" w:eastAsia="Arial" w:hAnsi="Arial"/>
                <w:sz w:val="16"/>
                <w:szCs w:val="16"/>
                <w:color w:val="FFFFFF"/>
              </w:rPr>
              <w:t>% of Workforce</w:t>
            </w:r>
          </w:p>
        </w:tc>
      </w:tr>
      <w:tr>
        <w:trPr>
          <w:trHeight w:val="210"/>
        </w:trPr>
        <w:tc>
          <w:tcPr>
            <w:tcW w:w="3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 Canada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45%</w:t>
            </w:r>
          </w:p>
        </w:tc>
      </w:tr>
      <w:tr>
        <w:trPr>
          <w:trHeight w:val="230"/>
        </w:trPr>
        <w:tc>
          <w:tcPr>
            <w:tcW w:w="3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 Middle East &amp; Africa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40%</w:t>
            </w:r>
          </w:p>
        </w:tc>
      </w:tr>
      <w:tr>
        <w:trPr>
          <w:trHeight w:val="230"/>
        </w:trPr>
        <w:tc>
          <w:tcPr>
            <w:tcW w:w="3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Latin America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w:t>
            </w:r>
          </w:p>
        </w:tc>
      </w:tr>
      <w:tr>
        <w:trPr>
          <w:trHeight w:val="243"/>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Asia / Pacific</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energy supply and logistics company, we are committed to doing the right thing in all that we do and we continually seek to protect the health and safety of our employees, contractors, customers, suppliers and the communities in which we operate. We play a leading role in promoting best practices within the transportation industry and are closely involved in developing, setting, and maintaining health, safety and environment (“HSE”) industry standards. We have also established a set of “Rules to Live By” to help strengthen our existing Integrated Management System and drive appropriate safety behaviors and practices, which specify certain behaviors that we believe are vital to preventing workplace incidents. These zero-tolerance rules are designed to ensure the safety of our employees, contractors, customers, suppliers and communities around the world.</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response to the COVID-19 pandemic, we implemented our business continuity and emergency response plans in alignment with mandates from local authorities. To ensure the safety of our employees who are continuing to work through the pandemic, we provide instructions and regular updates on how to work safely in the COVID-19 environment. We also provide protective wear and additional training for our employees working in our on-site fueling and trucking operations and have elevated our cleaning protocols for our offices, facilities and equipment. We have also been maximizing remote work throughout our global offices and wherever possible, our employees are collaborating virtually with our customers, suppliers and each other using the information-sharing tools and technology that we have invested in during the last several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Investing in our employees is a top priority and we continually strive to provide an environment that promotes learning, growth and development to maximize our people's potential. We always seek to attract, develop and retain the most qualified people for all our positions while focusing on embedding diversity inclusion to build a unique blend of cultures, backgrounds, skills and beliefs that mirror the world we live in. We strongly believe our ongoing initiatives in minority, women and veterans hiring contribute to gains in employee retention, growth and development, which invariably lead to improved operating and financial performance. For example, we believe that the contributions of the women at World Fuel Services are instrumental for the success of our global business and therefore, we strive to seize each opportunity to encourage and support women within our organization, as we recognize the importance of empowering women to reduce the gender inequalities in our society. We recently gathered more than 200 of our female colleagues globally as part of an International Women’s Day event to celebrate women’s accomplishments and provided opportunities for development, networking and mentorship. These types of events offer a great platform to facilitate the exchange of experiences among our female colleagues, with the goal of empowering the women of World Fuel Services in their professional and personal lives.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Well-Being</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place a high degree of focus on growth in position and career enhancement paths for our valued employees by providing professional development opportunities and cultivating a diverse talent pool. We offer competitive compensation comprising salaries, incentive bonuses, various forms of equity awards, and comprehensive benefits packages in each of our locations worldwide.</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committed to supporting the health and well-being of our employees and their families, as we believe that the key to successful business operations is a healthy and competent workforce. We have identified a strong connection between employee well-being and the safety of business operations. Accordingly, we are devoted to supporting employee well-being in all dimensions, which goes beyond their physical well-being and includes support for emotional, financial and social well-being. It is a holistic approach which provides support and resources that empower our employees and their families to embrace a healthy lifestyle and we have launched various programs to build a global culture that promotes and celebrates employee health and well-being in our locations worldwide.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Citizenship</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strongly believe that we can play a positive role in the communities in which we operate. At World Fuel Services, we and all of our employees are dedicated to being a good neighbor and charitable partner in all the local and global communities where we conduct our operations. We are committed to creating a positive impact in our communities, encouraging our employees to support the communities in which they live and in which we operate, and engaging with and supporting charities in all aspects of society.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charities in which we have participated recently include: Adrienne Arsht Center for the Performing Arts of Miami-Dade County; United Way; Muscular Dystrophy Association (MDA); Jet Blue Swing for Good, which supports youth-oriented charities; Folds of Honor, which provides educational scholarships to spouses and children of America’s fallen and disabled service-members, and many more local and global institutions and organizations.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2020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2020 10-K Report includes forward-looking statements about (i) the impact of the coronavirus pandemic ("COVID-19") on us and our customers, including our expectations about demand, volume, profitability and the impact of fuel prices, (ii) our expectations regarding the conditions in the aviation, land, and marine markets and their impact on our business, (iii) our expectations regarding government-related activity in Afghanistan with the North Atlantic Treaty Organization (NATO) and the impact of the U.S. troop withdrawals, as well as the related profit contribution, (iv) our estimates regarding the expected benefits from our actions to reduce cost and our restructuring initiatives, including the rationalization of our global office footprint, (v) our expectations regarding our working capital, liquidity, capital expenditure requirements, (vi) our expectations and estimates regarding certain tax, legal and accounting matters, including the impact on our financial statements, (vii) our expectations regarding the financial impact and other benefits of previous acquisitions, including estimates of future expenses and our ability to realize estimated synergies, and (viii) estimates regarding the financial impact of our derivative contracts. These forward-looking statements are qualified in their entirety by cautionary statements and risk factor disclosures contained in our SEC filings.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225" w:lineRule="exact"/>
        <w:rPr>
          <w:sz w:val="20"/>
          <w:szCs w:val="20"/>
          <w:color w:val="auto"/>
        </w:rPr>
      </w:pPr>
    </w:p>
    <w:p>
      <w:pPr>
        <w:ind w:left="580" w:hanging="329"/>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 particularly for those customers most significantly impacted by the COVID-19 pandemic;</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of the impact of the pandemic, including the duration, spread, severity and scope of related government orders and restrictions, on ours and our customers' sales, profitability, operations and supply chains;</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 such as NATO;</w:t>
      </w:r>
    </w:p>
    <w:p>
      <w:pPr>
        <w:spacing w:after="0" w:line="63"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such as the current global economic environment as a result of the coronavirus pandemic;</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sudden changes in the market price of fuel or extremely high or low fuel prices that continue for an extended period of time;</w:t>
      </w:r>
    </w:p>
    <w:p>
      <w:pPr>
        <w:spacing w:after="0" w:line="63"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 including our financial covenants;</w:t>
      </w:r>
    </w:p>
    <w:p>
      <w:pPr>
        <w:spacing w:after="0" w:line="35"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IMO 2020 (defined below);</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35"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 particularly in light of the impact of the pandemic on the financial markets;</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meet fuel and other products specifications agreed with our customers;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35"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63"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35"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2020 10-K Report and those described from time to time in our other filings with the SEC.</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2020 10-K Report will be deemed to modify or supersede such forward-looking statements.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COVID-19 pandemic and related global economic impacts have had and are likely going to continue to have certain adverse effects on our business, results of operations and financial condition.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ongoing coronavirus pandemic and efforts to control its spread have resulted in a substantial decline in global economic activity, caused disruptions in global supply chains and created significant volatility in financial markets. Governments around the world have implemented stringent preventative measures to contain the spread of the virus, including stay-at-home orders and travel restrictions, together with business, government and school closures. These measures have resulted in reduced demand for fuel and other related products and services, negatively impacting our results of operations in 2020, and led to a decline in fuel prices beginning in early 2020. This was further exacerbated by disagreements regarding crude oil-production levels between the Organization of Petroleum Exporting Countries members and other large oil producing countries (“OPEC+”), as well as related global storage considerations. While OPEC+ members have since agreed on production cuts, there is uncertainty as to whether such agreement will continue to be observed by its members or that the agreed production cuts will be sufficient to offset continuing demand weakness.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response to the pandemic, we took prompt action beginning in the first quarter of 2020 to ensure the safety of our employees and other stakeholders, as well as commenced a number of initiatives relating to cost reduction, liquidity and operating efficiencies throughout the balance of the year. However, it is uncertain whether such measures will be sufficient to mitigate the risks posed by the virus or a prolonged economic downturn, and our ability to successfully execute our business operations could be adversely impacted. The COVID-19 pandemic has had, and we expect will continue to have, certain negative impacts on our business, in addition to the risks described throughout this section, including, but not limited to:</w:t>
      </w:r>
    </w:p>
    <w:p>
      <w:pPr>
        <w:spacing w:after="0" w:line="235"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our supply chains due to transportation delays, travel restrictions, cost increases, and closures of businesses or facilities;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periods of reduced demand and volatile fuel prices that impact our sales volume and related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delayed customer payments and payment defaults associated with customer liquidity issues and bankruptcies;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liquidity challenges, such as reduced availability under our senior credit facility due to financial covenant restrictions tied to our financial performance;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on hedging transactions with customers arising from sudden changes in fuel prices;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resulting from office and facility closures and changes in operating procedures, including additional cleaning and disinfecting procedures;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infections or quarantining of our employees which could impact our ability to service our customers or operate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associated with the rationalization of our portfolio of businesses and other restructuring activities;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impairments, including an impairment of the carrying value of our goodwill, along with other accounting charges if expected future demand for our products and services materially decreases;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the global financial markets, which could have a negative impact on our ability to access capital and additional sources of financing in the future;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assertion of force majeure or other claims by customers, suppliers and other third parties for their non-performance;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increased severance costs, retention issues, and an inability to hire employees when market conditions improve;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heightened risk of cybersecurity issues, as digital technologies may become more vulnerable and experience a higher rate of cyber-attacks in a remote connectivity environment; and,</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structural shift in the global economy and its demand for fuel and related products and services as a result of changes in the way people work, travel and interact, or in connection with a global recession.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monitoring and continue to assess the ongoing effects of the COVID-19 pandemic on our businesses and operations. While many governments have enacted fiscal and monetary stimulus policies intended to counteract the adverse economic impact of the pandemic, the effectiveness of such actions remains uncertain. We expect the full impact of the COVID-19 pandemic, including the extent of its effect on our financial condition and results of operations, to be dictated by future developments which are highly uncertain and cannot be predicted, such as the speed and effectiveness of efforts to contain and combat the virus, including vaccine development and distribution, the possibility of subsequent widespread outbreaks and the impact of actions taken by governments and businesses in response, the ultimate impact on global economic activity and how quickly, and to what extent, normal economic and operating conditions can resume on a sustainable basis globally, as well as the extent and duration of the effect of the crisis on consumer confidence and spending.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pandemic may also have the effect of exacerbating many of the other risks discussed in this Annual Report on Form 10-K or in our quarterly reports on Form 10-Q, which could have a material adverse effect on us. Accordingly, the occurrence of one or more of the foregoing factors could increase our costs and/or reduce the demand for our products, which could therefore have a material adverse effect on our business, financial condition, results of operations, liquidity and cash flows. For additional information on the impact of the pandemic, see “Management’s Discussion and Analysis of Financial Condition and Results of Operations - Business Overview."</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COVID-19 pandemic related impacts affecting the aviation, marine and land transportation industries may have a material adverse effect on our business.</w:t>
      </w:r>
    </w:p>
    <w:p>
      <w:pPr>
        <w:jc w:val="both"/>
        <w:spacing w:after="0" w:line="251" w:lineRule="auto"/>
        <w:rPr>
          <w:sz w:val="20"/>
          <w:szCs w:val="20"/>
          <w:color w:val="auto"/>
        </w:rPr>
      </w:pPr>
      <w:r>
        <w:rPr>
          <w:rFonts w:ascii="Arial" w:cs="Arial" w:eastAsia="Arial" w:hAnsi="Arial"/>
          <w:sz w:val="18"/>
          <w:szCs w:val="18"/>
          <w:color w:val="auto"/>
        </w:rPr>
        <w:t>The coronavirus pandemic (COVID-19) has had a significant impact on the global economy generally, as well as the aviation, land and marine transportation industries, where companies operating in these sectors have experienced substantial declines in demand arising from the various measures enacted by governments around the world to contain the spread of the virus. Commercial passenger airlines and cruise lines have been particularly impacted by the travel restrictions and stay-at-home orders, and various other customers in each of our segments have also been adversely affected by such restrictions, as well as the extended shutdown of various businesses and schools in affected regions. As a result, we experienced a sharp decline in sales volume and profitability across our aviation, land and marine segments beginning in the second quarter of 2020, which persisted throughout the balance of the year and may continue for an extended period of time. The ultimate magnitude and duration of these adverse impacts on our business will depend on the timing and extent to which the global economy, and our customers in the aviation, land and marine transportation industries in particular, recover from the current crisis and return to normalized operating levels.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extend credit to most of our customers in connection with their purchase of fuel and services from us, and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in attracting customers has been due, in part, to our willingness to extend credit on an unsecured basis to customers as opposed to requiring prepayment, letters of credit or other forms of credit support. Even in cases where we do obtain credit enhancements, such as guarantees, offset rights, collateral or other forms of security, such rights may not be sufficient or fully collectible depending on the circumstances of the customer at the time of default. Furthermore, the diversification of our credit risk is limited, as we primarily conduct business within the aviation, land and marine transportation industries.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as the impact of the coronavirus pandemic (COVID-19) on the global transportation industry, the extent of deteriorating conditions in the world economy or in the industries we serve, significant changes in oil prices and political instability. For example, during 2020 our provision for bad debt was materially higher, principally in our aviation segment, due to the ongoing effects of the COVID-19 pandemic on the aviation industry arising from the global restrictions on air travel. While we actively manage our credit exposure and work to respond to changes in our customers’ financial condition and other macroeconomic events, there can be no guarantee we will be able to mitigate these risks successfully. Substantial credit losses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 material portion of our profitability is derived from sales to government customers, particularly sales to NATO in Afghanistan, and the loss or material reduction in business from such sales, would likely have a material adverse effect on our results of operations and cash flows.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to government customers represent a material portion of our profitability. In particular, sales to NATO in support of military operations in Afghanistan accounted for approximately 14% of our consolidated gross profit in 2020. The current contract for these sales to NATO has been renewed through December 2021, with an additional one-year renewal option remaining at NATO's discretion. There is no guarantee that NATO will exercise the remaining renewal option.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level of troop deployments and military-related activities can cause our government customer sales to vary significantly and materially impact our operating results. Specifically, the U.S. government has announced its intention to significantly reduce the level of U.S. troops in the Middle East, including the troops supporting NATO in Afghanistan. In the early part of 2020, the U.S. entered into an agreement with the Taliban where it agreed to reduce the level of troops and negotiate a full withdrawal by 2021, subject to various conditions, including a peace agreement being reached between the government of Afghanistan and the Taliban. The U.S. government thereafter moved forward with a significant reduction in the level of troops throughout 2020 and we experienced a material decline in demand during 2020. While the exact timing and full impact of the troop withdrawal remain uncertain, we expect to continue to experience further reductions in demand through 2021.</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to government customers can also be materially impacted by factors such as supply disruptions, border closures, road blockages, hostility-related product losses, inventory shortages and other logistical difficulties that can arise when sourcing and delivering fuel in areas that are actively engaged in war or other military conflicts. Moreover, there is a risk of serious injury or loss of life of our employees or subcontractors operating in these high-risk locations. We therefore, may incur substantial operating costs as a result of, among other things, hostility-related product losses, utilizing alternate supply routes or maintaining the safety of our personnel, particularly where our facilities are likely to be targeted by terrorist activity.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due to complex supply logistics, the indefinite nature of government contracts, and the associated risks of doing business in areas engaged in war or military conflict, sales of products and services to government customers in support of military operations typically carry significantly higher net margins than sales to commercial customers. As a result, a significant decrease in sales to our government customers, or loss of a key contract, such as our NATO agreement, would result in a disproportionate reduction in our consolidated operating income and, thus, would likely have a material adverse effect on our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Fuel prices are impacted by many factors beyond our control, including global economic conditions, changes in global crude oil and natural gas prices, expected and actual supply and demand for fuel, the ability or willingness of OPEC to set and maintain production levels for oil, oil and gas production levels by non-OPEC countries, geopolitical conditions, laws and regulations related to environmental matters, including those mandating or incentivizing alternative energy sources or otherwise addressing global climate change, energy conservation efforts and technological advances affecting energy consumption or supply, regulatory changes in commodities markets, and weather and natural disasters.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In addition, if fuel prices increase, our own credit limits could prevent us from purchasing enough fuel from our suppliers to meet our customers’ demands or could require us to prepay for fuel purchases which would adversely impact our liquidity.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though we may manage or hedge this price exposure with derivatives. A rapid decline in fuel prices could cause a reduction in our inventory valuation, resulting in our inventory being marked down in value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write-down of inventory on hand and incur a non-cash charge or suffer losses as fuel is sold, which could adversely impact our earnings.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jc w:val="both"/>
        <w:spacing w:after="0" w:line="251" w:lineRule="auto"/>
        <w:rPr>
          <w:sz w:val="20"/>
          <w:szCs w:val="20"/>
          <w:color w:val="auto"/>
        </w:rPr>
      </w:pPr>
      <w:r>
        <w:rPr>
          <w:rFonts w:ascii="Arial" w:cs="Arial" w:eastAsia="Arial" w:hAnsi="Arial"/>
          <w:sz w:val="18"/>
          <w:szCs w:val="18"/>
          <w:color w:val="auto"/>
        </w:rPr>
        <w:t>Our business is focused on the marketing of fuel and other related products and services primarily to the aviation, land and marine transportation industries, which are generally affected by economic cycles. Therefore, weak economic conditions can have a negative impact on our customers' business which may, in turn, have an adverse effect on our business. Additionally, our business and that of our customers can be adversely impacted by political instability, terrorist activity,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Any additional political or governmental developments or other global health concerns or crises in the countries in which we or our customers operate, could also result in further social, economic or labor instability. Accordingly, the effects of any of the foregoing risks and uncertainties on us or our customers could have a material adverse effect on our business, results of operations and financial condition.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our business could also be adversely affected by merger activity in the aviation, land or marine transportation industries, which may reduce the number of customers that purchase our products and services, as well as the prices we are able to charge for such products and services. Larger shipping companies and airlines often have greater leverage and have a greater ability to buy directly from major oil companies and suppliers. Accordingly, this can negatively impact our value proposition to these types of customers and increases the risk of disintermediation.</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physical operations have inherent risks that could negatively impact our business, financial condition and results of operations.</w:t>
      </w: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damage and destruction of property and equipment;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3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or damage to our properties and the properties of others. The occurrence of any of these events could also damage our reputation which could adversely affect our business, whether or not we are ultimately held financially liable for such event. While we keep business continuity plans to address these types of contingencies, our failure to timely or properly implement these plans could exacerbate the impact on the business. We generally maintain insurance for these types of events, however, certain losses may be in excess of coverage limits or outside the scope of the coverage. If we are held liable for any material damages, and the liability is not adequately covered by insurance, our financial position and results of operations would likely be adversely affected.</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more difficult. Accordingly, we may be forced to incur significant costs in maintaining or even exiting a physical location, which would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some of our employees, including certain of our drivers that transport and deliver fuel products, are represented by labor unions under collective bargaining agreements. Additional unionization of our workforce or any renegotiation of current collective bargaining agreements may result in terms that are less favorable to us. Any strike, work stoppage or other dispute with our own union employees or those of third parties who provide us services could have a material adverse effect on our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dependent on the availability and supply of fuel and fuel related products, as well as the satisfactory performance of services by us or third parties on our behalf. If the fuel and other products we sell or the services we provide, whether directly or through a third party, fail to meet the specifications we have agreed to with customers or are mandated by law or regulation, such as the International Maritime Association's low sulfur fuel oil requirements, our relationship with our customers could be adversely affected and we could be subject to material claims and liabilities. We could also incur material liabilities if such products cause physical damage to a vessel or aircraft, bodily injury or result in assertion of substantial claims of civil liability against us. Also, adverse publicity about any allegations of contaminated products may negatively impact our business, regardless of whether such allegations are true.</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most of our agreements with suppliers provide that we have recourse against them for products that fail to meet contractual specifications, such recourse may be time-barred or otherwise insufficient to adequately cover the liability we may incur and our ability to enforce such recourse may be limited or costly. For example, several of our supply agreements are with foreign entities, including foreign governments, and are governed by the laws of foreign jurisdictions. We may incur substantial costs in seeking to enforce our rights against a local supplier in a foreign jurisdiction and the ultimate outcome can be unpredictable. In certain markets, we also rely on a single or limited number of suppliers to sell us fuel or provide services on our behalf and therefore, we may have limited alternatives if such supplier fails to meet applicable standards or requirements. Any of the foregoing can result in material liabilities that may exceed any applicable insurance coverage and ultimately, could have a material adverse effect on our business, financial condition, results of operations and cash flows.</w:t>
      </w:r>
    </w:p>
    <w:p>
      <w:pPr>
        <w:spacing w:after="0" w:line="2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operations and financial results.</w:t>
      </w:r>
    </w:p>
    <w:p>
      <w:pPr>
        <w:jc w:val="both"/>
        <w:spacing w:after="0" w:line="246" w:lineRule="auto"/>
        <w:rPr>
          <w:sz w:val="20"/>
          <w:szCs w:val="20"/>
          <w:color w:val="auto"/>
        </w:rPr>
      </w:pPr>
      <w:r>
        <w:rPr>
          <w:rFonts w:ascii="Arial" w:cs="Arial" w:eastAsia="Arial" w:hAnsi="Arial"/>
          <w:sz w:val="18"/>
          <w:szCs w:val="18"/>
          <w:color w:val="auto"/>
        </w:rPr>
        <w:t>Climate change continues to attract considerable public and scientific attention in the U.S. and in foreign countries. As a result, numerous proposals have been adopted and will likely continue to be made at various levels of government globally to monitor and limit GHG emissions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or reduce the use of hydrocarbon-based fuels. These include the adoption of cap and trade regimes, carbon taxes, trade tariffs, minimum</w:t>
      </w:r>
    </w:p>
    <w:p>
      <w:pPr>
        <w:spacing w:after="0" w:line="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renewable usage requirements, restrictive permitting, increased efficiency standards, and incentives or mandates for renewable energy. In 2015, various countries adopted the Paris Agreement, which seeks to reduce GHG emissions and calls for nations to undertake efforts with respect to global temperatures and GHG emissions by submitting emission reduction goals every five years after 2020. We, along with many of our customers and suppliers, have also established goals to reduce carbon emissions throughout our supply chain. The achievement of current or future internal initiatives relating to the reduction of GHG emissions, however, may increase our costs both in the near and long-term, particularly if they require significant changes to our operations, infrastructure or business lines.</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 is difficult to predict given the potential for policy changes under different Presidential administrations and Congressional leadership. Although the U.S. withdrew from the Paris Agreement in 2020, President Biden has signed executive orders recommitting the U.S. to the agreement and calling for the federal government to begin formulating emissions reduction goals and increasing</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emphasis on climate-related risk across governmental agencies and economic sectors. It remains unclear what, if any, additional actions the Biden administration will take and to what extent any new environmental laws or regulations, or any repeal of existing environmental laws or regulations, will impact our business or that of our customers.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in the U.S. and throughout the world. A number of automotive, industrial and power generation manufacturers are developing more fuel-efficient engines, hybrid engines and alternative clean power systems. The more successful these alternatives become, as a result of governmental incentives or regulations, technological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advances, consumer demand, improved pricing or otherwise, the greater the potential negative impact on pricing and demand for our fuel products and accordingly, our profitability.</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changes in regulatory policies or any adverse publicity in the global marketplace about potential impacts on climate change by us or other companies in our industry could also result in a reduction in the demand for hydrocarbon products that are deemed to contribute to</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GHGs, harm our reputation and adversely impact our sales of fuel products. Numerous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many companies’ long-term prospects and</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have developed environmental, social and governance standards to measure companies’ performance. Unfavorable ratings under these evolving standards or benchmarks could adversely impact our business, stock price or access to capital.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potential physical impacts of climate change on our operations are highly uncertain and vary amongst the geographic areas in which we operate. These may include changes in rainfall and storm patterns and intensities, hurricanes, changing sea levels, and changing temperatures that may impact the seasonality of our business, such as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Implementation of our growth strategy may place a strain on our management, operational and financial resources, as well as our information systems.</w:t>
      </w:r>
    </w:p>
    <w:p>
      <w:pPr>
        <w:jc w:val="both"/>
        <w:spacing w:after="0" w:line="256" w:lineRule="auto"/>
        <w:rPr>
          <w:sz w:val="20"/>
          <w:szCs w:val="20"/>
          <w:color w:val="auto"/>
        </w:rPr>
      </w:pPr>
      <w:r>
        <w:rPr>
          <w:rFonts w:ascii="Arial" w:cs="Arial" w:eastAsia="Arial" w:hAnsi="Arial"/>
          <w:sz w:val="18"/>
          <w:szCs w:val="18"/>
          <w:color w:val="auto"/>
        </w:rPr>
        <w:t>A key element of our business strategy has been the growth of our business through acquisitions and strategic investments and divestitures. However, this growth strategy may place a strain on our management, operational and financial resources, as well as our information systems and expose us to additional risks and uncertainties, such as:</w:t>
      </w:r>
    </w:p>
    <w:p>
      <w:pPr>
        <w:spacing w:after="0" w:line="229" w:lineRule="exact"/>
        <w:rPr>
          <w:sz w:val="20"/>
          <w:szCs w:val="20"/>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and efficiently integrate the operations, financial reporting, IT systems, technology, and personnel of acquired businesses and manage acquired businesses or strategic investments while maintaining uniform standards, risk management and controls appropriate for a public company;</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negative impact of changes in management on existing business relationships and other disruptions of the acquired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acquiring businesses or entering into markets in which we may have no or limited direct prior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employees, customers or suppliers of the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if we use a material portion of our available cash or borrowing capacity to fund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 requirements that exceed our estimates and impact the return on our investment;</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or limited indemnities from sellers in an acquisition or ongoing indemnity obligations to purchasers in a divestiture.</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incur significant expenses in connection with these acquisitions or strategic investments or consummate potentially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recognize the anticipated benefits of our acquisitions and other strategic investments.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growth strategy, we have been pursuing acquisition opportunities and strategic investments such as joint venture arrangements or equity investments intended to complement or expand our business portfolio. The success of our growth strategy depends on our ability to find attractive acquisition or investment candidates or strategic investments and consummate such transactions on economically acceptable terms. Before making acquisitions or strategic investments, we conduct due diligence that we deem reasonable and appropriate based on the facts and circumstances applicable to each transaction. Our due diligence investigation may not reveal or highlight all relevant risks that may be necessary or helpful in evaluating such opportunity. Consequently, these transactions could result in unanticipated costs and liabilities that may impact our results of operations and increased demands on our cash resources that may, among other things, impact our ability to explore other opportunities. If our acquisitions or strategic investments do not achieve the financial results anticipated, it could adversely affect our revenues and results of operations.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and expect to continue incurring, expenses related to the integration of acquisitions. Transaction and integration expenses could exceed the savings and synergies that we expect to achieve in the future from the elimination of duplicative expenses and the realization of economies of scale. Any of the foregoing factors could have an adverse effect on our business, financial condition, results of operations and cash flows.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Information technology (“IT”) failures and data security breaches, including as a result of cybersecurity attacks, could negatively impact our results of operations and financial condition, subject us to increased operating costs, and expose us to litigation.</w:t>
      </w:r>
    </w:p>
    <w:p>
      <w:pPr>
        <w:jc w:val="both"/>
        <w:spacing w:after="0" w:line="251" w:lineRule="auto"/>
        <w:rPr>
          <w:sz w:val="20"/>
          <w:szCs w:val="20"/>
          <w:color w:val="auto"/>
        </w:rPr>
      </w:pPr>
      <w:r>
        <w:rPr>
          <w:rFonts w:ascii="Arial" w:cs="Arial" w:eastAsia="Arial" w:hAnsi="Arial"/>
          <w:sz w:val="18"/>
          <w:szCs w:val="18"/>
          <w:color w:val="auto"/>
        </w:rPr>
        <w:t>We rely heavily on digital technologies, including both internal and third party IT systems, network infrastructure and cloud applications and services, to support a variety of business processes and activities across our global operations. Despite our implementation of various security and other protective measures, our technology systems and those of our third-party service providers are vulnerable to damage, disability or failures due to physical theft, power outages, telecommunications failure, programming or operational errors, natural disasters and other catastrophic events. These systems are also subject to cybersecurity attacks, such as hacking, malware, ransomware, denial-of-service attacks, computer viruses, misconduct by our employees or those of third-party providers, and other unauthorized access, release, corruption or loss of data. Given the nature of cybersecurity attacks, some incidents can remain undetected for a period of time despite efforts to detect and respond to them in a timely manner. Any of the foregoing could have a material adverse effect on our cash flows, financial condition or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reliance on email transmissions over public networks also exposes us to risks associated with the failure of our employees, customers, business partners and other third parties to use appropriate controls to protect sensitive information, due to risks associated with online social engineering (e.g. phishing and impersonation), fraud and email scams. External parties may attempt to fraudulently induce employees, customers, suppliers or other users of our systems to disclose sensitive information to gain access to our data or use electronic means to induce us to enter into fraudulent transactions. While we regularly conduct employee training and implement security measures and programs designed to prevent and mitigate cybersecurity threats and online fraud and email scams, past and future occurrences of any of the foregoing could damage our brand, competitiveness and ability to conduct our business, impact our credit and risk exposure decisions, cause us to lose customers or revenues and subject us to significant remediation costs, litigation or regulatory actions, fines and penalties.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make operational and financial decisions or damage our reputation with customers or suppliers, particularly in the event of billing errors or payment delays. Similarly, if ours or any of our cloud service providers’ access to cloud-based platforms and services is disrupted for any reason and leads to disruptions in our critical systems, our operations and ability to manage our business could be adversely impacted. While we seek to obtain contractual protections in our agreements with these providers, we may not have sufficient recourse against these parties in the event they experience a significant cybersecurity attack or other security breach and our or our customers’ data is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To our knowledge, we have not experienced any material losses relating to cybersecurity attacks, however, there can be no assurance that we will not suffer material losses in the future. We currently maintain insurance to protect against cybersecurity risks and incidents. However, this insurance may not be sufficient to cover the financial, legal, business or reputational losses that may result from such incidents.</w:t>
      </w:r>
    </w:p>
    <w:p>
      <w:pPr>
        <w:spacing w:after="0" w:line="213"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color w:val="auto"/>
        </w:rPr>
        <w:t>Sales to government customers involve unique risks that could have a material adverse effect on our business and results of operations.</w:t>
      </w:r>
    </w:p>
    <w:p>
      <w:pPr>
        <w:spacing w:after="0" w:line="261" w:lineRule="auto"/>
        <w:rPr>
          <w:sz w:val="20"/>
          <w:szCs w:val="20"/>
          <w:color w:val="auto"/>
        </w:rPr>
      </w:pPr>
      <w:r>
        <w:rPr>
          <w:rFonts w:ascii="Arial" w:cs="Arial" w:eastAsia="Arial" w:hAnsi="Arial"/>
          <w:sz w:val="18"/>
          <w:szCs w:val="18"/>
          <w:color w:val="auto"/>
        </w:rPr>
        <w:t>In addition to other business risks, our supply of products and services to government customers subjects us to unique risks, many of which are beyond our control. These risks include:</w:t>
      </w:r>
    </w:p>
    <w:p>
      <w:pPr>
        <w:spacing w:after="0" w:line="225"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government spending on defense programs, which can be negatively affected by budgetary constraints, changes in defense spending policies, government shutdowns and changes in military policies or priorities;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awards that are typically made through a competitive bidding process, which can involve substantial costs and managerial time to prepare and submit bids for contracts that may not be awarded to us;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complexities associated with government contracting, including extensive procurement regulations, contracts for indefinite delivery (where there are no guarantees on the quantity or timing of the purchases); and, the ability of government customers to unilaterally modify certain terms and conditions in existing contracts or terminate existing contracts for their convenience.</w:t>
      </w:r>
    </w:p>
    <w:p>
      <w:pPr>
        <w:spacing w:after="0" w:line="28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Government customers routinely audit government contractors to review contract performance, cost structure and compliance with applicable laws, regulations, and standards, as well as the adequacy of and compliance with internal control systems and policies. Any costs found to be misclassified or inaccurately allocated may not be reimbursable, and to the extent already reimbursed, may need to be refunded and could subject us to a variety of government claims. Also, any inadequacies in our systems and policies could result in payments being withheld, penalties and reduced future business. Improper or illegal activities, including those caused by our subcontractors, could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or results of operations. See Part I. Item 1. of this 2020 10-K Report for additional details regarding applicable laws and regulations.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such as:</w:t>
      </w:r>
    </w:p>
    <w:p>
      <w:pPr>
        <w:spacing w:after="0" w:line="225"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caws restricting us from repatriating profits earned from our activities within foreign countries;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 including operating within economies susceptible to recessions or severe currency devaluations;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terrorism, war, civil unrest and natural disasters and other weather-related events.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we have substantial operations in the U.K., particularly in our land segment, and the U.K.’s exit from the E.U. in January 2020 (commonly referred to as “Brexit”) may adversely affect our business in the U.K. and the relationships with our existing and future customers, suppliers and other stakeholders. After an 11-month transition period, in December 2020, the U.K. and the E.U. announced a new bilateral trade and cooperation deal which has been applied provisionally since January 1, 2021 but is subject to formal approval by the European Parliament and the Council of the European Union before it comes into effect. However, we continue to face risks associated with the unavoidable uncertainties related to Brexit and the new relationship between the U.K. and E.U., including potential disruption of our supply chains and the free movement of goods, services and people between the U.K. and the E.U. In addition, Brexit could lead to legal uncertainty and potentially divergent national laws and regulations, including with respect to tax regulations and certain licenses or other rights granted to us under E.U. laws. Further, uncertainty around these and related issues could lead to adverse effects on the economy of the U.K. and the other economies in which we operate. There can be no assurance that any or all of these events will not have a material adverse effect on our business operations, results of operations and financial condition.</w:t>
      </w: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has caused our revenues and operating results to fluctuate and can adversely affect the market price of our shares.</w:t>
      </w:r>
    </w:p>
    <w:p>
      <w:pPr>
        <w:jc w:val="both"/>
        <w:spacing w:after="0" w:line="251"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traditionally higher demand for natural gas and home heating oil during the winter months and for aviation and land fuel relating to increased travel during the summer months, as well as other seasonal weather patterns. As such, our results for the second and third quarters of the year tend to be the strongest for our aviation segment and our results for the fourth and first quarters of the year tend to be the strongest for our land segment. However, extreme or unseasonable weather conditions can substantially reduce the demand for our products and services or significantly increase the prices of the fuel products we sell which can, in turn, adversely impact our results of operations. For example, unseasonably warm winter weather in the U.S. and U.K. in recent years has adversely impacted our results in the land segment. 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a number of factors including industry experience, the economic environment and our projections of future operating performance. If our estimates and assumptions prove to be incorrect, there is the potential for a partial or total impairment of the carrying amount of goodwill within one or more of our reporting units.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past, we have recorded impairment charges in connection with various factors such as exiting certain markets or lines of business. Due to continual changes in market and general business conditions, we cannot predict whether, and to what extent, our goodwill and long-lived intangible assets may be impaired in future periods. Any resulting impairment loss would have a negative effect on our results of operations. See Note 7. "Goodwill and Identifiable Intangible Assets" within "Part IV. Item 15. Notes to the Consolidated Financial Statements" for more information.</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may be unable to realize the level of benefit that we expect from our restructuring activities and cost reduction initiatives which may hurt our profitability and our business otherwise might be adversely affected.</w:t>
      </w:r>
    </w:p>
    <w:p>
      <w:pPr>
        <w:jc w:val="both"/>
        <w:spacing w:after="0" w:line="252" w:lineRule="auto"/>
        <w:rPr>
          <w:sz w:val="20"/>
          <w:szCs w:val="20"/>
          <w:color w:val="auto"/>
        </w:rPr>
      </w:pPr>
      <w:r>
        <w:rPr>
          <w:rFonts w:ascii="Arial" w:cs="Arial" w:eastAsia="Arial" w:hAnsi="Arial"/>
          <w:sz w:val="18"/>
          <w:szCs w:val="18"/>
          <w:color w:val="auto"/>
        </w:rPr>
        <w:t>We have in the past and may, in the future, divest of certain non-core assets, exit lines of businesses that are not achieving the desired return on investment or generate low or highly variable economic value, or otherwise restructure certain of our operations to improve operating efficiencies, cost competitiveness and profitability. We have also engaged in various cost reduction initiatives and restructuring activities in recent years and expect to continue to evaluate areas for additional restructuring and cost reduction opportunities, as well as potential divestitures. We may not be able to achieve the level of benefit that we expect to realize from our past or future restructuring activities or divestitures. For example, we may be unable to produce returns on the reinvestment of proceeds that are greater than that of the divested activity. Further, these types of restructuring activities could result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unintended consequences such as diversion of our management and employees’ attention from ongoing business operations, business disruption, including as a result of any interconnectivity between our retained business and the one divested, attrition beyond any planned reduction in workforce, potential loss of key customers, inability to attract or retain key personnel and reduced employee productivity or morale, which could adversely affect our business. Finally, restructuring activities and divestitures may result in restructuring charges and material write-offs, including those related to goodwill and other intangible assets, as well as ongoing indemnity obligations to purchasers, any of which could have a material adverse effect on our results of operations and financial condition.</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competing with resellers, we also compete with the major oil producers that market fuel and other energy products directly to the large commercial airlines, shipping companies and commercial and industrial users. In recent years, a low fuel price environment has caused many major oil companies to remain in or re-enter the downstream markets. Our business could be adversely affected and subject to the risk of disintermediation if our suppliers choose to increase their direct marketing to compete with us or provide less advantageous price and credit terms to us than to our fuel reseller competitors.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dependent on our ability to adequately finance our capital requirements and fund our investments, which, if not available to us, would impact our ability to conduct our operations.</w:t>
      </w: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on acceptable terms or at all, such as in the event there is a substantial tightening of the global credit markets or a substantial increase in interest rates, it could have a negative impact on our liquidity, business, financial condition, and cash flows, as well as our future development and growth. In addition, if we are unable to obtain debt or other forms of financing and instead raise capital through equity issuance, existing shareholders would be diluted.</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also impacted by the availability of trade credit to fund fuel purchases and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our Credit Facility and Term Loans impose certain operating and financial covenants on us, which, among other things, restrict our ability to pay dividends or make certain other restricted payments, incur additional debt, create liens and sell a material amount of assets.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may act as a counterparty in over-the-counter swap transactions with some of our customers where the customer may be required to pay us in connection with changes in the price of the underlying energy product.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jc w:val="both"/>
        <w:spacing w:after="0" w:line="252" w:lineRule="auto"/>
        <w:rPr>
          <w:sz w:val="20"/>
          <w:szCs w:val="20"/>
          <w:color w:val="auto"/>
        </w:rPr>
      </w:pPr>
      <w:r>
        <w:rPr>
          <w:rFonts w:ascii="Arial" w:cs="Arial" w:eastAsia="Arial" w:hAnsi="Arial"/>
          <w:sz w:val="18"/>
          <w:szCs w:val="18"/>
          <w:color w:val="auto"/>
        </w:rPr>
        <w:t>We enter into financial derivative contracts primarily to mitigate the risk of market price fluctuations in energy products, to offer our customers energy pricing alternatives to meet their needs, to manage price exposures associated with our inventories, and to mitigate the risk of fluctuations in foreign currency exchange rates. However, our efforts to hedge our exposure to fluctuations in energy prices and exchange rates may be ineffective in certain instances. For example, we hedge jet fuel prices with derivatives tied to other petroleum products that have historically been correlated to aviation jet fuel (e.g. heating oil in the U.S. or gasoil in Europe or Asia). If the price of aviation jet fuel at a specific location experiences a divergence to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enter into proprietary derivative transactions, which are not intended to hedge our own risk but rather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 In addition, our employees may fail to comply with our policies and procedures with respect to hedging or proprietary trading, such as engaging in unauthorized trading activity, failing to hedge a specific price risk or failing to comply with our internal limits on exposure or any applicable statutory or regulatory requirements. Furthermore, the enforceability of our derivative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and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as a result of gains or losses may cause our earnings to fluctuate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U.S. and foreign taxes, including income taxes and taxes imposed on the purchase and sale of aviation, marine and land fuel products, such as sales, excise, value-added tax (“VAT”), energy, environmental and other taxes. We have also benefited from an income tax concession in Singapore since 2008, which reduces the income tax rate on qualified sales and derivative gains and losses. Our current five-year concession period began January 1, 2018 and is conditional upon our meeting certain employment and investment thresholds which, if not met, may eliminate the benefit beginning with the first year in which the conditions are not satisfied. Our operating results and cash flows could be adversely affected by changes in our tax expense and the effective tax rate as a result of a change in the mix of earnings in countries with differing statutory tax rates or our overall profitability, changes in tax legislation, our failure to comply with tax regulations or the loss of the tax concession.</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valuation of our net deferred tax assets. We are regularly audited by various domestic and foreign tax authorities and are involved in various inquiries, audits, challenges and litigation in a number of countries, including Brazil, Denmark, South Korea and the U.S., where the amounts under controversy may be material. We are in the process of addressing and responding to inquiries in various jurisdictions and challenging a number of tax assessments in several administrative and legal proceedings, each of which is at various stages in the process. In some jurisdictions, these challenges require the posting of collateral or payment of the contested amount, which may affect our flexibility in operating our business or our liquidity.</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 9. Commitments and Contingencies" and "Note 11. Income Taxes" within "Part IV. Item 15. Notes to the Consolidated Financial Statements" included in this 2020 10-K Report for additional details regarding certain tax matters.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as a result of political or economic factors beyond our control. For example, in December 2017, the U.S. enacted comprehensive tax legislation referred to as the Tax Cuts and Jobs Act (the “Tax Act”), which among other things, reduced the U.S. federal statutory tax rate and broadened the corporate tax base through the elimination or reduction of deductions, exclusions, and credits. In addition, the Tax Act required a one-time transitional tax on foreign cash equivalents and previously unremitted earnings. The final impact of the transition tax and other aspects of the Tax Act may differ from our estimates, possibly materially, due to, among other items, changes in interpretations of the Tax Act, any legislative action to address questions that arise because of the Tax Act, or any actions taken under the new administration to repeal or otherwise amend the Tax Act.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ongoing developments including the project by the Organisation for Economic Co-operation and Development (“OECD”) on Base Erosion and Profit Shifting (“BEPS”), European Commission anti-tax avoidance directives (“ATAD”), and other initiatives, could adversely affect our worldwide effective tax rate. With the finalization of specific actions contained within the OECD’s BEPS study, many OECD countries have begun to implement the actions and update their local tax laws, including ATAD directives. The extent to which countries in which we operate adopt and implement these actions could have a material adverse impact on our income tax expense, effective tax rate, financial condition, and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jc w:val="both"/>
        <w:spacing w:after="0" w:line="252"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For additional information about laws and regulations applicable to our business. In particular, laws and regulations relating to environmental protection and occupational safety and health, can be particularly complex and can impose strict 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an affected area. We may also be held responsible for remediation costs for natural resource damages as well as third-party damages. In our marine segment, we utilize fuel delivery barges and store refined products adjacent to water, thereby potentially subjecting us to strict, joint, and potentially unlimited liability for removal costs and other consequences of where a spill is into navigable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w:t>
      </w:r>
    </w:p>
    <w:p>
      <w:pPr>
        <w:spacing w:after="0" w:line="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sell. Although the ultimate impact of any regulations is difficult to predict accurately, the occurrence of any of the foregoing could have an adverse effect on our business or on the businesses of our customers.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data that we collect may be vulnerable to breach, loss or misuse, and our handling of such data may be impacted by changes in data privacy and protection laws and regulations, which could increase operational costs or result in regulatory penalties or litigation.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we have access to sensitive, confidential or personal data from our employees, customers (both corporate and individual consumers), suppliers and other third parties, some of which may be subject to privacy, security or residency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may be vulnerable to security breaches, theft, misplaced or lost data, and programming, procedural or human errors that could potentially lead to such information being compromised or handled improperly.</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European Union (“E.U.”), Australia, Brazil and other countries where we have operations and customers could impact our processing of this data, including requiring us to make costly changes to our IT systems to properly handle such data. For example, the E.U.’s General Data Protection Regulation (“GDPR”) imposes strict rules on handling personal data related to the E.U. and imposes significant sanctions for violations. We have substantial operations in the E.U. and are therefore subject to these heightened standards. Similarly, the California Consumer Privacy Act (“CCPA”), grants certain rights to California residents with respect to their personal data and requires companies take or refrain from taking certain actions. As interpretation and enforcement of these and other future data privacy, security or residency laws, regulations and industry standards evolve, it may create a range of new compliance obligations, which could cause us to change our business practices, with the possibility for significant financial penalties for noncompliance that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cannot yet determine the full impact such laws, regulations, and requirements may have on our business, our failure to adequately comply with them could lead to substantial fines, penalties, third-party liability, remediation costs, potential cancellation of existing contracts and the inability to compete for future business. We have taken steps to address the requirements of GDPR, CCPA and other applicable data privacy regulations, however, these steps may not prevent all data security breaches or ensure full compliance with all data privacy-related regulations or customer requirements, and any significant breach of the foregoing could have a material adverse effect on our business and reputation, as well as our financial condition, results of operations and cash flows.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international operations subject us to a number of international trade control, anti-money laundering and anti-corruption laws that can impose substantial compliance costs and expose us to civil and/or criminal penalties.</w:t>
      </w:r>
    </w:p>
    <w:p>
      <w:pPr>
        <w:jc w:val="both"/>
        <w:spacing w:after="0" w:line="254" w:lineRule="auto"/>
        <w:rPr>
          <w:sz w:val="20"/>
          <w:szCs w:val="20"/>
          <w:color w:val="auto"/>
        </w:rPr>
      </w:pPr>
      <w:r>
        <w:rPr>
          <w:rFonts w:ascii="Arial" w:cs="Arial" w:eastAsia="Arial" w:hAnsi="Arial"/>
          <w:sz w:val="18"/>
          <w:szCs w:val="18"/>
          <w:color w:val="auto"/>
        </w:rPr>
        <w:t>Our global operations are subject to applicable anti-corruption laws, such as the U.S. Foreign Corrupt Practices Act (“FCPA”) and the U.K. Bribery Act 2010 (“Bribery Act”), anti-money laundering laws, international trade controls, and competition laws. Anti-corruption laws generally prohibit us from providing anything of value to foreign officials for the purposes of improperly influencing official decisions or improperly obtaining or retaining business and may also apply to commercial bribery.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we operate in countries with a high degree of corruption and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International trade controls, including economic sanctions such as those administered by the U.S. Treasury’s Office of Foreign Assets Control (“OFAC”), export controls and anti-boycott regulations, restrict our business dealings with certain countries and individuals, are complex and continually changing. Additional restrictions may be enacted, amended, enforced or interpreted in a manner that materially impacts our operations. From time to time, certain of our subsidiaries have limited business dealings in countries subject to comprehensive OFAC administered sanctions. While such activities currently represent an immaterial amount of our consolidated revenue and income and are undertaken pursuant to general and/or specific licenses issued by OFAC or as otherwise permitted by applicable sanctions regulations. However, these activities may expose us to a heightened risk of violating trade control regulations, which could result in significant penalties.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Such policies and procedures may not always prevent us, our employees or parties acting on our behalf from violating these laws and regulations. Violations may expose us to criminal or civil penalties, or other adverse 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Facility, which if not waived, could result in the acceleration of any outstanding indebtedness, cause cross-defaults under other agreements to which we are a party, and impair our ability to obtain working capital advances or letters of credit. Accordingly, violations could adversely affect, among other things, our reputation, business, financial condition, results of operations and cash flows.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our principal properties, the majority of which are leased, as of February 19, 2021. We consider all of our properties and facilities to be suitable and adequate for our present needs and do not anticipate that we will experience difficulty in renewing or replacing those leases that expire in 2021 in any material respect.</w:t>
      </w:r>
    </w:p>
    <w:p>
      <w:pPr>
        <w:spacing w:after="0" w:line="184" w:lineRule="exact"/>
        <w:rPr>
          <w:sz w:val="20"/>
          <w:szCs w:val="20"/>
          <w:color w:val="auto"/>
        </w:rPr>
      </w:pPr>
    </w:p>
    <w:p>
      <w:pPr>
        <w:ind w:right="4860"/>
        <w:spacing w:after="0" w:line="265"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54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Principal Use</w:t>
            </w:r>
          </w:p>
        </w:tc>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Lease Expiration</w:t>
            </w:r>
          </w:p>
        </w:tc>
        <w:tc>
          <w:tcPr>
            <w:tcW w:w="180" w:type="dxa"/>
            <w:vAlign w:val="bottom"/>
          </w:tcPr>
          <w:p>
            <w:pPr>
              <w:spacing w:after="0"/>
              <w:rPr>
                <w:sz w:val="16"/>
                <w:szCs w:val="16"/>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8"/>
                <w:szCs w:val="18"/>
                <w:color w:val="auto"/>
              </w:rPr>
              <w:t>9800 Northwest 41st Street</w:t>
            </w:r>
          </w:p>
        </w:tc>
        <w:tc>
          <w:tcPr>
            <w:tcW w:w="5460" w:type="dxa"/>
            <w:vAlign w:val="bottom"/>
          </w:tcPr>
          <w:p>
            <w:pPr>
              <w:ind w:left="260"/>
              <w:spacing w:after="0"/>
              <w:rPr>
                <w:sz w:val="20"/>
                <w:szCs w:val="20"/>
                <w:color w:val="auto"/>
              </w:rPr>
            </w:pPr>
            <w:r>
              <w:rPr>
                <w:rFonts w:ascii="Arial" w:cs="Arial" w:eastAsia="Arial" w:hAnsi="Arial"/>
                <w:sz w:val="18"/>
                <w:szCs w:val="18"/>
                <w:color w:val="auto"/>
              </w:rPr>
              <w:t>Executive, administrative, operations and sales office for</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August 2031</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Miami, FL 33178, USA</w:t>
            </w:r>
          </w:p>
        </w:tc>
        <w:tc>
          <w:tcPr>
            <w:tcW w:w="5460" w:type="dxa"/>
            <w:vAlign w:val="bottom"/>
          </w:tcPr>
          <w:p>
            <w:pPr>
              <w:ind w:left="260"/>
              <w:spacing w:after="0"/>
              <w:rPr>
                <w:sz w:val="20"/>
                <w:szCs w:val="20"/>
                <w:color w:val="auto"/>
              </w:rPr>
            </w:pPr>
            <w:r>
              <w:rPr>
                <w:rFonts w:ascii="Arial" w:cs="Arial" w:eastAsia="Arial" w:hAnsi="Arial"/>
                <w:sz w:val="18"/>
                <w:szCs w:val="18"/>
                <w:color w:val="auto"/>
              </w:rPr>
              <w:t>corporate, aviation, land and marine segments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Office No. 2003, Swiss Tower</w:t>
            </w:r>
          </w:p>
        </w:tc>
        <w:tc>
          <w:tcPr>
            <w:tcW w:w="5460" w:type="dxa"/>
            <w:vAlign w:val="bottom"/>
          </w:tcPr>
          <w:p>
            <w:pPr>
              <w:ind w:left="260"/>
              <w:spacing w:after="0"/>
              <w:rPr>
                <w:sz w:val="20"/>
                <w:szCs w:val="20"/>
                <w:color w:val="auto"/>
              </w:rPr>
            </w:pPr>
            <w:r>
              <w:rPr>
                <w:rFonts w:ascii="Arial" w:cs="Arial" w:eastAsia="Arial" w:hAnsi="Arial"/>
                <w:sz w:val="18"/>
                <w:szCs w:val="18"/>
                <w:color w:val="auto"/>
              </w:rPr>
              <w:t>Sales and marketing office for aviation and marine segments</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March 2022</w:t>
            </w:r>
          </w:p>
        </w:tc>
      </w:tr>
      <w:tr>
        <w:trPr>
          <w:trHeight w:val="176"/>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Plot No. Y3, Jumeirah Lakes Towers</w:t>
            </w:r>
          </w:p>
        </w:tc>
        <w:tc>
          <w:tcPr>
            <w:tcW w:w="5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Dubai, United Arab Emirates</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Forum 2, Building N, Level 4, Radial</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aviation and</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December 2024</w:t>
            </w: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Santa Ana Belén (Lindoral), Pozos,</w:t>
            </w:r>
          </w:p>
        </w:tc>
        <w:tc>
          <w:tcPr>
            <w:tcW w:w="5460" w:type="dxa"/>
            <w:vAlign w:val="bottom"/>
          </w:tcPr>
          <w:p>
            <w:pPr>
              <w:ind w:left="260"/>
              <w:spacing w:after="0" w:line="176" w:lineRule="exact"/>
              <w:rPr>
                <w:sz w:val="20"/>
                <w:szCs w:val="20"/>
                <w:color w:val="auto"/>
              </w:rPr>
            </w:pPr>
            <w:r>
              <w:rPr>
                <w:rFonts w:ascii="Arial" w:cs="Arial" w:eastAsia="Arial" w:hAnsi="Arial"/>
                <w:sz w:val="18"/>
                <w:szCs w:val="18"/>
                <w:color w:val="auto"/>
              </w:rPr>
              <w:t>marine segments</w:t>
            </w: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Santa Ana San José, Costa Rica</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25 Mill Street</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aviation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April 2025</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Parish, NY 13131, USA</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Strommen 6</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aviation and land</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Month-to-month</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9400 Norresundby, Denmark</w:t>
            </w:r>
          </w:p>
        </w:tc>
        <w:tc>
          <w:tcPr>
            <w:tcW w:w="5460" w:type="dxa"/>
            <w:vAlign w:val="bottom"/>
          </w:tcPr>
          <w:p>
            <w:pPr>
              <w:ind w:left="260"/>
              <w:spacing w:after="0"/>
              <w:rPr>
                <w:sz w:val="20"/>
                <w:szCs w:val="20"/>
                <w:color w:val="auto"/>
              </w:rPr>
            </w:pPr>
            <w:r>
              <w:rPr>
                <w:rFonts w:ascii="Arial" w:cs="Arial" w:eastAsia="Arial" w:hAnsi="Arial"/>
                <w:sz w:val="18"/>
                <w:szCs w:val="18"/>
                <w:color w:val="auto"/>
              </w:rPr>
              <w:t>segments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Causeway End, Brinkworth,</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land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Owned</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Chippenham SN15 5DN, United Kingdom</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300 Flint Ridge Road</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aviation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Owned</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Webster, Texas 77598, USA</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2320 Milwaukee Way,</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land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June 2026</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Tacoma, Washington 98421, USA</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4920 Southern Boulevard</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land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Owned</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Virginia Beach, VA 23462, USA</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8"/>
                <w:szCs w:val="18"/>
                <w:color w:val="auto"/>
              </w:rPr>
              <w:t>1B North Mole Road (C.P. No. 1360)</w:t>
            </w:r>
          </w:p>
        </w:tc>
        <w:tc>
          <w:tcPr>
            <w:tcW w:w="5460" w:type="dxa"/>
            <w:vAlign w:val="bottom"/>
          </w:tcPr>
          <w:p>
            <w:pPr>
              <w:ind w:left="260"/>
              <w:spacing w:after="0"/>
              <w:rPr>
                <w:sz w:val="20"/>
                <w:szCs w:val="20"/>
                <w:color w:val="auto"/>
              </w:rPr>
            </w:pPr>
            <w:r>
              <w:rPr>
                <w:rFonts w:ascii="Arial" w:cs="Arial" w:eastAsia="Arial" w:hAnsi="Arial"/>
                <w:sz w:val="18"/>
                <w:szCs w:val="18"/>
                <w:color w:val="auto"/>
              </w:rPr>
              <w:t>Administrative, operations and sales office for marine segment</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May 2021</w:t>
            </w: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Gibraltar</w:t>
            </w:r>
          </w:p>
        </w:tc>
        <w:tc>
          <w:tcPr>
            <w:tcW w:w="5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892"/>
        </w:trPr>
        <w:tc>
          <w:tcPr>
            <w:tcW w:w="3600" w:type="dxa"/>
            <w:vAlign w:val="bottom"/>
          </w:tcPr>
          <w:p>
            <w:pPr>
              <w:spacing w:after="0"/>
              <w:rPr>
                <w:sz w:val="24"/>
                <w:szCs w:val="24"/>
                <w:color w:val="auto"/>
              </w:rPr>
            </w:pPr>
          </w:p>
        </w:tc>
        <w:tc>
          <w:tcPr>
            <w:tcW w:w="5460" w:type="dxa"/>
            <w:vAlign w:val="bottom"/>
          </w:tcPr>
          <w:p>
            <w:pPr>
              <w:ind w:left="1940"/>
              <w:spacing w:after="0"/>
              <w:rPr>
                <w:sz w:val="20"/>
                <w:szCs w:val="20"/>
                <w:color w:val="auto"/>
              </w:rPr>
            </w:pPr>
            <w:r>
              <w:rPr>
                <w:rFonts w:ascii="Arial" w:cs="Arial" w:eastAsia="Arial" w:hAnsi="Arial"/>
                <w:sz w:val="14"/>
                <w:szCs w:val="14"/>
                <w:color w:val="auto"/>
              </w:rPr>
              <w:t>22</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546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See "Note 9. Commitments and Contingencies" and "Note 11. Income Taxes" within "Part IV. Item 15. Notes to the Consolidated Financial Statements" included in this 2020 10-K Report for additional details regarding certain tax matters.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31, 2020, the closing price of our stock on the NYSE was $31.16.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2021, there were 84 shareholders of record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2015 through December 31, 2020.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863590" cy="4860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48602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26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w:t>
            </w:r>
          </w:p>
        </w:tc>
        <w:tc>
          <w:tcPr>
            <w:tcW w:w="2060" w:type="dxa"/>
            <w:vAlign w:val="bottom"/>
            <w:gridSpan w:val="2"/>
          </w:tcPr>
          <w:p>
            <w:pPr>
              <w:jc w:val="right"/>
              <w:ind w:right="16"/>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Average Price</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0" w:type="dxa"/>
            <w:vAlign w:val="bottom"/>
          </w:tcPr>
          <w:p>
            <w:pPr>
              <w:spacing w:after="0"/>
              <w:rPr>
                <w:sz w:val="4"/>
                <w:szCs w:val="4"/>
                <w:color w:val="auto"/>
              </w:rPr>
            </w:pPr>
          </w:p>
        </w:tc>
        <w:tc>
          <w:tcPr>
            <w:tcW w:w="1840" w:type="dxa"/>
            <w:vAlign w:val="bottom"/>
            <w:vMerge w:val="restart"/>
          </w:tcPr>
          <w:p>
            <w:pPr>
              <w:jc w:val="right"/>
              <w:ind w:right="56"/>
              <w:spacing w:after="0" w:line="189" w:lineRule="exact"/>
              <w:rPr>
                <w:sz w:val="20"/>
                <w:szCs w:val="20"/>
                <w:color w:val="auto"/>
              </w:rPr>
            </w:pPr>
            <w:r>
              <w:rPr>
                <w:rFonts w:ascii="Arial" w:cs="Arial" w:eastAsia="Arial" w:hAnsi="Arial"/>
                <w:sz w:val="14"/>
                <w:szCs w:val="14"/>
                <w:b w:val="1"/>
                <w:bCs w:val="1"/>
                <w:color w:val="auto"/>
              </w:rPr>
              <w:t xml:space="preserve">Purchased Under  </w:t>
            </w:r>
            <w:r>
              <w:rPr>
                <w:rFonts w:ascii="Arial" w:cs="Arial" w:eastAsia="Arial" w:hAnsi="Arial"/>
                <w:sz w:val="18"/>
                <w:szCs w:val="18"/>
                <w:b w:val="1"/>
                <w:bCs w:val="1"/>
                <w:color w:val="auto"/>
                <w:vertAlign w:val="subscript"/>
              </w:rPr>
              <w:t>(2)</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Period</w:t>
            </w:r>
          </w:p>
        </w:tc>
        <w:tc>
          <w:tcPr>
            <w:tcW w:w="26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Shares Purchased</w:t>
            </w:r>
            <w:r>
              <w:rPr>
                <w:rFonts w:ascii="Arial" w:cs="Arial" w:eastAsia="Arial" w:hAnsi="Arial"/>
                <w:sz w:val="15"/>
                <w:szCs w:val="15"/>
                <w:b w:val="1"/>
                <w:bCs w:val="1"/>
                <w:color w:val="auto"/>
                <w:vertAlign w:val="subscript"/>
              </w:rPr>
              <w:t>(1)</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80" w:type="dxa"/>
            <w:vAlign w:val="bottom"/>
            <w:tcBorders>
              <w:bottom w:val="single" w:sz="8" w:color="auto"/>
            </w:tcBorders>
            <w:vMerge w:val="continue"/>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136"/>
              <w:spacing w:after="0" w:line="122" w:lineRule="exact"/>
              <w:rPr>
                <w:sz w:val="20"/>
                <w:szCs w:val="20"/>
                <w:color w:val="auto"/>
              </w:rPr>
            </w:pPr>
            <w:r>
              <w:rPr>
                <w:rFonts w:ascii="Arial" w:cs="Arial" w:eastAsia="Arial" w:hAnsi="Arial"/>
                <w:sz w:val="14"/>
                <w:szCs w:val="14"/>
                <w:b w:val="1"/>
                <w:bCs w:val="1"/>
                <w:color w:val="auto"/>
              </w:rPr>
              <w:t>Paid Per Share</w:t>
            </w:r>
          </w:p>
        </w:tc>
        <w:tc>
          <w:tcPr>
            <w:tcW w:w="18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Plans or Programs</w:t>
            </w: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16"/>
              <w:spacing w:after="0" w:line="122" w:lineRule="exact"/>
              <w:rPr>
                <w:sz w:val="20"/>
                <w:szCs w:val="20"/>
                <w:color w:val="auto"/>
              </w:rPr>
            </w:pPr>
            <w:r>
              <w:rPr>
                <w:rFonts w:ascii="Arial" w:cs="Arial" w:eastAsia="Arial" w:hAnsi="Arial"/>
                <w:sz w:val="14"/>
                <w:szCs w:val="14"/>
                <w:b w:val="1"/>
                <w:bCs w:val="1"/>
                <w:color w:val="auto"/>
              </w:rPr>
              <w:t>Repurchase Programs</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10/1/2020 - 10/31/2020</w:t>
            </w:r>
          </w:p>
        </w:tc>
        <w:tc>
          <w:tcPr>
            <w:tcW w:w="2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258,944,330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11/1/2020 - 11/30/2020</w:t>
            </w:r>
          </w:p>
        </w:tc>
        <w:tc>
          <w:tcPr>
            <w:tcW w:w="26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258,944,330</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12/1/2020 - 12/31/2020</w:t>
            </w:r>
          </w:p>
        </w:tc>
        <w:tc>
          <w:tcPr>
            <w:tcW w:w="2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413,545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30.68</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413,545</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246,257,644</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413,545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30.68</w:t>
            </w:r>
          </w:p>
        </w:tc>
        <w:tc>
          <w:tcPr>
            <w:tcW w:w="1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413,545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246,257,644</w:t>
            </w: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40" w:hanging="332"/>
        <w:spacing w:after="0" w:line="256"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1" w:lineRule="exact"/>
        <w:rPr>
          <w:rFonts w:ascii="Arial" w:cs="Arial" w:eastAsia="Arial" w:hAnsi="Arial"/>
          <w:sz w:val="18"/>
          <w:szCs w:val="18"/>
          <w:color w:val="auto"/>
        </w:rPr>
      </w:pPr>
    </w:p>
    <w:p>
      <w:pPr>
        <w:jc w:val="both"/>
        <w:ind w:left="340" w:hanging="332"/>
        <w:spacing w:after="0" w:line="251"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October 2017, our Board of Directors (the "Board") approved a new common stock repurchase program (the “Repurchase Program”), which replaced the program in place at that time, authorizing $100.0 million in common stock repurchases. In May 2019, the Board authorized an increase to the October 2017 repurchase authorization by $100.0 million, bringing the authorized repurchases at that time to $200.0 million. In March 2020, the Board approved a new stock repurchase program authorizing $200.0 million in common stock repurchases to begin upon the completion of the October 2017 Repurchase Program. Our repurchase programs do not require a minimum number of shares of common stock to be purchased, have no expiration date and may be suspended or discontinued at any time. As of December 31, 2020, approximately $246.3 million remains available for purchase under our repurchase programs. The timing and amount of shares of common stock to be repurchased under the repurchase programs will depend on market conditions, share price, securities law and other legal requirements and factors.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information on repurchases of common stock for the first three quarters of 2020, see the corresponding Quarterly Reports on Forms 10-Q.</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Notes to the Consolidated Financial Statements" in this 2020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under “Forward-Looking Statements.”</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elected to omit in this 2020 10</w:t>
      </w:r>
      <w:r>
        <w:rPr>
          <w:rFonts w:ascii="MS PGothic" w:cs="MS PGothic" w:eastAsia="MS PGothic" w:hAnsi="MS PGothic"/>
          <w:sz w:val="18"/>
          <w:szCs w:val="18"/>
          <w:color w:val="auto"/>
        </w:rPr>
        <w:t>‑</w:t>
      </w:r>
      <w:r>
        <w:rPr>
          <w:rFonts w:ascii="Arial" w:cs="Arial" w:eastAsia="Arial" w:hAnsi="Arial"/>
          <w:sz w:val="18"/>
          <w:szCs w:val="18"/>
          <w:color w:val="auto"/>
        </w:rPr>
        <w:t>K Report, discussion on the earliest of the three years covered by the Consolidated Financial Statements presented. Refer to "Item 7. Management’s Discussion and Analysis of Financial Condition and Results of Operations" located in our Form 10-K for the fiscal year ended December 31, 2019 (herein incorporated by reference), filed with the SEC on March 2, 2020, for management's discussion of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will continue to focus on enhancing the portfolio of products and services we provide based on changes in customer demand, including sustainability offerings and renewable energy solutions.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Beginning in the first quarter of 2020 and through the date of this filing, the aviation, marine and land transportation industries, along with global economic conditions generally, have been significantly impacted by the COVID-19 pandemic. A large number of our customers in these industries have experienced a substantial decline in business activity, especially commercial airlines and cruise lines, which have been particularly impacted by ongoing travel restrictions. Customers in our marine and land segments have also been adversely affected by these restrictions and the reduction in operations of various businesses in affected regions. These impacts have consequently increased the credit risk associated with a number of these customers, particularly in industries that are largely dependent on travel or consumer spending. In response to these developments, we took swift action to ensure the safety of our employees and other stakeholders and initiated a number of initiatives relating to cost reduction, liquidity and operating efficiencies.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the pandemic and associated impacts on economic activity had a limited adverse effect on our results of operations and financial condition in the beginning of 2020, we experienced a sharp decline in demand and related sales during the second quarter, as large sectors of the global economy were adversely impacted by the crisis. Demand showed some moderate improvement through the second half of 2020, however, our results remained well below pre-pandemic levels as described in greater detail below. Since the level of activity in our business and that of our customers has historically been driven by the level of economic activity globally, we generally expect these negative impacts to continue through 2021. Any subsequent recovery will be dependent on, among other things, the actions taken by governments and businesses to contain and combat the virus, the speed and effectiveness of vaccine development and distribution, as well as how quickly, and to what extent, normal economic and operating conditions can resume on a sustainable basis globally.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improving logistics capability and the impact of expanding our aviation fueling operations footprint into additional international airport locations. However, as a result of COVID-19, the overall aviation market, principally commercial passenger airlines, has been significantly impacted by global travel restrictions and a sharp decrease in demand for air travel. Accordingly, during the second and through the fourth quarter of 2020, we experienced a material volume decline in our commercial aviation business as compared to 2019 and, to a somewhat lesser extent, a significant reduction in our business and general aviation activities. Our results of operations in these lines of business for 2021 will be highly contingent on the timing and extent to which international border and travel restrictions are lifted and the global economy begins to recover from the effects of the current crisis.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Furthermore, our aviation segment has benefited from significant sales to NATO in Afghanistan, which accounts for a material portion of our aviation segment's profitability. The level of troop deployments and military-related activities can cause our government customer sales to vary significantly and materially impact our operating results. Specifically, the U.S. government has significantly reduced the level of U.S. troops in the Middle East, including the troops supporting NATO in Afghanistan. In connection therewith, in the early part of 2020, the U.S. entered into an agreement with the Taliban where it agreed to reduce the level of troops and negotiate a full withdrawal by 2021, subject to various conditions including a peace agreement being reached between the government of Afghanistan and the Taliban. The U.S. government has since moved forward with a significant reduction in the level of troops. While the exact timing and full impact of the troop withdrawal remain uncertain, we have experienced a material decline in demand since the end of the first quarter of 2020 and may continue to experience further reductions in demand into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land segment primarily consists of land fuel distribution in the U.S. and the U.K., further complemented by our expansion into energy advisory, brokerage and fulfillment solutions with respect to power, natural gas and other energy products. We also offer sustainability consulting, renewable fuel products, and carbon management and renewable energy solutions through World Kinect, our global energy management brand. Due to the diverse portfolio of customers, businesses and activities within our land segment, the COVID-19 related impacts are more difficult to predict. For example, during the second quarter of 2020, our operating results in our land segment benefited from improvements in the U.K. However, this increase was largely offset by a decline in profitability in North America, primarily due to a decrease in sales to retail, commercial and industrial customers in connection with the continued negative impacts of the pandemic, particularly throughout much of the U.S. The extent of any improvements in these activities will continue to be dependent on the timing and extent to which quarantine restrictions are lifted and local business activities fully reopen. Furthermore, for the same reasons as those described in the aviation segment, we have experienced a material decline in demand in our government business since the end of the first quarter of 2020 and may continue to experience further reductions in demand into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Overall, throughout 2019 and into early 2020, higher average fuel prices, combined with our focus on reshaping our portfolio and cost management, improved profitability in our marine segment. In addition, the implementation of the International Maritime Organization's mandatory low sulfur regulations that took effect on January 1, 2020 ("IMO 2020") resulted in certain supply imbalances and price volatility in late 2019 and through much of the first quarter of 2020 that positively impacted our operating results in those periods. However, beginning in the latter part of the first quarter of 2020 and throughout the balance of 2020, we experienced a decline in volume and profitability primarily due to the impact of the COVID-19 pandemic coupled with the significant decline in fuel prices. We expect our marine segment’s volume and profitability to continue to be impacted by the pandemic into 2021, particularly with respect to weakened demand from cruise lines and certain other sectors of the shipping industry, as well as lower fuel prices.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Actions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our own operations, we have implemented our business continuity and emergency response plans in alignment with mandates from local authorities. To ensure the safety of our employees who are continuing to work, we have provided instructions on how to work safely in light of the pandemic and elevated our cleaning protocols for our offices, facilities and equipment. We are maximizing remote work throughout our global offices and our employees are collaborating virtually with our customers, suppliers and each other using the information-sharing tools and technology that we have invested in during the last several years.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the ongoing and expected adverse impacts of the COVID-19 crisis, we immediately made cost-related decisions as the pandemic began impacting our business activities. For example, we immediately instituted a hiring freeze and implemented travel restrictions for our employees across the organization, postponed or eliminated all non-essential capital expenditures and other projects and initiatives, significantly reduced or deferred professional fees, marketing expenses and other similar costs. In addition, while we have continued to focus on improving operating efficiencies and returns, we have also concentrated on lowering our operating costs, including those of our land segment, which has historically had a higher expense ratio than other parts of our business. Accordingly, during the first quarter of 2020, we commenced a restructuring initiative focused on further streamlining our operations and sharpening our deployment of resources, not only in our land segment but also in our other segments due to the adverse impacts of the pandemic. During the second quarter of 2020, we completed a rationalization of our global office footprint and approved the abandonment of certain office leases, including the transition of select offices to smaller or more cost-effective locations. See "Note 5. Restructuring" accompanying our Consolidated Financial Statements included in "Part IV. Item 15. Notes to the Consolidated Financial Statements" included in this 2020 10-K Report for additional information regarding this restructuring.</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ultimate duration and impact of the COVID-19 pandemic on our business and our customers' operations continue to be unclear. Furthermore, the extent to which we or our customers will ultimately be impacted by the pandemic is not fully ascertainable as it is closely related to the timing and extent to which the global economy, and the aviation, land and marine transportation industries, in particular, recover from the crisis. For additional discussion on the risks relating to the pandemic, see Item 1A. Risk Factors in Part I of this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commercial and industrial customers in each of these transportation industries. Within each of our segments, we may enter into derivative contracts to mitigate the risk of market price fluctuations and also to offer our customers fuel pricing alternatives to meet their needs.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aviation and land segments, we primarily purchase and resell fuel and other products. Profit from our aviation and land segments is primarily determined by the volume and the gross profit achieved on fuel sales and related services. In our marine segment, we primarily purchase and resell fuel and also act as brokers for others. Profit from our marine segment is determined mostly by the volume and unit margin achieved on fuel resales. Profitability in our segments also depends on our operating expenses, which may be materially affected to the extent that we are required to provide for potential bad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are allocated to each segment based on usage, where possible, or other factors according to the nature of the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evaluate and manage our business segments using the performance measurement of income from operations.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Selected financial information with respect to our business segments is provided in "Note 13. Business Segments, Geographic Information and Major Customers" within "Part IV. Item 15. Notes to the Consolidated Financial Statements" included in this 2020 10-K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to 2019</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2020 was $20.4 billion, a decrease of $16.5 billion, or 45%, compared to 2019.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3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8,179.6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18,479.5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(10,299.9)</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310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6,663.1</w:t>
            </w:r>
          </w:p>
        </w:tc>
        <w:tc>
          <w:tcPr>
            <w:tcW w:w="40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10,280.9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(3,617.9)</w:t>
            </w: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3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5,515.7</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8,058.5</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(2,542.8)</w:t>
            </w:r>
          </w:p>
        </w:tc>
      </w:tr>
      <w:tr>
        <w:trPr>
          <w:trHeight w:val="22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20,358.3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36,819.0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(16,460.6)</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Revenues in our aviation segment were $8.2 billion for the year ended 2020, a decrease of $10.3 billion, or 56% compared to 2019. A significant volume decline associated with the COVID-19 pandemic combined with lower average jet fuel prices drove the decrease in aviation revenue during the year ended 2020. Specifically, total volumes in our aviation segment for the year ended 2020 were 4.7 billion gallons, a decrease of 3.8 billion gallons, or 45%, compared to 2019. The decline in volumes was attributable to a significant decrease in our commercial aviation business activity due to the impact of the COVID-19 pandemic on air travel. Additionally, the average price per gallon sold during the year ended 2020 was $1.46, compared to $2.05 in 2019.</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land segment were $6.7 billion for the year ended 2020, a decrease of $3.6 billion, or 35%, compared to 2019. The overall decrease in land revenues was primarily due to lower average fuel prices, where the average price per gallon sold was $1.30, compared to $1.87 in 2019. Volumes in our land segment for the year ended 2020 were 5.1 billion gallons, a decrease of 387.6 million gallons, or 7%, compared to 2019, driven principally by the effects of the COVID-19 pandemic on our retail, commercial and industrial and wholesale operations.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marine segment were $5.5 billion for the year ended 2020, a decrease of $2.5 billion, or 32%, compared to 2019. The decrease in revenues was driven by lower average prices and volume sold in 2020. The average bunker price per metric ton sold was $315.74, compared to $385.49 in 2019. Volumes in our marine segment for the year ended 2020 were 17.5 million metric tons, a decrease of 3.4 million metric tons or 16%, from 2019. The volume decrease was driven principally by the effects of the pandemic on demand across our core resale and physical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for the year ended 2020 was $0.9 billion, a decrease of $260.1 million, or 23%, compared to 2019.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was attributable to the following segments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3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3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347.6</w:t>
            </w:r>
          </w:p>
        </w:tc>
        <w:tc>
          <w:tcPr>
            <w:tcW w:w="36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378.9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3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851.8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gross profit for the year ended 2020 was $352.9 million, a decrease of $198.6 million, or 36%, compared to 2019. The decrease in aviation gross profit was primarily due to a 45% decline in volume as a consequence of the depressed demand for air travel due to the pandemic, together with a reduction in our government-related activity in Afghanistan as a result of the drawdown of troops in Afghanistan. Partially offsetting the decline in gross profit were certain situation-specific activities arising from the pandemic, such as repatriation flights and increased cargo activity, as well as physical supply gains associated with the historic volatility in jet fuel prices during the period.</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land segment gross profit for the year ended 2020 was $ 347.6 million, a decrease of $31.3 million, or 8%, compared to 2019. The decrease in land segment gross profit was primarily attributable to the sale of our Multi Service payment solutions business, and the decline in volumes in our core domestic retail, commercial and industrial activities, as well as a decrease in our government-related activities in Afghanistan. These decreases were partially offset by improved results in the U.K. and growth in World Kinect, our global energy management brand.</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marine segment gross profit for the year ended 2020 was $151.4 million, a decrease of $30.2 million, or 17%, as compared to 2019. The gross profit decrease was attributable to lower volume and profitability, particularly in our core resale business, due to a decline in demand as a consequence of the pandemic in certain sectors of the marine shipping and travel industry. The decrease in gross profit income was partially offset by higher profitability during the first two months of 2020, resulting from the shift to very low sulfur fuel oil, as mandated by the IMO 2020 regulations that took effect on January 1, 2020.</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2020 were $714.0 million, a decrease of $98.3 million, or 12%, compared to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employee benefits</w:t>
            </w:r>
          </w:p>
        </w:tc>
        <w:tc>
          <w:tcPr>
            <w:tcW w:w="2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366.9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311.1</w:t>
            </w:r>
          </w:p>
        </w:tc>
        <w:tc>
          <w:tcPr>
            <w:tcW w:w="3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Restructuring charges</w:t>
            </w:r>
          </w:p>
        </w:tc>
        <w:tc>
          <w:tcPr>
            <w:tcW w:w="2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total operating expenses was primarily due to lower employee compensation and benefits costs, including lower incentive bonuses. Furthermore, as part of our cost-reduction initiatives, we materially reduced certain general and administrative expenses during 2020, which were offset by a higher provision for bad debt, principally due to the effects of the pandemic on our accounts receivable. Total operating expenses were also impacted by impairment charges of $25.6 million, principally associated with our decision to rationalize our global office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Our income from operations for 2020 was $137.9 million, a decrease of $161.8 million, or 54%,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2019. Income from operations during these periods was attributable to the following segments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27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72.6</w:t>
            </w:r>
          </w:p>
        </w:tc>
        <w:tc>
          <w:tcPr>
            <w:tcW w:w="30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2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30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406.1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overhead - unallocated</w:t>
            </w:r>
          </w:p>
        </w:tc>
        <w:tc>
          <w:tcPr>
            <w:tcW w:w="2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137.9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income from operations, including unallocated corporate overhead, for the year ended 2020 was $ 137.9 million, a decrease of $161.8 million, or 54%, compared to 2019. The overall decrease was primarily attributable to the performance in our aviation segment.</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from operations in our aviation segment for the year ended 2020 was $84.5 million, a decrease of $199.4 million as compared to 2019. Our aviation segment was significantly impacted by lower volumes and the correspondingly reduced profit contribution as a consequence of the decline in air travel due to the COVID-19 pandemic, as well as a reduction in government-related activity in Afghanistan. Aviation operating income also decreased during the year ended 2020 compared to 2019 due to increased expenses resulting from a materially higher bad debt expense because of the impact of the pandemic on the aviation industry, as well as the global office footprint rationalization impairment charge. Partially offsetting these higher expenses were significant reductions in compensation and administrative expenses over the course of 2020.</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land segment, income from operations for the year ended 2020 was $72.6 million, an increase of $17.6 million compared to 2019. The higher profitability was primarily attributable to a reduction in compensation costs and general and administrative expenses, improved results in the U.K., together with growth in World Kinect. This was partially offset by lower volumes as a result of the pandemic, particularly in our retail, commercial and industrial activities in North America, as well as a decrease in our government-related activities in Afghanistan and the global office footprint rationalization impairment charge.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marine segment income from operations for the year ended 2020 was $58.5 million, a decrease of $8.6 million compared to 2019, driven by lower average prices and volume of activity in our core resale business and an impairment charge resulting from our global office footprint rationalization. The decrease in operating income was partially offset by higher profitability during the first two months of 2020, resulting from the shift to very low sulfur fuel oil, as mandated by the IMO 2020 regulations that took effect on January 1, 2020. Further offsetting the decrease in operating profitability was a reduction in compensation expense during 2020 compared to 2019.</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Corporate overhead costs not charged to the business segments in 2020 were $77.8 million, a decrease of $28.6 million, or 27%, compared to 2019, primarily attributable to a reduction in compensation costs and general and administrative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Non-Operating Income (Expenses), net</w:t>
      </w:r>
      <w:r>
        <w:rPr>
          <w:rFonts w:ascii="Arial" w:cs="Arial" w:eastAsia="Arial" w:hAnsi="Arial"/>
          <w:sz w:val="18"/>
          <w:szCs w:val="18"/>
          <w:color w:val="auto"/>
        </w:rPr>
        <w:t>. We had non-operating income of $23.9 million, compared to expenses of $62.4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2020 and 2019, respectively. The positive variance of $86.2 million compared to 2019 was driven principally by a gain on the sale of our Multi Service payment solutions business of $80.0 million principally in the land segment, as well as a reduction in interest expense and lower fees associated with our receivables purchasing programs.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2020, our effective income tax rate was 32%, and our income tax provision was $52.1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an effective income tax rate of 24% and an income tax provision of $56.2 million in 2019. The higher effective income tax rate for 2020, compared to 2019, resulted primarily from the impact of recording valuation allowances against our deferred tax assets in various foreign jurisdictions and the differences in the results of our subsidiaries in tax jurisdictions with different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Income Attributable to World Fuel and Diluted Earnings per Common Share</w:t>
      </w:r>
      <w:r>
        <w:rPr>
          <w:rFonts w:ascii="Arial" w:cs="Arial" w:eastAsia="Arial" w:hAnsi="Arial"/>
          <w:sz w:val="18"/>
          <w:szCs w:val="18"/>
          <w:color w:val="auto"/>
        </w:rPr>
        <w:t>. Our net income for the year ended 2020 was $109.6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income of $178.9 million in 2019. Diluted earnings per common share for the year ended 2020 was $1.71 per common share as compared to diluted earnings per common share of $2.69 in 2019.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liquidity, consisting of cash, cash equivalents and availability under the Credit Facility fluctuates based on a number of factors, including the timing of receipts from our customers, payments to our suppliers, changes in fuel prices, as well as our financial performance, which drives availability under our Credit Facility. Our availability under our Credit Facility, for example, is limited by, among other things, our consolidated total leverage ratio, which is defined in the Credit Facility and is based in part on our adjusted consolidated earnings before interest, taxes, depreciation and amortization (“Adjusted EBITDA”) for the four immediately preceding fiscal quarters. Accordingly, significant fluctuations in our Adjusted EBITDA for a particular quarter can impact our availability to the extent it significantly alters our Adjusted EBITDA for the applicable preceding four quarters. See Item 1A. Risk Factors in Part I of this 10-K Report for additional information.</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and liquidity are significant priorities for us and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higher fuel prices may reduce the amount of fuel which we can purchase on an unsecured basis, and in certain cases, we may be required to prepay fuel purchases, which would negatively impact our liquidity. Fuel price increases may also negatively impact our customers, in that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greater detail above, the COVID-19 pandemic is expected to continue to have an adverse impact on our customers, and therefore our own operating results through the first half of 2021, which could have a negative impact on our liquidity in the future. However, based on the information currently available, we believe that our cash and cash equivalents as of December 31, 2020 and available funds from our Credit Facility, together with cash flows generated by operations, are sufficient to fund our working capital and capital expenditure requirements for at least the next twelve months. We may choose to raise additional funds to further enhance our liquidity profile, which may be used for working capital, capital expenditures or other strategic investments. Our opinions concerning liquidity are based on currently available information and if circumstances change significantly, whether as a result of the COVID-19 pandemic or otherwise, the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the major categories of cash flows for the years ended December 31, 2020, 2019 and 2018 (in millions). For additional details, please see the 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604.1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228.8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rPr>
              <w:t>(182.5)</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9"/>
                <w:szCs w:val="19"/>
                <w:color w:val="auto"/>
              </w:rPr>
            </w:pPr>
          </w:p>
        </w:tc>
        <w:tc>
          <w:tcPr>
            <w:tcW w:w="920" w:type="dxa"/>
            <w:vAlign w:val="bottom"/>
          </w:tcPr>
          <w:p>
            <w:pPr>
              <w:jc w:val="center"/>
              <w:ind w:left="235"/>
              <w:spacing w:after="0"/>
              <w:rPr>
                <w:sz w:val="20"/>
                <w:szCs w:val="20"/>
                <w:color w:val="auto"/>
              </w:rPr>
            </w:pPr>
            <w:r>
              <w:rPr>
                <w:rFonts w:ascii="Arial" w:cs="Arial" w:eastAsia="Arial" w:hAnsi="Arial"/>
                <w:sz w:val="18"/>
                <w:szCs w:val="18"/>
                <w:color w:val="auto"/>
                <w:w w:val="97"/>
              </w:rPr>
              <w:t>286.0</w:t>
            </w:r>
          </w:p>
        </w:tc>
      </w:tr>
      <w:tr>
        <w:trPr>
          <w:trHeight w:val="255"/>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rPr>
              <w:t>(257.1)</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to 2019</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2020, net cash provided by operating activities was $604.1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$228.8 million provided during the year ended December 31, 2019. The $375.4 million change in operating cash flows was principally due to favorable year-over-year changes in working capital, excluding cash, of $538.6 million, offset by: i) $90.9 million of noncash adjustments principally associated with a gain on sale of a business, ii) decrease of $71.4 million in Net income including noncontrolling interest, iii) $0.8 million decrease in certain other long term assets and liabilities. The changes in working capital, excluding cash, primarily reflect a $ 1.9 billion net decrease in accounts receivable, inventories, and prepaid expenses, offset by a $1.3 billion net decrease in accounts payable, customer deposits, and accrued expenses and other current liabilities.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2020, net cash provided by investing activities was $72.8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$50.5 million for the year ended December 31, 2019. The $123.4 million increase in cash flows was primarily due to an increase in net cash proceeds of $228.9 million received from the sales of businesses and a $29.6 million decrease in capital expenditures, partially offset by $128.6 million in cash paid to acquire our UVair fuel business.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2020, net cash used in financing activities was $213.0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$204.9 million for the year ended December 31, 2019. The $8.2 million change was principally due to a $33.5 million increase in net repayments of debt under our credit facility, increases of $4.5 million and $ 2.9 million in dividends and common stock repurchases, respectively, partially offset by a $32.8 million decrease related to the 2019 acquisition of a noncontrolling interest in a consolidated subsidiary.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2020 and 2019, we had cash and cash equivalents of $658.8 million and $186.1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uses of cash and cash equivalents are to make strategic investments, primarily acquisitions, and to purchase inventory. We are provided unsecured trade credit by nearly all of our suppliers for our fuel purchases; however, a small number of suppliers require us to either prepay or provide a letter of credit. Increases in oil prices can negatively affect liquidity by increasing the amount of cash needed to fund fuel purchases as well as reducing the amount of fuel that we can purchase on an unsecured basis from our suppliers.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Credit Facility and Term Loans</w:t>
      </w:r>
      <w:r>
        <w:rPr>
          <w:rFonts w:ascii="Arial" w:cs="Arial" w:eastAsia="Arial" w:hAnsi="Arial"/>
          <w:sz w:val="18"/>
          <w:szCs w:val="18"/>
          <w:color w:val="auto"/>
        </w:rPr>
        <w:t>. Our Credit Agreement, as amended through December 31, 2020, consists of a revolving loan under which up</w:t>
      </w:r>
      <w:r>
        <w:rPr>
          <w:rFonts w:ascii="Arial" w:cs="Arial" w:eastAsia="Arial" w:hAnsi="Arial"/>
          <w:sz w:val="18"/>
          <w:szCs w:val="18"/>
          <w:i w:val="1"/>
          <w:iCs w:val="1"/>
          <w:color w:val="auto"/>
        </w:rPr>
        <w:t xml:space="preserve"> </w:t>
      </w:r>
      <w:r>
        <w:rPr>
          <w:rFonts w:ascii="Arial" w:cs="Arial" w:eastAsia="Arial" w:hAnsi="Arial"/>
          <w:sz w:val="18"/>
          <w:szCs w:val="18"/>
          <w:color w:val="auto"/>
        </w:rPr>
        <w:t>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Under the Credit Facility, we have the right to request increases in available borrowings up to an additional $400.0 million, subject to the satisfaction of certain conditions and we have the right to request increases in available borrowings up to an additional $200.0 million. In addition, as of December 31, 2020 and 2019, we had $503.2 million and $515.6 million in Term Loans outstanding, respectively. We had no outstanding borrowings under our Credit Facility as of December 31, 2020. At December 31, 2019 we had outstanding borrowings of $55.0 million. Our issued letters of credit under the Credit Facility totaled $3.4 million and $4.3 million as of December 31, 2020 and 2019, respectively. As of December 31, 2020 and 2019, the unused portion of our Credit Facility was $1.3 billion and $1.2 billion, respectively. The unused portion of our Credit Facility is limited by, among other things, our financial leverage ratio, which limits the total amount of indebtedness we may incur, and may, therefore, fluctuate from period to period.</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2020, the applicable margins for base rate loans and Eurodollar rate loans were 0.75% and 1.75%, respectively.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principally limited by the ratio of adjusted total debt to adjusted EBITDA, as defined in the agreement, which limits the total amount of indebtedness we may incur to not more than 3.75 to 1. Accordingly, our availability under the Credit Facility may fluctuate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2020, we were in compliance with all financial covenants contained in our Credit Facility and our Term Loans.</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and bankers’ acceptances. These credit lines are renewable on an annual basis and are subject to fees at market rates. As of December 31, 2020 and 2019, our outstanding letters of credit and bank guarantees under these credit lines totaled $328.4 million and $375.2 million, respectively.</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also have accounts receivable financing programs under receivables purchase agreements (“RPAs”) with Wells Fargo Bank, N.A. and Citibank, N.A. that allow for the sale of our accounts receivable in an amount up to 100% of our outstanding qualifying accounts receivable balances and receive cash consideration equal to the total balance, less a discount margin equal to LIBOR plus 1.00% to 3.25%, which varies based on the outstanding accounts receivable at any given time and assumes maximum utilization of the RPA facilities. During the third quarter of 2020, we amended our RPA with Citibank N.A. to, among other things, extend the renewal option term of the RPA through 2024. The RPA agreements provide the banks with the ability to add or remove customers from these programs based on, among other things, the level of risk exposure the bank is willing to accept with respect to any customer. The fees the banks charge us to purchase the receivables from these customers can also be impacted for these reasons. Under the RPAs, accounts receivable sold which remained outstanding at December 31, 2020 and 2019, were $306.9 million and $405.9 million, respectively. The reduction in accounts receivable sold and outstanding at December 31, 2020 was driven primarily by lower fuel prices and the decline in activity in our commercial aviation and marine businesses due to the impact of the pandemic on airlines and cruise lines.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December 31, 2020, our short-term debt of $22.9 million primarily represents the current maturities (within the next</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Term Loan borrowings and finance lease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contractual obligations and off-balance sheet arrangements are set forth below. For additional information on any of the following and other contractual obligations and off-balance sheet arrangements, see "Note 8. Debt, Interest Income, Expense and Other Finance Costs" and "Note 9. Commitments and Contingencies" within "Part IV. Item 15. Notes to the Consolidated Financial Statements" included in this 2020 10-K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fixed-rate and variable-rate, fixed-term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expected payment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2020, our gross liabilities for unrecognized income tax benefits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penalties and interest, were $99.0 million. The timing of any settlement of our Unrecognized Tax Liabilities with the respective taxing authority cannot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contractual obligations were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Year 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Years 2-3</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Years 4-5</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&gt; 5 years</w:t>
            </w: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interest obligations</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9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192.5</w:t>
            </w:r>
          </w:p>
        </w:tc>
        <w:tc>
          <w:tcPr>
            <w:tcW w:w="3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Employment agreement obligations</w:t>
            </w:r>
          </w:p>
        </w:tc>
        <w:tc>
          <w:tcPr>
            <w:tcW w:w="9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obligations</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Purchase commitment obligations</w:t>
            </w:r>
          </w:p>
        </w:tc>
        <w:tc>
          <w:tcPr>
            <w:tcW w:w="9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3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obligations</w:t>
            </w:r>
          </w:p>
        </w:tc>
        <w:tc>
          <w:tcPr>
            <w:tcW w:w="9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940.2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we have certain purchase contracts, that run through 2026, under which we agreed to purchase annually between 1.83 million barrels and 2.02 million barrels of aviation fuel at future market prices.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2020, we had issued letters of credit and bank guarantees totaling $331.9 million under our Credit Facility and other uncommitted credit lines. For additional information on our Credit Facility and other credit lines, see the discussion in “Liquidity and Capital Resources” above.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$50.6 million as of December 31,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elsewhere in this 2020 10</w:t>
      </w:r>
      <w:r>
        <w:rPr>
          <w:rFonts w:ascii="MS PGothic" w:cs="MS PGothic" w:eastAsia="MS PGothic" w:hAnsi="MS PGothic"/>
          <w:sz w:val="18"/>
          <w:szCs w:val="18"/>
          <w:color w:val="auto"/>
        </w:rPr>
        <w:t>‑</w:t>
      </w:r>
      <w:r>
        <w:rPr>
          <w:rFonts w:ascii="Arial" w:cs="Arial" w:eastAsia="Arial" w:hAnsi="Arial"/>
          <w:sz w:val="18"/>
          <w:szCs w:val="18"/>
          <w:color w:val="auto"/>
        </w:rPr>
        <w:t>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 within "Part IV. Item 15. Notes to the Consolidated Financial Statements" included in this 2020 10-K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 accounting estimates that require consideration of forecasted financial information, including, but not limited to, the recoverability of the carrying value of our goodwill, long-lived assets (property and equipment, identifiable intangible assets and leases) and equity investments. Significant judgment is involved in performing these estimates as they are developed based on forecasted assumptions. As of December 31, 2020, the assumptions used, particularly the expected growth rates, the profitability embedded in our projected cash flow, the discount rate and the market-based multiples, were defined in the context of current and future potential impacts of COVID-19 on our business and other business factors such as the reduction in our government-related activity in Afghanistan. Management also considered the volatility in the company's market capitalization since the beginning of the pandemic and evaluated the potential impact that this volatility may have had on the estimated fair value of our reporting units.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the assessments performed, and supported by the available information as of December 31, 2020, we concluded that the fair value of our land and aviation reporting units were not less than their respective carrying values. However, at this time, we are unable to predict with specificity the ultimate impact of the pandemic, as it will depend on the magnitude, severity and duration, as well as how quickly, and to what extent, normal economic and operating conditions resume on a sustainable basis globally. Accordingly, if the impact of the pandemic, and it’s associated reduction in business are more severe or longer in duration than we have assumed, such impact could potentially result in impairments.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further information pertaining to our 2020 impairment assessments, see "Note 5. Restructuring" and “Note 7. Goodwill and Identifiable Intangible Assets” within "Part IV. Item 15. Notes to the Consolidated Financial Statements" included in this 2020 10-K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maintain a provision for estimated credit losses based upon our historical experience with our customers, any specific customer collection issues that we have identified from current financial information and business prospects, as well as forward-looking information from market sources. Historical payment trends of our customers together with internal and external information about the economic outlook, geopolitical risks and macroeconomic events may not fully capture the current or future creditworthiness of our customers, particularly in difficult economic periods. As a result of the challenges inherent in estimating which customers are less likely to remit amounts owed to us, our provision for estimated credit losses may not always be sufficient. Any write-off of accounts receivable in excess of our provision for credit losses could adversely affect our results of operations and cash flow. For additional information on the credit risks inherent in our business, see “Item 1A – Risk Factors” in this 2020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estimating the net realizable value of inventory, we utilize a variety of observable fuel indices and other indicators. Sharp negative changes in these indices can result in a reduction of our inventory valuation, which could have an adverse material impact on our results of operations in the period in which we take the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Business combinations are accounted for using a fair value model. This model is required when the definition of a business is met. In contrast, asset acquisitions are accounted for using a cost accumulation and allocation model. The initial and subsequent measurement of certain assets acquired and, consequently, our results of operations are impacted differently depending on the model. In a business combination, the residual fair value generated in the acquisition is recognized as goodwill which is tested for impairment but not amortized, while in an asset acquisition, any residual fair value is allocated on a relative fair value basis to all qualifying identifiable net assets acquired and subsequently amortized. To conclude if the definition of a business is met, we need to conclude whether substantially all of the fair value of the gross assets acquired is concentrated in a single identifiable asset or a group of similar identifiable assets which requires significant judgment to determine the fair value and if and how assets should be grouped.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 various factors, including inventory risk management, latitude in establishing the sales price, discretion in the supplier selection and that we are normally the primary obligor in our sales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Cuts and Jobs Act (the “Tax Act”), enacted on December 22, 2017, significantly changed the U.S. Internal Revenue Code, by, among other things, reducing the U.S. corporate income tax rate, modifying or repealing many business deductions and credits, adopting elements of a territorial tax system, taxing global intangible low-taxed income (“GILTI”), assessing a repatriation tax or “toll-charge” on undistributed earnings and profits of U.S.-owned foreign corporations, and introducing certain base erosion and anti-abuse minimum tax (“BEAT”) provisions. Several final and proposed regulations were issued during 2020 regarding foreign tax credits, and GILTI, among other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of the complexity of the GILTI tax rules effective in 2018, we previously evaluated this provision of the Tax Act and the application of ASC 740, Income Taxes. Under US GAAP, we made an accounting policy choice to treat taxes due on future US GILTI inclusions as a current period expense when incurred (the "period cost method"). The Tax Act legislation will continue to require further interpretations and implementing regulations by the IRS, as well as state tax authorities, and the legislation could be subject to potential amendments and changes, any of which could increase certain adverse impacts or other effects of the legislation. The changes included in the Tax Act are broad and complex. The final transition impacts of the Tax Act may differ from our estimates, possibly materially, due to, among other items, changes in interpretations of the Tax Act, any legislative action to address questions that arise because of the Tax Act, any changes in accounting standards for income taxes or related interpretations in response to the Tax Act, or any updates or changes to current year earnings and tax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Determining whether a contract contains a lease requires judgment regarding whether the contract conveys the right to control the use of identified property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 We also make estimates about the lease term, as some of these arrangements may include optional renewals, terminations or purchase options, which are considered in our assessments when they are reasonably certain to occur. Determining the incremental borrowing rate at lease commencement (or modification) requires judgment as it is based on our estimated credit rating, the lease term at commencement, and the contract currency of the lease arrangement. All these estimates could lead to higher or lower lease related assets and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financial derivative contracts to mitigate our risk of fuel market price fluctuations in aviation, land and marine fuel as well as changes in interest and foreign currency exchange rates. Also, to offer our customers fuel pricing alternatives to meet their needs.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Measurement of the fair value of our derivatives also requires the assessment of certain risks related to non-performance, which requires a significant amount of judgment.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 number of claims, complaints or proceedings may arise in the ordinary course of business and may be outstanding against the company. Our estimates regarding potential losses are based on our judgment and assessment of currently available information. Any adverse resolution could have a material adverse effect on our Consolidated Financial Statements or disclosures. Although we continue to reassess our reserves and estimates based on new developments, our objective assessment of the legal merits of such claims may not always be predictive of the outcome and actual results may vary from our current estimates. For additional information on contingencies, see “Item 1A – Risk Factors” and "Note 9. Commitments and Contingencies " in this 2020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regarding accounting standards adopted during 2020 is included in "Note 1. Basis of Presentation, New Accounting Standards and Significant Accounting Policies" within "Part IV. Item 15. Notes to the Consolidated Financial Statements" included in this 2020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our financial statements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and 2019, the notional and fair market values of our commodity-based derivative instruments position were as follows (in millions, except weighted average contract price):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Commodity Contracts (In millions of BBL)</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601"/>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Notional</w:t>
            </w:r>
          </w:p>
        </w:tc>
        <w:tc>
          <w:tcPr>
            <w:tcW w:w="10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Weighted</w:t>
            </w:r>
          </w:p>
        </w:tc>
        <w:tc>
          <w:tcPr>
            <w:tcW w:w="8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8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9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Settlement</w:t>
            </w:r>
          </w:p>
        </w:tc>
        <w:tc>
          <w:tcPr>
            <w:tcW w:w="11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Average</w:t>
            </w: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1"/>
                <w:szCs w:val="11"/>
                <w:color w:val="auto"/>
              </w:rPr>
            </w:pPr>
          </w:p>
        </w:tc>
        <w:tc>
          <w:tcPr>
            <w:tcW w:w="86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Hedge Strategy</w:t>
            </w:r>
          </w:p>
        </w:tc>
        <w:tc>
          <w:tcPr>
            <w:tcW w:w="1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Derivative Instrument</w:t>
            </w:r>
          </w:p>
        </w:tc>
        <w:tc>
          <w:tcPr>
            <w:tcW w:w="1160" w:type="dxa"/>
            <w:vAlign w:val="bottom"/>
            <w:gridSpan w:val="2"/>
            <w:vMerge w:val="continue"/>
          </w:tcPr>
          <w:p>
            <w:pPr>
              <w:spacing w:after="0"/>
              <w:rPr>
                <w:sz w:val="11"/>
                <w:szCs w:val="11"/>
                <w:color w:val="auto"/>
              </w:rPr>
            </w:pPr>
          </w:p>
        </w:tc>
        <w:tc>
          <w:tcPr>
            <w:tcW w:w="11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9"/>
              </w:rPr>
              <w:t>Long/</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Contract</w:t>
            </w:r>
          </w:p>
        </w:tc>
        <w:tc>
          <w:tcPr>
            <w:tcW w:w="8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Long/</w:t>
            </w:r>
          </w:p>
        </w:tc>
        <w:tc>
          <w:tcPr>
            <w:tcW w:w="140" w:type="dxa"/>
            <w:vAlign w:val="bottom"/>
          </w:tcPr>
          <w:p>
            <w:pPr>
              <w:spacing w:after="0"/>
              <w:rPr>
                <w:sz w:val="11"/>
                <w:szCs w:val="11"/>
                <w:color w:val="auto"/>
              </w:rPr>
            </w:pPr>
          </w:p>
        </w:tc>
        <w:tc>
          <w:tcPr>
            <w:tcW w:w="86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1"/>
                <w:szCs w:val="11"/>
                <w:color w:val="auto"/>
              </w:rPr>
            </w:pPr>
          </w:p>
        </w:tc>
        <w:tc>
          <w:tcPr>
            <w:tcW w:w="9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5"/>
        </w:trPr>
        <w:tc>
          <w:tcPr>
            <w:tcW w:w="184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auto"/>
              </w:rPr>
              <w:t>(Short)</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(Short)</w:t>
            </w:r>
          </w:p>
        </w:tc>
        <w:tc>
          <w:tcPr>
            <w:tcW w:w="140" w:type="dxa"/>
            <w:vAlign w:val="bottom"/>
          </w:tcPr>
          <w:p>
            <w:pPr>
              <w:spacing w:after="0"/>
              <w:rPr>
                <w:sz w:val="15"/>
                <w:szCs w:val="15"/>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184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ind w:left="160"/>
              <w:spacing w:after="0" w:line="171" w:lineRule="exact"/>
              <w:rPr>
                <w:sz w:val="20"/>
                <w:szCs w:val="20"/>
                <w:color w:val="auto"/>
              </w:rPr>
            </w:pPr>
            <w:r>
              <w:rPr>
                <w:rFonts w:ascii="Arial" w:cs="Arial" w:eastAsia="Arial" w:hAnsi="Arial"/>
                <w:sz w:val="16"/>
                <w:szCs w:val="16"/>
                <w:color w:val="auto"/>
              </w:rPr>
              <w:t>Commodity contracts</w:t>
            </w: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hedging inventory</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79.910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(3.3)</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53.291</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76.148</w:t>
            </w:r>
          </w:p>
        </w:tc>
        <w:tc>
          <w:tcPr>
            <w:tcW w:w="1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54.256</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53"/>
        </w:trPr>
        <w:tc>
          <w:tcPr>
            <w:tcW w:w="18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6"/>
                <w:szCs w:val="16"/>
                <w:color w:val="auto"/>
              </w:rPr>
              <w:t>Non-designated hedge</w:t>
            </w:r>
          </w:p>
        </w:tc>
        <w:tc>
          <w:tcPr>
            <w:tcW w:w="1980" w:type="dxa"/>
            <w:vAlign w:val="bottom"/>
          </w:tcPr>
          <w:p>
            <w:pPr>
              <w:ind w:left="160"/>
              <w:spacing w:after="0"/>
              <w:rPr>
                <w:sz w:val="20"/>
                <w:szCs w:val="20"/>
                <w:color w:val="auto"/>
              </w:rPr>
            </w:pPr>
            <w:r>
              <w:rPr>
                <w:rFonts w:ascii="Arial" w:cs="Arial" w:eastAsia="Arial" w:hAnsi="Arial"/>
                <w:sz w:val="16"/>
                <w:szCs w:val="16"/>
                <w:color w:val="auto"/>
              </w:rPr>
              <w:t>Commodity contracts</w:t>
            </w:r>
          </w:p>
        </w:tc>
        <w:tc>
          <w:tcPr>
            <w:tcW w:w="940" w:type="dxa"/>
            <w:vAlign w:val="bottom"/>
          </w:tcPr>
          <w:p>
            <w:pPr>
              <w:jc w:val="right"/>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2.190</w:t>
            </w:r>
          </w:p>
        </w:tc>
        <w:tc>
          <w:tcPr>
            <w:tcW w:w="1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13.9</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w:t>
            </w:r>
          </w:p>
        </w:tc>
        <w:tc>
          <w:tcPr>
            <w:tcW w:w="120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4.343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1.0</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1.067</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8.711</w:t>
            </w:r>
          </w:p>
        </w:tc>
        <w:tc>
          <w:tcPr>
            <w:tcW w:w="1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9.333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5.705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0.1</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10.118</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Thereafter</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10.745</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6.629</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0"/>
        </w:trPr>
        <w:tc>
          <w:tcPr>
            <w:tcW w:w="18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commodity derivative contracts</w:t>
            </w: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2020 would have a material impact on our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foreign currency denominated notional amounts and fair values in U.S. dollars of our exposures from our foreign currency exchange derivatives at December 31, 2020, were primarily related to the following (in millions, except weighted average contract price):</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Settlement Period</w:t>
            </w:r>
          </w:p>
        </w:tc>
        <w:tc>
          <w:tcPr>
            <w:tcW w:w="2280" w:type="dxa"/>
            <w:vAlign w:val="bottom"/>
            <w:tcBorders>
              <w:top w:val="single" w:sz="8" w:color="auto"/>
            </w:tcBorders>
            <w:vMerge w:val="restart"/>
          </w:tcPr>
          <w:p>
            <w:pPr>
              <w:jc w:val="center"/>
              <w:ind w:right="72"/>
              <w:spacing w:after="0"/>
              <w:rPr>
                <w:sz w:val="20"/>
                <w:szCs w:val="20"/>
                <w:color w:val="auto"/>
              </w:rPr>
            </w:pPr>
            <w:r>
              <w:rPr>
                <w:rFonts w:ascii="Arial" w:cs="Arial" w:eastAsia="Arial" w:hAnsi="Arial"/>
                <w:sz w:val="14"/>
                <w:szCs w:val="14"/>
                <w:b w:val="1"/>
                <w:bCs w:val="1"/>
                <w:color w:val="auto"/>
              </w:rPr>
              <w:t>Unit</w:t>
            </w:r>
          </w:p>
        </w:tc>
        <w:tc>
          <w:tcPr>
            <w:tcW w:w="2340" w:type="dxa"/>
            <w:vAlign w:val="bottom"/>
            <w:tcBorders>
              <w:top w:val="single" w:sz="8" w:color="auto"/>
            </w:tcBorders>
          </w:tcPr>
          <w:p>
            <w:pPr>
              <w:jc w:val="right"/>
              <w:ind w:right="1233"/>
              <w:spacing w:after="0" w:line="142" w:lineRule="exact"/>
              <w:rPr>
                <w:sz w:val="20"/>
                <w:szCs w:val="20"/>
                <w:color w:val="auto"/>
              </w:rPr>
            </w:pPr>
            <w:r>
              <w:rPr>
                <w:rFonts w:ascii="Arial" w:cs="Arial" w:eastAsia="Arial" w:hAnsi="Arial"/>
                <w:sz w:val="14"/>
                <w:szCs w:val="14"/>
                <w:b w:val="1"/>
                <w:bCs w:val="1"/>
                <w:color w:val="auto"/>
              </w:rPr>
              <w:t>Notional</w:t>
            </w:r>
          </w:p>
        </w:tc>
        <w:tc>
          <w:tcPr>
            <w:tcW w:w="2340" w:type="dxa"/>
            <w:vAlign w:val="bottom"/>
            <w:tcBorders>
              <w:top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rPr>
              <w:t>Weighted Average</w:t>
            </w:r>
          </w:p>
        </w:tc>
        <w:tc>
          <w:tcPr>
            <w:tcW w:w="4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Fair Value Amount</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auto"/>
            </w:tcBorders>
            <w:vMerge w:val="continue"/>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Net Long/(Short)</w:t>
            </w:r>
          </w:p>
        </w:tc>
        <w:tc>
          <w:tcPr>
            <w:tcW w:w="23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Contract Price</w:t>
            </w:r>
          </w:p>
        </w:tc>
        <w:tc>
          <w:tcPr>
            <w:tcW w:w="4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Pr>
          <w:p>
            <w:pPr>
              <w:jc w:val="center"/>
              <w:ind w:right="92"/>
              <w:spacing w:after="0"/>
              <w:rPr>
                <w:sz w:val="20"/>
                <w:szCs w:val="20"/>
                <w:color w:val="auto"/>
              </w:rPr>
            </w:pPr>
            <w:r>
              <w:rPr>
                <w:rFonts w:ascii="Arial" w:cs="Arial" w:eastAsia="Arial" w:hAnsi="Arial"/>
                <w:sz w:val="18"/>
                <w:szCs w:val="18"/>
                <w:color w:val="auto"/>
                <w:w w:val="99"/>
              </w:rPr>
              <w:t>AUD</w:t>
            </w:r>
          </w:p>
        </w:tc>
        <w:tc>
          <w:tcPr>
            <w:tcW w:w="2340" w:type="dxa"/>
            <w:vAlign w:val="bottom"/>
          </w:tcPr>
          <w:p>
            <w:pPr>
              <w:jc w:val="right"/>
              <w:ind w:right="333"/>
              <w:spacing w:after="0"/>
              <w:rPr>
                <w:sz w:val="20"/>
                <w:szCs w:val="20"/>
                <w:color w:val="auto"/>
              </w:rPr>
            </w:pPr>
            <w:r>
              <w:rPr>
                <w:rFonts w:ascii="Arial" w:cs="Arial" w:eastAsia="Arial" w:hAnsi="Arial"/>
                <w:sz w:val="18"/>
                <w:szCs w:val="18"/>
                <w:color w:val="auto"/>
              </w:rPr>
              <w:t>(1.6)</w:t>
            </w:r>
          </w:p>
        </w:tc>
        <w:tc>
          <w:tcPr>
            <w:tcW w:w="2340" w:type="dxa"/>
            <w:vAlign w:val="bottom"/>
          </w:tcPr>
          <w:p>
            <w:pPr>
              <w:jc w:val="right"/>
              <w:ind w:right="93"/>
              <w:spacing w:after="0"/>
              <w:rPr>
                <w:sz w:val="20"/>
                <w:szCs w:val="20"/>
                <w:color w:val="auto"/>
              </w:rPr>
            </w:pPr>
            <w:r>
              <w:rPr>
                <w:rFonts w:ascii="Arial" w:cs="Arial" w:eastAsia="Arial" w:hAnsi="Arial"/>
                <w:sz w:val="18"/>
                <w:szCs w:val="18"/>
                <w:color w:val="auto"/>
              </w:rPr>
              <w:t>0.721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rPr>
              <w:t>CHF</w:t>
            </w:r>
          </w:p>
        </w:tc>
        <w:tc>
          <w:tcPr>
            <w:tcW w:w="23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(1.7)</w:t>
            </w:r>
          </w:p>
        </w:tc>
        <w:tc>
          <w:tcPr>
            <w:tcW w:w="2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0.911</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Pr>
          <w:p>
            <w:pPr>
              <w:jc w:val="center"/>
              <w:ind w:right="92"/>
              <w:spacing w:after="0"/>
              <w:rPr>
                <w:sz w:val="20"/>
                <w:szCs w:val="20"/>
                <w:color w:val="auto"/>
              </w:rPr>
            </w:pPr>
            <w:r>
              <w:rPr>
                <w:rFonts w:ascii="Arial" w:cs="Arial" w:eastAsia="Arial" w:hAnsi="Arial"/>
                <w:sz w:val="18"/>
                <w:szCs w:val="18"/>
                <w:color w:val="auto"/>
                <w:w w:val="96"/>
              </w:rPr>
              <w:t>CLP</w:t>
            </w:r>
          </w:p>
        </w:tc>
        <w:tc>
          <w:tcPr>
            <w:tcW w:w="2340" w:type="dxa"/>
            <w:vAlign w:val="bottom"/>
          </w:tcPr>
          <w:p>
            <w:pPr>
              <w:jc w:val="right"/>
              <w:ind w:right="333"/>
              <w:spacing w:after="0"/>
              <w:rPr>
                <w:sz w:val="20"/>
                <w:szCs w:val="20"/>
                <w:color w:val="auto"/>
              </w:rPr>
            </w:pPr>
            <w:r>
              <w:rPr>
                <w:rFonts w:ascii="Arial" w:cs="Arial" w:eastAsia="Arial" w:hAnsi="Arial"/>
                <w:sz w:val="18"/>
                <w:szCs w:val="18"/>
                <w:color w:val="auto"/>
              </w:rPr>
              <w:t>(8,679.8)</w:t>
            </w:r>
          </w:p>
        </w:tc>
        <w:tc>
          <w:tcPr>
            <w:tcW w:w="2340" w:type="dxa"/>
            <w:vAlign w:val="bottom"/>
          </w:tcPr>
          <w:p>
            <w:pPr>
              <w:jc w:val="right"/>
              <w:ind w:right="93"/>
              <w:spacing w:after="0"/>
              <w:rPr>
                <w:sz w:val="20"/>
                <w:szCs w:val="20"/>
                <w:color w:val="auto"/>
              </w:rPr>
            </w:pPr>
            <w:r>
              <w:rPr>
                <w:rFonts w:ascii="Arial" w:cs="Arial" w:eastAsia="Arial" w:hAnsi="Arial"/>
                <w:sz w:val="18"/>
                <w:szCs w:val="18"/>
                <w:color w:val="auto"/>
              </w:rPr>
              <w:t>788.066</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COP</w:t>
            </w:r>
          </w:p>
        </w:tc>
        <w:tc>
          <w:tcPr>
            <w:tcW w:w="23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(31,601.2)</w:t>
            </w:r>
          </w:p>
        </w:tc>
        <w:tc>
          <w:tcPr>
            <w:tcW w:w="2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3,864.214</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Pr>
          <w:p>
            <w:pPr>
              <w:jc w:val="center"/>
              <w:ind w:right="92"/>
              <w:spacing w:after="0"/>
              <w:rPr>
                <w:sz w:val="20"/>
                <w:szCs w:val="20"/>
                <w:color w:val="auto"/>
              </w:rPr>
            </w:pPr>
            <w:r>
              <w:rPr>
                <w:rFonts w:ascii="Arial" w:cs="Arial" w:eastAsia="Arial" w:hAnsi="Arial"/>
                <w:sz w:val="18"/>
                <w:szCs w:val="18"/>
                <w:color w:val="auto"/>
                <w:w w:val="99"/>
              </w:rPr>
              <w:t>EUR</w:t>
            </w:r>
          </w:p>
        </w:tc>
        <w:tc>
          <w:tcPr>
            <w:tcW w:w="2340" w:type="dxa"/>
            <w:vAlign w:val="bottom"/>
          </w:tcPr>
          <w:p>
            <w:pPr>
              <w:jc w:val="right"/>
              <w:ind w:right="333"/>
              <w:spacing w:after="0"/>
              <w:rPr>
                <w:sz w:val="20"/>
                <w:szCs w:val="20"/>
                <w:color w:val="auto"/>
              </w:rPr>
            </w:pPr>
            <w:r>
              <w:rPr>
                <w:rFonts w:ascii="Arial" w:cs="Arial" w:eastAsia="Arial" w:hAnsi="Arial"/>
                <w:sz w:val="18"/>
                <w:szCs w:val="18"/>
                <w:color w:val="auto"/>
              </w:rPr>
              <w:t>(120.5)</w:t>
            </w:r>
          </w:p>
        </w:tc>
        <w:tc>
          <w:tcPr>
            <w:tcW w:w="2340" w:type="dxa"/>
            <w:vAlign w:val="bottom"/>
          </w:tcPr>
          <w:p>
            <w:pPr>
              <w:jc w:val="right"/>
              <w:ind w:right="93"/>
              <w:spacing w:after="0"/>
              <w:rPr>
                <w:sz w:val="20"/>
                <w:szCs w:val="20"/>
                <w:color w:val="auto"/>
              </w:rPr>
            </w:pPr>
            <w:r>
              <w:rPr>
                <w:rFonts w:ascii="Arial" w:cs="Arial" w:eastAsia="Arial" w:hAnsi="Arial"/>
                <w:sz w:val="18"/>
                <w:szCs w:val="18"/>
                <w:color w:val="auto"/>
              </w:rPr>
              <w:t>1.203</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9"/>
              </w:rPr>
              <w:t>GBP</w:t>
            </w:r>
          </w:p>
        </w:tc>
        <w:tc>
          <w:tcPr>
            <w:tcW w:w="23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29.6</w:t>
            </w:r>
          </w:p>
        </w:tc>
        <w:tc>
          <w:tcPr>
            <w:tcW w:w="2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1.275</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Pr>
          <w:p>
            <w:pPr>
              <w:jc w:val="center"/>
              <w:ind w:right="92"/>
              <w:spacing w:after="0"/>
              <w:rPr>
                <w:sz w:val="20"/>
                <w:szCs w:val="20"/>
                <w:color w:val="auto"/>
              </w:rPr>
            </w:pPr>
            <w:r>
              <w:rPr>
                <w:rFonts w:ascii="Arial" w:cs="Arial" w:eastAsia="Arial" w:hAnsi="Arial"/>
                <w:sz w:val="18"/>
                <w:szCs w:val="18"/>
                <w:color w:val="auto"/>
                <w:w w:val="99"/>
              </w:rPr>
              <w:t>KRW</w:t>
            </w:r>
          </w:p>
        </w:tc>
        <w:tc>
          <w:tcPr>
            <w:tcW w:w="2340" w:type="dxa"/>
            <w:vAlign w:val="bottom"/>
          </w:tcPr>
          <w:p>
            <w:pPr>
              <w:jc w:val="right"/>
              <w:ind w:right="333"/>
              <w:spacing w:after="0"/>
              <w:rPr>
                <w:sz w:val="20"/>
                <w:szCs w:val="20"/>
                <w:color w:val="auto"/>
              </w:rPr>
            </w:pPr>
            <w:r>
              <w:rPr>
                <w:rFonts w:ascii="Arial" w:cs="Arial" w:eastAsia="Arial" w:hAnsi="Arial"/>
                <w:sz w:val="18"/>
                <w:szCs w:val="18"/>
                <w:color w:val="auto"/>
              </w:rPr>
              <w:t>(21,066.6)</w:t>
            </w:r>
          </w:p>
        </w:tc>
        <w:tc>
          <w:tcPr>
            <w:tcW w:w="2340" w:type="dxa"/>
            <w:vAlign w:val="bottom"/>
          </w:tcPr>
          <w:p>
            <w:pPr>
              <w:jc w:val="right"/>
              <w:ind w:right="93"/>
              <w:spacing w:after="0"/>
              <w:rPr>
                <w:sz w:val="20"/>
                <w:szCs w:val="20"/>
                <w:color w:val="auto"/>
              </w:rPr>
            </w:pPr>
            <w:r>
              <w:rPr>
                <w:rFonts w:ascii="Arial" w:cs="Arial" w:eastAsia="Arial" w:hAnsi="Arial"/>
                <w:sz w:val="18"/>
                <w:szCs w:val="18"/>
                <w:color w:val="auto"/>
              </w:rPr>
              <w:t>1,149.519</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MXN</w:t>
            </w:r>
          </w:p>
        </w:tc>
        <w:tc>
          <w:tcPr>
            <w:tcW w:w="23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77.4</w:t>
            </w:r>
          </w:p>
        </w:tc>
        <w:tc>
          <w:tcPr>
            <w:tcW w:w="2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20.946</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Pr>
          <w:p>
            <w:pPr>
              <w:jc w:val="center"/>
              <w:ind w:right="92"/>
              <w:spacing w:after="0"/>
              <w:rPr>
                <w:sz w:val="20"/>
                <w:szCs w:val="20"/>
                <w:color w:val="auto"/>
              </w:rPr>
            </w:pPr>
            <w:r>
              <w:rPr>
                <w:rFonts w:ascii="Arial" w:cs="Arial" w:eastAsia="Arial" w:hAnsi="Arial"/>
                <w:sz w:val="18"/>
                <w:szCs w:val="18"/>
                <w:color w:val="auto"/>
                <w:w w:val="97"/>
              </w:rPr>
              <w:t>NOK</w:t>
            </w:r>
          </w:p>
        </w:tc>
        <w:tc>
          <w:tcPr>
            <w:tcW w:w="2340" w:type="dxa"/>
            <w:vAlign w:val="bottom"/>
          </w:tcPr>
          <w:p>
            <w:pPr>
              <w:jc w:val="right"/>
              <w:ind w:right="333"/>
              <w:spacing w:after="0"/>
              <w:rPr>
                <w:sz w:val="20"/>
                <w:szCs w:val="20"/>
                <w:color w:val="auto"/>
              </w:rPr>
            </w:pPr>
            <w:r>
              <w:rPr>
                <w:rFonts w:ascii="Arial" w:cs="Arial" w:eastAsia="Arial" w:hAnsi="Arial"/>
                <w:sz w:val="18"/>
                <w:szCs w:val="18"/>
                <w:color w:val="auto"/>
              </w:rPr>
              <w:t>(314.6)</w:t>
            </w:r>
          </w:p>
        </w:tc>
        <w:tc>
          <w:tcPr>
            <w:tcW w:w="2340" w:type="dxa"/>
            <w:vAlign w:val="bottom"/>
          </w:tcPr>
          <w:p>
            <w:pPr>
              <w:jc w:val="right"/>
              <w:ind w:right="93"/>
              <w:spacing w:after="0"/>
              <w:rPr>
                <w:sz w:val="20"/>
                <w:szCs w:val="20"/>
                <w:color w:val="auto"/>
              </w:rPr>
            </w:pPr>
            <w:r>
              <w:rPr>
                <w:rFonts w:ascii="Arial" w:cs="Arial" w:eastAsia="Arial" w:hAnsi="Arial"/>
                <w:sz w:val="18"/>
                <w:szCs w:val="18"/>
                <w:color w:val="auto"/>
              </w:rPr>
              <w:t>8.739</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rPr>
              <w:t>PHP</w:t>
            </w:r>
          </w:p>
        </w:tc>
        <w:tc>
          <w:tcPr>
            <w:tcW w:w="23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(165.5)</w:t>
            </w:r>
          </w:p>
        </w:tc>
        <w:tc>
          <w:tcPr>
            <w:tcW w:w="2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51.122</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ZAR</w:t>
            </w:r>
          </w:p>
        </w:tc>
        <w:tc>
          <w:tcPr>
            <w:tcW w:w="23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(125.3)</w:t>
            </w:r>
          </w:p>
        </w:tc>
        <w:tc>
          <w:tcPr>
            <w:tcW w:w="23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16.466</w:t>
            </w: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34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fair value of these contracts as of December 31, 2020, was a liability of $ 12.3 million and will be settled in 2021. At December 31, 2019, the fair value of our foreign currency exchange derivatives was a liability of $9.5 million, the majority of which were settled in 2020. Refer to "Note 4. Derivative Instruments" within "Part IV. Item 15. Notes to the Consolidated Financial Statements" included in this 2020 10-K Report for additional details.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2020, the applicable margins for base rate loans and Eurodollar rate loans were 0.75% and 1.75%, respectively. As of December 31, 2020, we had no outstanding borrowings under our Credit Facility and $503.2 million in Term Loans. As of December 31, 2020, the aggregate outstanding balance of our finance lease obligations was $18.2 million which bear interest at annual rates ranging from 1.0% to 5.9%. Our other remaining outstanding debt of $3.3 million, as of December 31, 2020, primarily relates to loans payable in varying amounts throughout 2028 and bear interest at annual rates ranging from zero to 3.5%. The weighted average interest rate on our short-term debt was 3.4% as of December 31, 2020. A 1% fluctuation in the interest rate on our outstanding debt would result in a $5.0 million change in interest expense during the next twelve months.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we entered into a $300 million, one-month LIBOR, floating-for-fixed interest rate non-amortizing swap with a maturity date in March 2025 (the "Swap"). The Swap agreement effectively locks in the variable interest cash flows we will pay for a portion of our Eurodollar rate loans at 0.55%. The fair value of the interest rate swap contract as of December 31, 2020 was a liability of $3.7 million.</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contractual weighted average interest rates and expected cash flows by maturity dates as of December 31, 2020 (in millions, except weighted 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Expected Maturity Date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w:t>
            </w:r>
          </w:p>
        </w:tc>
        <w:tc>
          <w:tcPr>
            <w:tcW w:w="1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Value: $300</w:t>
            </w: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to Fixed </w:t>
            </w:r>
            <w:r>
              <w:rPr>
                <w:rFonts w:ascii="Arial" w:cs="Arial" w:eastAsia="Arial" w:hAnsi="Arial"/>
                <w:sz w:val="23"/>
                <w:szCs w:val="23"/>
                <w:color w:val="auto"/>
                <w:vertAlign w:val="superscript"/>
              </w:rPr>
              <w:t>1</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(0.9)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4"/>
              <w:spacing w:after="0"/>
              <w:rPr>
                <w:sz w:val="20"/>
                <w:szCs w:val="20"/>
                <w:color w:val="auto"/>
              </w:rPr>
            </w:pPr>
            <w:r>
              <w:rPr>
                <w:rFonts w:ascii="Arial" w:cs="Arial" w:eastAsia="Arial" w:hAnsi="Arial"/>
                <w:sz w:val="18"/>
                <w:szCs w:val="18"/>
                <w:color w:val="auto"/>
              </w:rPr>
              <w:t>0.1</w:t>
            </w:r>
          </w:p>
        </w:tc>
        <w:tc>
          <w:tcPr>
            <w:tcW w:w="960" w:type="dxa"/>
            <w:vAlign w:val="bottom"/>
          </w:tcPr>
          <w:p>
            <w:pPr>
              <w:spacing w:after="0"/>
              <w:rPr>
                <w:sz w:val="19"/>
                <w:szCs w:val="19"/>
                <w:color w:val="auto"/>
              </w:rPr>
            </w:pPr>
          </w:p>
        </w:tc>
      </w:tr>
      <w:tr>
        <w:trPr>
          <w:trHeight w:val="230"/>
        </w:trPr>
        <w:tc>
          <w:tcPr>
            <w:tcW w:w="2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pay rate</w:t>
            </w: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0.55 %</w:t>
            </w:r>
          </w:p>
        </w:tc>
        <w:tc>
          <w:tcPr>
            <w:tcW w:w="960" w:type="dxa"/>
            <w:vAlign w:val="bottom"/>
            <w:shd w:val="clear" w:color="auto" w:fill="CCEEFF"/>
          </w:tcPr>
          <w:p>
            <w:pPr>
              <w:spacing w:after="0"/>
              <w:rPr>
                <w:sz w:val="19"/>
                <w:szCs w:val="19"/>
                <w:color w:val="auto"/>
              </w:rPr>
            </w:pPr>
          </w:p>
        </w:tc>
      </w:tr>
      <w:tr>
        <w:trPr>
          <w:trHeight w:val="230"/>
        </w:trPr>
        <w:tc>
          <w:tcPr>
            <w:tcW w:w="2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Average receive rate</w:t>
            </w:r>
          </w:p>
        </w:tc>
        <w:tc>
          <w:tcPr>
            <w:tcW w:w="1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0.13 %</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0.24 %</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0.44 %</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0.64 %</w:t>
            </w:r>
          </w:p>
        </w:tc>
        <w:tc>
          <w:tcPr>
            <w:tcW w:w="960" w:type="dxa"/>
            <w:vAlign w:val="bottom"/>
            <w:tcBorders>
              <w:bottom w:val="single" w:sz="8" w:color="auto"/>
            </w:tcBorders>
          </w:tcPr>
          <w:p>
            <w:pPr>
              <w:spacing w:after="0"/>
              <w:rPr>
                <w:sz w:val="19"/>
                <w:szCs w:val="19"/>
                <w:color w:val="auto"/>
              </w:rPr>
            </w:pPr>
          </w:p>
        </w:tc>
      </w:tr>
    </w:tbl>
    <w:p>
      <w:pPr>
        <w:spacing w:after="0" w:line="129" w:lineRule="exact"/>
        <w:rPr>
          <w:sz w:val="20"/>
          <w:szCs w:val="20"/>
          <w:color w:val="auto"/>
        </w:rPr>
      </w:pPr>
    </w:p>
    <w:p>
      <w:pPr>
        <w:ind w:left="100" w:hanging="92"/>
        <w:spacing w:after="0"/>
        <w:tabs>
          <w:tab w:leader="none" w:pos="10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Represents discounted net cash flow receipts or (payments).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26, 2021, and the Selected Quarterly Financial Data (Unaudited), are set forth in Item 15 of this 2020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4"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2020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2020.</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PricewaterhouseCoopers LLP, an independent registered public accounting firm, as stated in their report appearing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2021 Annual Meeting of Shareholders (“2021 Proxy”) to be filed pursuant to Regulation 14A within 120 days after the close of the fiscal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on executive compensation is incorporated herein by reference from our 2021 Proxy to be filed pursuant to Regulation 14A within 120 days after the close of the fiscal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2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2021 Proxy to be filed pursuant to Regulation 14A within 120 days after the close of the fiscal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2021 Proxy to be filed pursuant to Regulation 14A within 120 days after the close of the fiscal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2021 Proxy to be filed pursuant to Regulation 14A within 120 days after the close of the fiscal year ended December 31, 2020.</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62" w:lineRule="exact"/>
        <w:rPr>
          <w:sz w:val="20"/>
          <w:szCs w:val="20"/>
          <w:color w:val="auto"/>
        </w:rPr>
      </w:pPr>
    </w:p>
    <w:p>
      <w:pPr>
        <w:ind w:left="20"/>
        <w:spacing w:after="0" w:line="207" w:lineRule="exact"/>
        <w:tabs>
          <w:tab w:leader="none" w:pos="8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filed as a part of this 2020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77" w:lineRule="exact"/>
        <w:rPr>
          <w:sz w:val="20"/>
          <w:szCs w:val="20"/>
          <w:color w:val="auto"/>
        </w:rPr>
      </w:pPr>
    </w:p>
    <w:tbl>
      <w:tblPr>
        <w:tblLayout w:type="fixed"/>
        <w:tblInd w:w="840" w:type="dxa"/>
        <w:tblCellMar>
          <w:top w:w="0" w:type="dxa"/>
          <w:left w:w="0" w:type="dxa"/>
          <w:bottom w:w="0" w:type="dxa"/>
          <w:right w:w="0" w:type="dxa"/>
        </w:tblCellMar>
      </w:tblPr>
      <w:tr>
        <w:trPr>
          <w:trHeight w:val="217"/>
        </w:trPr>
        <w:tc>
          <w:tcPr>
            <w:tcW w:w="38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w:t>
              </w:r>
            </w:hyperlink>
          </w:p>
        </w:tc>
        <w:tc>
          <w:tcPr>
            <w:tcW w:w="7420" w:type="dxa"/>
            <w:vAlign w:val="bottom"/>
          </w:tcPr>
          <w:p>
            <w:pPr>
              <w:ind w:left="1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Report of Independent Registered Public Accounting Firm</w:t>
              </w:r>
            </w:hyperlink>
          </w:p>
        </w:tc>
        <w:tc>
          <w:tcPr>
            <w:tcW w:w="234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83"/>
        </w:trPr>
        <w:tc>
          <w:tcPr>
            <w:tcW w:w="38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(ii)</w:t>
              </w:r>
            </w:hyperlink>
          </w:p>
        </w:tc>
        <w:tc>
          <w:tcPr>
            <w:tcW w:w="7420" w:type="dxa"/>
            <w:vAlign w:val="bottom"/>
          </w:tcPr>
          <w:p>
            <w:pPr>
              <w:ind w:left="1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Balance Sheets</w:t>
              </w:r>
            </w:hyperlink>
          </w:p>
        </w:tc>
        <w:tc>
          <w:tcPr>
            <w:tcW w:w="234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83"/>
        </w:trPr>
        <w:tc>
          <w:tcPr>
            <w:tcW w:w="38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(iii)</w:t>
              </w:r>
            </w:hyperlink>
          </w:p>
        </w:tc>
        <w:tc>
          <w:tcPr>
            <w:tcW w:w="742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Income and Comprehensive Income</w:t>
              </w:r>
            </w:hyperlink>
          </w:p>
        </w:tc>
        <w:tc>
          <w:tcPr>
            <w:tcW w:w="234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84"/>
        </w:trPr>
        <w:tc>
          <w:tcPr>
            <w:tcW w:w="38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(iv)</w:t>
              </w:r>
            </w:hyperlink>
          </w:p>
        </w:tc>
        <w:tc>
          <w:tcPr>
            <w:tcW w:w="7420" w:type="dxa"/>
            <w:vAlign w:val="bottom"/>
          </w:tcPr>
          <w:p>
            <w:pPr>
              <w:ind w:left="1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Shareholders’ Equity</w:t>
              </w:r>
            </w:hyperlink>
          </w:p>
        </w:tc>
        <w:tc>
          <w:tcPr>
            <w:tcW w:w="234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83"/>
        </w:trPr>
        <w:tc>
          <w:tcPr>
            <w:tcW w:w="38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(v)</w:t>
              </w:r>
            </w:hyperlink>
          </w:p>
        </w:tc>
        <w:tc>
          <w:tcPr>
            <w:tcW w:w="7420" w:type="dxa"/>
            <w:vAlign w:val="bottom"/>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w:t>
              </w:r>
            </w:hyperlink>
          </w:p>
        </w:tc>
        <w:tc>
          <w:tcPr>
            <w:tcW w:w="234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83"/>
        </w:trPr>
        <w:tc>
          <w:tcPr>
            <w:tcW w:w="380" w:type="dxa"/>
            <w:vAlign w:val="bottom"/>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(vi)</w:t>
              </w:r>
            </w:hyperlink>
          </w:p>
        </w:tc>
        <w:tc>
          <w:tcPr>
            <w:tcW w:w="7420" w:type="dxa"/>
            <w:vAlign w:val="bottom"/>
          </w:tcPr>
          <w:p>
            <w:pPr>
              <w:ind w:left="1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Notes to the Consolidated Financial Statements</w:t>
              </w:r>
            </w:hyperlink>
          </w:p>
        </w:tc>
        <w:tc>
          <w:tcPr>
            <w:tcW w:w="23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bl>
    <w:p>
      <w:pPr>
        <w:spacing w:after="0" w:line="67" w:lineRule="exact"/>
        <w:rPr>
          <w:sz w:val="20"/>
          <w:szCs w:val="20"/>
          <w:color w:val="auto"/>
        </w:rPr>
      </w:pPr>
    </w:p>
    <w:p>
      <w:pPr>
        <w:ind w:left="840" w:right="500" w:hanging="819"/>
        <w:spacing w:after="0" w:line="227" w:lineRule="auto"/>
        <w:tabs>
          <w:tab w:leader="none" w:pos="8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Consolidated Financial Statement schedules have been omitted either because the required information is set forth in the Consolidated Financial Statements or Notes thereto, or the information called for is not required.</w:t>
      </w:r>
    </w:p>
    <w:p>
      <w:pPr>
        <w:spacing w:after="0" w:line="67" w:lineRule="exact"/>
        <w:rPr>
          <w:sz w:val="20"/>
          <w:szCs w:val="20"/>
          <w:color w:val="auto"/>
        </w:rPr>
      </w:pPr>
    </w:p>
    <w:p>
      <w:pPr>
        <w:ind w:left="840" w:hanging="814"/>
        <w:spacing w:after="0" w:line="207" w:lineRule="exact"/>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2020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40" w:right="5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1060" w:type="dxa"/>
            <w:vAlign w:val="bottom"/>
            <w:tcBorders>
              <w:top w:val="single" w:sz="8" w:color="auto"/>
            </w:tcBorders>
          </w:tcPr>
          <w:p>
            <w:pPr>
              <w:ind w:left="20"/>
              <w:spacing w:after="0" w:line="182" w:lineRule="exact"/>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3.1</w:t>
              </w:r>
            </w:hyperlink>
          </w:p>
        </w:tc>
        <w:tc>
          <w:tcPr>
            <w:tcW w:w="100" w:type="dxa"/>
            <w:vAlign w:val="bottom"/>
          </w:tcPr>
          <w:p>
            <w:pPr>
              <w:spacing w:after="0"/>
              <w:rPr>
                <w:sz w:val="15"/>
                <w:szCs w:val="15"/>
                <w:color w:val="auto"/>
              </w:rPr>
            </w:pPr>
          </w:p>
        </w:tc>
        <w:tc>
          <w:tcPr>
            <w:tcW w:w="10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Restated Articles of Incorporation (incorporated by reference herein from Exhibit 99.2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on February 3, 2005).</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3.2</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Articles of Amendment to Restated Articles of Incorporation (incorporated by reference herein from Exhibit 3.1 to our Current</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3.3</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from Exhibit 3.1 to our Current</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30"/>
        </w:trPr>
        <w:tc>
          <w:tcPr>
            <w:tcW w:w="1060" w:type="dxa"/>
            <w:vAlign w:val="bottom"/>
          </w:tcPr>
          <w:p>
            <w:pPr>
              <w:ind w:left="2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4.1</w:t>
              </w:r>
            </w:hyperlink>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Description of Capital Stock (incorporated by reference herein from Exhibit 4.1 to our 2019 10-K).</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10.1</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Agreement between World Fuel Services Corporation and Michael J. Kasbar, dated March 14, 2008 (incorporated by</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10.2</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10.3</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2, dated April 9, 2012, to Agreement between World Fuel Services Corporation and Michael J. Kasbar</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 2012).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10.4</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3, dated April 11, 2014, to Agreement between World Fuel Services Corporation and Michael J. Kasbar</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 2014).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10.5</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Executive Severance Agreement between World Fuel Services Corporation and Ira M. Birns, dated April 16, 2007</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10.6</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World Fuel Services Corporation Executive Severance Policy, effective as of December 31, 2016 (incorporated by reference</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herein from Exhibit 10.1 to our Quarterly Report on Form 10-Q for the quarter ended June 30, 2017 filed on July 28, 2017</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("2017 10-Q")). *</w:t>
            </w:r>
          </w:p>
        </w:tc>
      </w:tr>
    </w:tbl>
    <w:p>
      <w:pPr>
        <w:spacing w:after="0" w:line="1"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12" w:lineRule="exact"/>
        <w:rPr>
          <w:sz w:val="20"/>
          <w:szCs w:val="20"/>
          <w:color w:val="auto"/>
        </w:rPr>
      </w:pPr>
    </w:p>
    <w:p>
      <w:pPr>
        <w:ind w:left="2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10.7</w:t>
        </w:r>
      </w:hyperlink>
    </w:p>
    <w:p>
      <w:pPr>
        <w:spacing w:after="0" w:line="198" w:lineRule="exact"/>
        <w:rPr>
          <w:sz w:val="20"/>
          <w:szCs w:val="20"/>
          <w:color w:val="auto"/>
        </w:rPr>
      </w:pPr>
    </w:p>
    <w:p>
      <w:pPr>
        <w:ind w:left="2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10.8</w:t>
        </w:r>
      </w:hyperlink>
    </w:p>
    <w:p>
      <w:pPr>
        <w:spacing w:after="0" w:line="198" w:lineRule="exact"/>
        <w:rPr>
          <w:sz w:val="20"/>
          <w:szCs w:val="20"/>
          <w:color w:val="auto"/>
        </w:rPr>
      </w:pPr>
    </w:p>
    <w:p>
      <w:pPr>
        <w:ind w:left="2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10.9</w:t>
        </w:r>
      </w:hyperlink>
    </w:p>
    <w:p>
      <w:pPr>
        <w:spacing w:after="0" w:line="20" w:lineRule="exact"/>
        <w:rPr>
          <w:sz w:val="20"/>
          <w:szCs w:val="20"/>
          <w:color w:val="auto"/>
        </w:rPr>
      </w:pPr>
      <w:r>
        <w:rPr>
          <w:sz w:val="20"/>
          <w:szCs w:val="20"/>
          <w:color w:val="auto"/>
        </w:rPr>
        <w:br w:type="column"/>
      </w:r>
    </w:p>
    <w:p>
      <w:pPr>
        <w:spacing w:after="0" w:line="218" w:lineRule="auto"/>
        <w:rPr>
          <w:sz w:val="20"/>
          <w:szCs w:val="20"/>
          <w:color w:val="auto"/>
        </w:rPr>
      </w:pPr>
      <w:r>
        <w:rPr>
          <w:rFonts w:ascii="Arial" w:cs="Arial" w:eastAsia="Arial" w:hAnsi="Arial"/>
          <w:sz w:val="18"/>
          <w:szCs w:val="18"/>
          <w:color w:val="auto"/>
        </w:rPr>
        <w:t>2016 Omnibus Plan (incorporated by reference herein from Exhibit 10.1 to our Current Report on Form 8-K filed on June 2,</w:t>
      </w:r>
    </w:p>
    <w:p>
      <w:pPr>
        <w:spacing w:after="0"/>
        <w:rPr>
          <w:sz w:val="20"/>
          <w:szCs w:val="20"/>
          <w:color w:val="auto"/>
        </w:rPr>
      </w:pPr>
      <w:r>
        <w:rPr>
          <w:rFonts w:ascii="Arial" w:cs="Arial" w:eastAsia="Arial" w:hAnsi="Arial"/>
          <w:sz w:val="18"/>
          <w:szCs w:val="18"/>
          <w:color w:val="auto"/>
        </w:rPr>
        <w:t>2016). *</w:t>
      </w:r>
    </w:p>
    <w:p>
      <w:pPr>
        <w:spacing w:after="0" w:line="229" w:lineRule="auto"/>
        <w:rPr>
          <w:sz w:val="20"/>
          <w:szCs w:val="20"/>
          <w:color w:val="auto"/>
        </w:rPr>
      </w:pPr>
      <w:r>
        <w:rPr>
          <w:rFonts w:ascii="Arial" w:cs="Arial" w:eastAsia="Arial" w:hAnsi="Arial"/>
          <w:sz w:val="18"/>
          <w:szCs w:val="18"/>
          <w:color w:val="auto"/>
        </w:rPr>
        <w:t>2020 Omnibus Plan (incorporated by reference herein from Exhibit 10.1 to our Current Report on Form 8-K filed on May 27,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 *</w:t>
      </w:r>
    </w:p>
    <w:p>
      <w:pPr>
        <w:spacing w:after="0" w:line="63"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Form of Non-Employee Director 2017 Restricted Stock Unit Grant Agreement under the 2016 Omnibus Plan (incorporated by reference herein from Exhibit 10.24 to our Annual Report on Form 10-K for the year ended December 31, 2015 filed on February 16, 2016). *</w:t>
      </w:r>
    </w:p>
    <w:p>
      <w:pPr>
        <w:spacing w:after="0" w:line="41" w:lineRule="exact"/>
        <w:rPr>
          <w:sz w:val="20"/>
          <w:szCs w:val="20"/>
          <w:color w:val="auto"/>
        </w:rPr>
      </w:pPr>
    </w:p>
    <w:p>
      <w:pPr>
        <w:sectPr>
          <w:pgSz w:w="11900" w:h="16838" w:orient="portrait"/>
          <w:cols w:equalWidth="0" w:num="2">
            <w:col w:w="460" w:space="720"/>
            <w:col w:w="10060"/>
          </w:cols>
          <w:pgMar w:left="320" w:top="140" w:right="339" w:bottom="1440" w:gutter="0" w:footer="0" w:header="0"/>
          <w:type w:val="continuous"/>
        </w:sectPr>
      </w:pPr>
    </w:p>
    <w:p>
      <w:pPr>
        <w:ind w:left="2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10.10</w:t>
        </w:r>
      </w:hyperlink>
    </w:p>
    <w:p>
      <w:pPr>
        <w:spacing w:after="0" w:line="266" w:lineRule="exact"/>
        <w:rPr>
          <w:sz w:val="20"/>
          <w:szCs w:val="20"/>
          <w:color w:val="auto"/>
        </w:rPr>
      </w:pPr>
    </w:p>
    <w:p>
      <w:pPr>
        <w:ind w:left="20"/>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10.11</w:t>
        </w:r>
      </w:hyperlink>
    </w:p>
    <w:p>
      <w:pPr>
        <w:spacing w:after="0" w:line="374" w:lineRule="exact"/>
        <w:rPr>
          <w:sz w:val="20"/>
          <w:szCs w:val="20"/>
          <w:color w:val="auto"/>
        </w:rPr>
      </w:pPr>
    </w:p>
    <w:p>
      <w:pPr>
        <w:ind w:left="2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10.12</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560"/>
        <w:spacing w:after="0" w:line="227" w:lineRule="auto"/>
        <w:rPr>
          <w:sz w:val="20"/>
          <w:szCs w:val="20"/>
          <w:color w:val="auto"/>
        </w:rPr>
      </w:pPr>
      <w:r>
        <w:rPr>
          <w:rFonts w:ascii="Arial" w:cs="Arial" w:eastAsia="Arial" w:hAnsi="Arial"/>
          <w:sz w:val="18"/>
          <w:szCs w:val="18"/>
          <w:color w:val="auto"/>
        </w:rPr>
        <w:t>Form of Non-Employee Director Restricted Stock Unit Grant Agreement under the 2016 Omnibus Plan (incorporated by reference herein from Exhibit 10.10 to our 2019 10-K). *</w:t>
      </w:r>
    </w:p>
    <w:p>
      <w:pPr>
        <w:spacing w:after="0" w:line="40" w:lineRule="exact"/>
        <w:rPr>
          <w:sz w:val="20"/>
          <w:szCs w:val="20"/>
          <w:color w:val="auto"/>
        </w:rPr>
      </w:pPr>
    </w:p>
    <w:p>
      <w:pPr>
        <w:ind w:right="440"/>
        <w:spacing w:after="0" w:line="219" w:lineRule="auto"/>
        <w:rPr>
          <w:sz w:val="20"/>
          <w:szCs w:val="20"/>
          <w:color w:val="auto"/>
        </w:rPr>
      </w:pPr>
      <w:r>
        <w:rPr>
          <w:rFonts w:ascii="Arial" w:cs="Arial" w:eastAsia="Arial" w:hAnsi="Arial"/>
          <w:sz w:val="18"/>
          <w:szCs w:val="18"/>
          <w:color w:val="auto"/>
        </w:rPr>
        <w:t>Form of Named Executive Officer Restricted Stock Unit Grant Agreement under the 2016 Omnibus Plan (incorporated by reference herein from Exhibit 10.10 to our Annual Report on Form 10-K for the year ended December 31, 2017 filed on February 28, 2018 ("2017 10-K"). *</w:t>
      </w:r>
    </w:p>
    <w:p>
      <w:pPr>
        <w:spacing w:after="0" w:line="54" w:lineRule="exact"/>
        <w:rPr>
          <w:sz w:val="20"/>
          <w:szCs w:val="20"/>
          <w:color w:val="auto"/>
        </w:rPr>
      </w:pPr>
    </w:p>
    <w:p>
      <w:pPr>
        <w:jc w:val="both"/>
        <w:ind w:right="60"/>
        <w:spacing w:after="0" w:line="189" w:lineRule="exact"/>
        <w:rPr>
          <w:sz w:val="20"/>
          <w:szCs w:val="20"/>
          <w:color w:val="auto"/>
        </w:rPr>
      </w:pPr>
      <w:r>
        <w:rPr>
          <w:rFonts w:ascii="Arial" w:cs="Arial" w:eastAsia="Arial" w:hAnsi="Arial"/>
          <w:sz w:val="18"/>
          <w:szCs w:val="18"/>
          <w:color w:val="auto"/>
        </w:rPr>
        <w:t>Form of Named Executive Officer Long-Term Incentive Restricted Stock Unit Grant Agreement under the 2006 Omnibus Plan (incorporated by reference herein from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2015 filed on July 30, 2015). *</w:t>
      </w:r>
    </w:p>
    <w:p>
      <w:pPr>
        <w:spacing w:after="0" w:line="9" w:lineRule="exact"/>
        <w:rPr>
          <w:sz w:val="20"/>
          <w:szCs w:val="20"/>
          <w:color w:val="auto"/>
        </w:rPr>
      </w:pPr>
    </w:p>
    <w:p>
      <w:pPr>
        <w:sectPr>
          <w:pgSz w:w="11900" w:h="16838" w:orient="portrait"/>
          <w:cols w:equalWidth="0" w:num="2">
            <w:col w:w="480" w:space="700"/>
            <w:col w:w="100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right"/>
              <w:ind w:right="27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10.13</w:t>
              </w:r>
            </w:hyperlink>
          </w:p>
        </w:tc>
        <w:tc>
          <w:tcPr>
            <w:tcW w:w="10400" w:type="dxa"/>
            <w:vAlign w:val="bottom"/>
          </w:tcPr>
          <w:p>
            <w:pPr>
              <w:ind w:left="340"/>
              <w:spacing w:after="0"/>
              <w:rPr>
                <w:sz w:val="20"/>
                <w:szCs w:val="20"/>
                <w:color w:val="auto"/>
              </w:rPr>
            </w:pPr>
            <w:r>
              <w:rPr>
                <w:rFonts w:ascii="Arial" w:cs="Arial" w:eastAsia="Arial" w:hAnsi="Arial"/>
                <w:sz w:val="18"/>
                <w:szCs w:val="18"/>
                <w:color w:val="auto"/>
              </w:rPr>
              <w:t>Form of Named Executive Officer 2017 Performance-Based Restricted Stock Unit Grant Agreement under the 2016 Omnibus</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Plan (incorporated by reference herein from Exhibit 10.12 to our 2017 10-K). *</w:t>
            </w:r>
          </w:p>
        </w:tc>
      </w:tr>
      <w:tr>
        <w:trPr>
          <w:trHeight w:val="188"/>
        </w:trPr>
        <w:tc>
          <w:tcPr>
            <w:tcW w:w="840" w:type="dxa"/>
            <w:vAlign w:val="bottom"/>
          </w:tcPr>
          <w:p>
            <w:pPr>
              <w:jc w:val="right"/>
              <w:ind w:right="270"/>
              <w:spacing w:after="0" w:line="189" w:lineRule="exact"/>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10.14</w:t>
              </w:r>
            </w:hyperlink>
          </w:p>
        </w:tc>
        <w:tc>
          <w:tcPr>
            <w:tcW w:w="10400" w:type="dxa"/>
            <w:vAlign w:val="bottom"/>
          </w:tcPr>
          <w:p>
            <w:pPr>
              <w:ind w:left="340"/>
              <w:spacing w:after="0" w:line="189" w:lineRule="exact"/>
              <w:rPr>
                <w:sz w:val="20"/>
                <w:szCs w:val="20"/>
                <w:color w:val="auto"/>
              </w:rPr>
            </w:pPr>
            <w:r>
              <w:rPr>
                <w:rFonts w:ascii="Arial" w:cs="Arial" w:eastAsia="Arial" w:hAnsi="Arial"/>
                <w:sz w:val="18"/>
                <w:szCs w:val="18"/>
                <w:color w:val="auto"/>
              </w:rPr>
              <w:t>Form of Michael J. Kasbar Restricted Stock Unit Grant Agreement under the 2006 and 2016 Omnibus Plan (incorporated by</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reference herein from Exhibit 10.14 to our 2017 10-K). *</w:t>
            </w:r>
          </w:p>
        </w:tc>
      </w:tr>
      <w:tr>
        <w:trPr>
          <w:trHeight w:val="188"/>
        </w:trPr>
        <w:tc>
          <w:tcPr>
            <w:tcW w:w="840" w:type="dxa"/>
            <w:vAlign w:val="bottom"/>
          </w:tcPr>
          <w:p>
            <w:pPr>
              <w:jc w:val="right"/>
              <w:ind w:right="270"/>
              <w:spacing w:after="0" w:line="189" w:lineRule="exact"/>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10.15</w:t>
              </w:r>
            </w:hyperlink>
          </w:p>
        </w:tc>
        <w:tc>
          <w:tcPr>
            <w:tcW w:w="10400" w:type="dxa"/>
            <w:vAlign w:val="bottom"/>
          </w:tcPr>
          <w:p>
            <w:pPr>
              <w:ind w:left="340"/>
              <w:spacing w:after="0" w:line="189" w:lineRule="exact"/>
              <w:rPr>
                <w:sz w:val="20"/>
                <w:szCs w:val="20"/>
                <w:color w:val="auto"/>
              </w:rPr>
            </w:pPr>
            <w:r>
              <w:rPr>
                <w:rFonts w:ascii="Arial" w:cs="Arial" w:eastAsia="Arial" w:hAnsi="Arial"/>
                <w:sz w:val="18"/>
                <w:szCs w:val="18"/>
                <w:color w:val="auto"/>
              </w:rPr>
              <w:t>Form of Michael J. Kasbar Stock-Settled Stock Appreciation Right Agreement under the 2006 Omnibus Plan (incorporated by</w:t>
            </w:r>
          </w:p>
        </w:tc>
      </w:tr>
      <w:tr>
        <w:trPr>
          <w:trHeight w:val="176"/>
        </w:trPr>
        <w:tc>
          <w:tcPr>
            <w:tcW w:w="840" w:type="dxa"/>
            <w:vAlign w:val="bottom"/>
          </w:tcPr>
          <w:p>
            <w:pPr>
              <w:spacing w:after="0"/>
              <w:rPr>
                <w:sz w:val="15"/>
                <w:szCs w:val="15"/>
                <w:color w:val="auto"/>
              </w:rPr>
            </w:pPr>
          </w:p>
        </w:tc>
        <w:tc>
          <w:tcPr>
            <w:tcW w:w="10400" w:type="dxa"/>
            <w:vAlign w:val="bottom"/>
          </w:tcPr>
          <w:p>
            <w:pPr>
              <w:ind w:left="340"/>
              <w:spacing w:after="0" w:line="176" w:lineRule="exact"/>
              <w:rPr>
                <w:sz w:val="20"/>
                <w:szCs w:val="20"/>
                <w:color w:val="auto"/>
              </w:rPr>
            </w:pPr>
            <w:r>
              <w:rPr>
                <w:rFonts w:ascii="Arial" w:cs="Arial" w:eastAsia="Arial" w:hAnsi="Arial"/>
                <w:sz w:val="18"/>
                <w:szCs w:val="18"/>
                <w:color w:val="auto"/>
              </w:rPr>
              <w:t>reference herein from Exhibit 10.1 to our Quarterly Report on Form 10-Q for the quarter ended June 30, 2014 filed on July 30,</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2014 ("2014 10-Q"). *</w:t>
            </w:r>
          </w:p>
        </w:tc>
      </w:tr>
      <w:tr>
        <w:trPr>
          <w:trHeight w:val="188"/>
        </w:trPr>
        <w:tc>
          <w:tcPr>
            <w:tcW w:w="840" w:type="dxa"/>
            <w:vAlign w:val="bottom"/>
          </w:tcPr>
          <w:p>
            <w:pPr>
              <w:jc w:val="right"/>
              <w:ind w:right="270"/>
              <w:spacing w:after="0" w:line="189" w:lineRule="exact"/>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10.16</w:t>
              </w:r>
            </w:hyperlink>
          </w:p>
        </w:tc>
        <w:tc>
          <w:tcPr>
            <w:tcW w:w="10400" w:type="dxa"/>
            <w:vAlign w:val="bottom"/>
          </w:tcPr>
          <w:p>
            <w:pPr>
              <w:ind w:left="340"/>
              <w:spacing w:after="0" w:line="189" w:lineRule="exact"/>
              <w:rPr>
                <w:sz w:val="20"/>
                <w:szCs w:val="20"/>
                <w:color w:val="auto"/>
              </w:rPr>
            </w:pPr>
            <w:r>
              <w:rPr>
                <w:rFonts w:ascii="Arial" w:cs="Arial" w:eastAsia="Arial" w:hAnsi="Arial"/>
                <w:sz w:val="18"/>
                <w:szCs w:val="18"/>
                <w:color w:val="auto"/>
              </w:rPr>
              <w:t>Form of Michael J. Kasbar Stock-Settled Stock Appreciation Right Agreement (3-year Cliff Vesting) under the 2006 and 2016</w:t>
            </w:r>
          </w:p>
        </w:tc>
      </w:tr>
      <w:tr>
        <w:trPr>
          <w:trHeight w:val="176"/>
        </w:trPr>
        <w:tc>
          <w:tcPr>
            <w:tcW w:w="840" w:type="dxa"/>
            <w:vAlign w:val="bottom"/>
          </w:tcPr>
          <w:p>
            <w:pPr>
              <w:spacing w:after="0"/>
              <w:rPr>
                <w:sz w:val="15"/>
                <w:szCs w:val="15"/>
                <w:color w:val="auto"/>
              </w:rPr>
            </w:pPr>
          </w:p>
        </w:tc>
        <w:tc>
          <w:tcPr>
            <w:tcW w:w="10400" w:type="dxa"/>
            <w:vAlign w:val="bottom"/>
          </w:tcPr>
          <w:p>
            <w:pPr>
              <w:ind w:left="340"/>
              <w:spacing w:after="0" w:line="176" w:lineRule="exact"/>
              <w:rPr>
                <w:sz w:val="20"/>
                <w:szCs w:val="20"/>
                <w:color w:val="auto"/>
              </w:rPr>
            </w:pPr>
            <w:r>
              <w:rPr>
                <w:rFonts w:ascii="Arial" w:cs="Arial" w:eastAsia="Arial" w:hAnsi="Arial"/>
                <w:sz w:val="18"/>
                <w:szCs w:val="18"/>
                <w:color w:val="auto"/>
              </w:rPr>
              <w:t>Omnibus Plan (incorporated by reference herein from Exhibit 10.15 to our Annual Report on Form 10-K for the year ended</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December 31, 2016 filed on February 21, 2017 ("2016 10-K"). *</w:t>
            </w:r>
          </w:p>
        </w:tc>
      </w:tr>
      <w:tr>
        <w:trPr>
          <w:trHeight w:val="188"/>
        </w:trPr>
        <w:tc>
          <w:tcPr>
            <w:tcW w:w="840" w:type="dxa"/>
            <w:vAlign w:val="bottom"/>
          </w:tcPr>
          <w:p>
            <w:pPr>
              <w:jc w:val="right"/>
              <w:ind w:right="270"/>
              <w:spacing w:after="0" w:line="189" w:lineRule="exact"/>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10.17</w:t>
              </w:r>
            </w:hyperlink>
          </w:p>
        </w:tc>
        <w:tc>
          <w:tcPr>
            <w:tcW w:w="10400" w:type="dxa"/>
            <w:vAlign w:val="bottom"/>
          </w:tcPr>
          <w:p>
            <w:pPr>
              <w:ind w:left="340"/>
              <w:spacing w:after="0" w:line="189" w:lineRule="exact"/>
              <w:rPr>
                <w:sz w:val="20"/>
                <w:szCs w:val="20"/>
                <w:color w:val="auto"/>
              </w:rPr>
            </w:pPr>
            <w:r>
              <w:rPr>
                <w:rFonts w:ascii="Arial" w:cs="Arial" w:eastAsia="Arial" w:hAnsi="Arial"/>
                <w:sz w:val="18"/>
                <w:szCs w:val="18"/>
                <w:color w:val="auto"/>
              </w:rPr>
              <w:t>Form of Ira M. Birns Restricted Stock Unit Grant Agreement under the 2016 Omnibus Plan (incorporated by reference herein</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from Exhibit 10.17 to our 2017 10-K). *</w:t>
            </w:r>
          </w:p>
        </w:tc>
      </w:tr>
      <w:tr>
        <w:trPr>
          <w:trHeight w:val="188"/>
        </w:trPr>
        <w:tc>
          <w:tcPr>
            <w:tcW w:w="840" w:type="dxa"/>
            <w:vAlign w:val="bottom"/>
          </w:tcPr>
          <w:p>
            <w:pPr>
              <w:jc w:val="right"/>
              <w:ind w:right="270"/>
              <w:spacing w:after="0" w:line="189" w:lineRule="exact"/>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10.18</w:t>
              </w:r>
            </w:hyperlink>
          </w:p>
        </w:tc>
        <w:tc>
          <w:tcPr>
            <w:tcW w:w="10400" w:type="dxa"/>
            <w:vAlign w:val="bottom"/>
          </w:tcPr>
          <w:p>
            <w:pPr>
              <w:ind w:left="340"/>
              <w:spacing w:after="0" w:line="189" w:lineRule="exact"/>
              <w:rPr>
                <w:sz w:val="20"/>
                <w:szCs w:val="20"/>
                <w:color w:val="auto"/>
              </w:rPr>
            </w:pPr>
            <w:r>
              <w:rPr>
                <w:rFonts w:ascii="Arial" w:cs="Arial" w:eastAsia="Arial" w:hAnsi="Arial"/>
                <w:sz w:val="18"/>
                <w:szCs w:val="18"/>
                <w:color w:val="auto"/>
              </w:rPr>
              <w:t>Form of Ira M. Birns Stock-Settled Stock Appreciation Right Agreement under the 2006 Omnibus Plan (incorporated by</w:t>
            </w:r>
          </w:p>
        </w:tc>
      </w:tr>
      <w:tr>
        <w:trPr>
          <w:trHeight w:val="217"/>
        </w:trPr>
        <w:tc>
          <w:tcPr>
            <w:tcW w:w="840" w:type="dxa"/>
            <w:vAlign w:val="bottom"/>
          </w:tcPr>
          <w:p>
            <w:pPr>
              <w:spacing w:after="0"/>
              <w:rPr>
                <w:sz w:val="18"/>
                <w:szCs w:val="18"/>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reference herein from Exhibit 10.2 to our 2014 10-Q). *</w:t>
            </w:r>
          </w:p>
        </w:tc>
      </w:tr>
      <w:tr>
        <w:trPr>
          <w:trHeight w:val="892"/>
        </w:trPr>
        <w:tc>
          <w:tcPr>
            <w:tcW w:w="84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Arial" w:cs="Arial" w:eastAsia="Arial" w:hAnsi="Arial"/>
                <w:sz w:val="14"/>
                <w:szCs w:val="14"/>
                <w:color w:val="auto"/>
              </w:rPr>
              <w:t>43</w:t>
            </w:r>
          </w:p>
        </w:tc>
      </w:tr>
      <w:tr>
        <w:trPr>
          <w:trHeight w:val="100"/>
        </w:trPr>
        <w:tc>
          <w:tcPr>
            <w:tcW w:w="840" w:type="dxa"/>
            <w:vAlign w:val="bottom"/>
            <w:tcBorders>
              <w:bottom w:val="single" w:sz="8" w:color="9A9A9A"/>
            </w:tcBorders>
          </w:tcPr>
          <w:p>
            <w:pPr>
              <w:spacing w:after="0"/>
              <w:rPr>
                <w:sz w:val="8"/>
                <w:szCs w:val="8"/>
                <w:color w:val="auto"/>
              </w:rPr>
            </w:pPr>
          </w:p>
        </w:tc>
        <w:tc>
          <w:tcPr>
            <w:tcW w:w="10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1060" w:type="dxa"/>
            <w:vAlign w:val="bottom"/>
            <w:tcBorders>
              <w:top w:val="single" w:sz="8" w:color="auto"/>
            </w:tcBorders>
          </w:tcPr>
          <w:p>
            <w:pPr>
              <w:ind w:left="20"/>
              <w:spacing w:after="0" w:line="182" w:lineRule="exact"/>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10.19</w:t>
              </w:r>
            </w:hyperlink>
          </w:p>
        </w:tc>
        <w:tc>
          <w:tcPr>
            <w:tcW w:w="100" w:type="dxa"/>
            <w:vAlign w:val="bottom"/>
          </w:tcPr>
          <w:p>
            <w:pPr>
              <w:spacing w:after="0"/>
              <w:rPr>
                <w:sz w:val="15"/>
                <w:szCs w:val="15"/>
                <w:color w:val="auto"/>
              </w:rPr>
            </w:pPr>
          </w:p>
        </w:tc>
        <w:tc>
          <w:tcPr>
            <w:tcW w:w="10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9"/>
              </w:rPr>
              <w:t>Form of Michael J. Crosby and John P. Rau 2016 Performance-Based Restricted Stock Unit Grant Agreement under the 2006</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Omnibus Plan (incorporated by reference herein from Exhibit 10.21 to our 2017 10-K).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10.20</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Form of Michael J. Crosby and John P. Rau Restricted Stock Grant Agreement under the 2006 Omnibus Plan (incorporated</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by reference herein from Exhibit 10.4 to our 2017 10-Q).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10.21</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w w:val="99"/>
              </w:rPr>
              <w:t>Form of John P. Rau Restricted Stock Grant Agreement under the 2006 Omnibus Plan (incorporated by reference herein from</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Exhibit 10.5 to our 2017 10-Q).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10.22</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Form of Michael J. Crosby and John P. Rau Restricted Stock Unit Grant Agreement under the 2006 Omnibus Plan</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(incorporated by reference herein from Exhibit 10.24 to our 2017 10-K). *</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10.23</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Performance-Based Restricted Stock Unit Grant Agreement, dated as of November 10, 2017, between World Fuel Services</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Corporation and Jeffrey P. Smith (incorporated by reference herein from Exhibit 10.25 to our 2017 10-K). *</w:t>
            </w:r>
          </w:p>
        </w:tc>
      </w:tr>
      <w:tr>
        <w:trPr>
          <w:trHeight w:val="230"/>
        </w:trPr>
        <w:tc>
          <w:tcPr>
            <w:tcW w:w="1060" w:type="dxa"/>
            <w:vAlign w:val="bottom"/>
          </w:tcPr>
          <w:p>
            <w:pPr>
              <w:ind w:left="2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10.24</w:t>
              </w:r>
            </w:hyperlink>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Form of Named Executive Officer Stock-Settled Stock Appreciation Right Agreement under the 2016 Omnibus Plan.*</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10.25</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Fourth Amended and Restated Credit Agreement, dated as of October 10, 2013, among World Fuel Services Corporation,</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World Fuel Services Europe, Ltd. and World Fuel Services (Singapore) Pte Ltd, as borrowers, Bank of America, N.A., as</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administrative agent, and the financial institutions named therein as lenders (incorporated herein by reference to Exhibit 10.1</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to our Current Report on Form 8-K filed on October 11, 2013).*</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10.26</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1 to the Fourth Amended and Restated Credit Agreement, and Joinder Agreement, dated as of January 30,</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2015, among World Fuel Services Corporation, World Fuel Services Europe, Ltd. and World Fuel Services (Singapore) Pte</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(incorporated by reference herein from Exhibit 10.1 to our Current Report on Form 8-K filed on February 5, 2015).</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10.27</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2 to the Fourth Amended and Restated Credit Agreement, and Joinder Agreement, dated as of October 26,</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2016, among World Fuel Services Corporation, World Fuel Services Europe, Ltd. and World Fuel Services (Singapore) Pte</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(incorporated by reference herein from Exhibit 10.1 to our Current Report on Form 8-K filed on October 27, 2016).</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10.28</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3 to the Fourth Amended and Restated Credit Agreement, dated as of May 12, 2017, among World Fuel</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herein from Exhibit 10.2 to our 2017 10-Q).</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10.29</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4 to the Fourth Amended and Restated Credit Agreement, dated as January 30, 2018, among World Fuel</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herein from Exhibit 10.30 to our 2017 10-K).</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10.30</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Amendment No. 5 to the Fourth Amended and Restated Credit Agreement, dated as of October 26, 2016, among World Fuel</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Services Corporation, World Fuel Services Europe, Ltd., World Fuel Services (Singapore) Pte Ltd, and certain other</w:t>
            </w: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sz w:val="20"/>
                <w:szCs w:val="20"/>
                <w:color w:val="auto"/>
              </w:rPr>
            </w:pPr>
            <w:r>
              <w:rPr>
                <w:rFonts w:ascii="Arial" w:cs="Arial" w:eastAsia="Arial" w:hAnsi="Arial"/>
                <w:sz w:val="18"/>
                <w:szCs w:val="18"/>
                <w:color w:val="auto"/>
              </w:rPr>
              <w:t>Subsidiaries, as borrowers, Bank of America, N.A., as administrative agent, and the financial institutions named therein as</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lenders (incorporated by reference herein from Exhibit 10.1 to our Current Report on Form 8-K filed on July 24, 2019).</w:t>
            </w:r>
          </w:p>
        </w:tc>
      </w:tr>
      <w:tr>
        <w:trPr>
          <w:trHeight w:val="230"/>
        </w:trPr>
        <w:tc>
          <w:tcPr>
            <w:tcW w:w="1060" w:type="dxa"/>
            <w:vAlign w:val="bottom"/>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21.1</w:t>
              </w:r>
            </w:hyperlink>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229"/>
        </w:trPr>
        <w:tc>
          <w:tcPr>
            <w:tcW w:w="106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23.1</w:t>
              </w:r>
            </w:hyperlink>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106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31.1</w:t>
              </w:r>
            </w:hyperlink>
          </w:p>
        </w:tc>
        <w:tc>
          <w:tcPr>
            <w:tcW w:w="100" w:type="dxa"/>
            <w:vAlign w:val="bottom"/>
          </w:tcPr>
          <w:p>
            <w:pPr>
              <w:spacing w:after="0"/>
              <w:rPr>
                <w:sz w:val="19"/>
                <w:szCs w:val="19"/>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30"/>
        </w:trPr>
        <w:tc>
          <w:tcPr>
            <w:tcW w:w="1060" w:type="dxa"/>
            <w:vAlign w:val="bottom"/>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31.2</w:t>
              </w:r>
            </w:hyperlink>
          </w:p>
        </w:tc>
        <w:tc>
          <w:tcPr>
            <w:tcW w:w="100" w:type="dxa"/>
            <w:vAlign w:val="bottom"/>
          </w:tcPr>
          <w:p>
            <w:pPr>
              <w:spacing w:after="0"/>
              <w:rPr>
                <w:sz w:val="19"/>
                <w:szCs w:val="19"/>
                <w:color w:val="auto"/>
              </w:rPr>
            </w:pPr>
          </w:p>
        </w:tc>
        <w:tc>
          <w:tcPr>
            <w:tcW w:w="1004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188"/>
        </w:trPr>
        <w:tc>
          <w:tcPr>
            <w:tcW w:w="1060" w:type="dxa"/>
            <w:vAlign w:val="bottom"/>
          </w:tcPr>
          <w:p>
            <w:pPr>
              <w:ind w:left="20"/>
              <w:spacing w:after="0" w:line="189" w:lineRule="exact"/>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32.1</w:t>
              </w:r>
            </w:hyperlink>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U.S.C. Section 1350).</w:t>
            </w:r>
          </w:p>
        </w:tc>
      </w:tr>
    </w:tbl>
    <w:p>
      <w:pPr>
        <w:spacing w:after="0" w:line="13" w:lineRule="exact"/>
        <w:rPr>
          <w:sz w:val="20"/>
          <w:szCs w:val="20"/>
          <w:color w:val="auto"/>
        </w:rPr>
      </w:pPr>
    </w:p>
    <w:p>
      <w:pPr>
        <w:jc w:val="both"/>
        <w:ind w:left="1180" w:right="20" w:hanging="1154"/>
        <w:spacing w:after="0" w:line="215"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10-K for the year ended December 31, 2020,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1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file (formatted in Inline XBRL and contained in Exhibit 101).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 of World Fuel Services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World Fuel Services Corporation and its subsidiaries (the “Company”) as of December 31, 2020 and 2019, and the related consolidated statements of income and comprehensive income, of shareholders'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Aviation and Land Reporting Units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Notes 1 and 7 to the consolidated financial statements, the Company’s consolidated goodwill balance was $858.6 million as of December 31, 2020, which is allocated among the Aviation and Land reporting units. Management conducts an impairment assessment as of December 31 of each year, or more frequently if events or circumstances indicate that the carrying value of the goodwill may be impaired. To determine whether goodwill is impaired, management compares the fair value of the reporting units to which goodwill was assigned to their respective carrying values to measure if any amount of goodwill should be impaired. In calculating fair value, management uses a combination of both an income and market approach. As disclosed by management, under the income approach, management calculates the fair value of a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market-based multiple.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Aviation and Land reporting units is a critical audit matter are the significant judgment by management when developing the fair value of the reporting units, which in turn led to a high degree of auditor judgment, subjectivity, and effort in performing procedures and evaluating management’s significant assumptions related to expected growth rates, profitability, and the discount rates. In addition,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significant assumptions used in the estimated future cash flows. These procedures also included, among others, testing management’s process for developing the fair value of the Aviation and Land reporting units, which included evaluating the appropriateness of the income and market approaches; testing the completeness and accuracy of underlying data used in the income and market approaches; and evaluating the reasonableness of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the appropriateness of the income and market approaches and evaluating the reasonableness of the discount rate assumptions.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188"/>
        </w:trPr>
        <w:tc>
          <w:tcPr>
            <w:tcW w:w="8600" w:type="dxa"/>
            <w:vAlign w:val="bottom"/>
          </w:tcPr>
          <w:p>
            <w:pPr>
              <w:ind w:left="20"/>
              <w:spacing w:after="0" w:line="189" w:lineRule="exact"/>
              <w:rPr>
                <w:sz w:val="20"/>
                <w:szCs w:val="20"/>
                <w:color w:val="auto"/>
              </w:rPr>
            </w:pPr>
            <w:r>
              <w:rPr>
                <w:rFonts w:ascii="Arial" w:cs="Arial" w:eastAsia="Arial" w:hAnsi="Arial"/>
                <w:sz w:val="18"/>
                <w:szCs w:val="18"/>
                <w:color w:val="auto"/>
              </w:rPr>
              <w:t>Accounts receivable, net of allowance for credit losses of $53.8 million and $35.5 million as of</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600" w:type="dxa"/>
            <w:vAlign w:val="bottom"/>
          </w:tcPr>
          <w:p>
            <w:pPr>
              <w:ind w:left="20"/>
              <w:spacing w:after="0"/>
              <w:rPr>
                <w:sz w:val="20"/>
                <w:szCs w:val="20"/>
                <w:color w:val="auto"/>
              </w:rPr>
            </w:pPr>
            <w:r>
              <w:rPr>
                <w:rFonts w:ascii="Arial" w:cs="Arial" w:eastAsia="Arial" w:hAnsi="Arial"/>
                <w:sz w:val="18"/>
                <w:szCs w:val="18"/>
                <w:color w:val="auto"/>
              </w:rPr>
              <w:t>December 31, 2020 and 2019, respectively</w:t>
            </w:r>
          </w:p>
        </w:tc>
        <w:tc>
          <w:tcPr>
            <w:tcW w:w="28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1,238.4</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2,891.9</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344.3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derivative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66.4</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280.4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2,639.3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4,170.1</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342.6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858.6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r>
      <w:tr>
        <w:trPr>
          <w:trHeight w:val="22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Identifiable intangible and other non-current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659.8</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r>
      <w:tr>
        <w:trPr>
          <w:trHeight w:val="248"/>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4,500.3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5,992.4</w:t>
            </w:r>
          </w:p>
        </w:tc>
      </w:tr>
      <w:tr>
        <w:trPr>
          <w:trHeight w:val="20"/>
        </w:trPr>
        <w:tc>
          <w:tcPr>
            <w:tcW w:w="8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00" w:type="dxa"/>
            <w:vAlign w:val="bottom"/>
          </w:tcPr>
          <w:p>
            <w:pPr>
              <w:ind w:left="20"/>
              <w:spacing w:after="0" w:line="203" w:lineRule="exact"/>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1,214.7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2,602.7</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155.8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3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290.6</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1,684.0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3,162.4</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501.8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Non-current income tax liabilities, net</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215.5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210.1</w:t>
            </w:r>
          </w:p>
        </w:tc>
      </w:tr>
      <w:tr>
        <w:trPr>
          <w:trHeight w:val="23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186.1</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2,587.4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Fuel shareholders' equity: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Preferred stock, $1.00 par value; 0.1 shares authorized, none issued</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$0.01 par value; 100.0 shares authorized, 62.9 and 65.2 issued and outstanding as of</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7"/>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 and 2019, respectively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204.6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1,836.7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r>
      <w:tr>
        <w:trPr>
          <w:trHeight w:val="22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World Fuel shareholders' equity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1,909.3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w:t>
            </w:r>
          </w:p>
        </w:tc>
      </w:tr>
      <w:tr>
        <w:trPr>
          <w:trHeight w:val="22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1,912.9</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4,500.3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5,992.4</w:t>
            </w: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rPr>
          <w:sz w:val="20"/>
          <w:szCs w:val="20"/>
          <w:color w:val="auto"/>
        </w:rPr>
      </w:pPr>
      <w:r>
        <w:rPr>
          <w:rFonts w:ascii="Arial" w:cs="Arial" w:eastAsia="Arial" w:hAnsi="Arial"/>
          <w:sz w:val="22"/>
          <w:szCs w:val="22"/>
          <w:b w:val="1"/>
          <w:bCs w:val="1"/>
          <w:color w:val="auto"/>
        </w:rPr>
        <w:t>COMPREHENSIVE INCOME</w:t>
      </w:r>
    </w:p>
    <w:p>
      <w:pPr>
        <w:spacing w:after="0"/>
        <w:rPr>
          <w:sz w:val="20"/>
          <w:szCs w:val="20"/>
          <w:color w:val="auto"/>
        </w:rPr>
      </w:pPr>
      <w:r>
        <w:rPr>
          <w:rFonts w:ascii="Arial" w:cs="Arial" w:eastAsia="Arial" w:hAnsi="Arial"/>
          <w:sz w:val="18"/>
          <w:szCs w:val="18"/>
          <w:color w:val="auto"/>
        </w:rPr>
        <w:t>(In millions, except earnings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20,358.3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36,819.0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39,750.3</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19,506.5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35,707.0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38,731.8</w:t>
            </w:r>
          </w:p>
        </w:tc>
      </w:tr>
      <w:tr>
        <w:trPr>
          <w:trHeight w:val="223"/>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851.8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1,112.0</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366.9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470.4</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311.1</w:t>
            </w:r>
          </w:p>
        </w:tc>
        <w:tc>
          <w:tcPr>
            <w:tcW w:w="36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322.2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7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714.0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812.3</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137.9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299.7</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161.7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237.3</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56.2</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181.1</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109.6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1.72</w:t>
            </w:r>
          </w:p>
        </w:tc>
        <w:tc>
          <w:tcPr>
            <w:tcW w:w="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2.71</w:t>
            </w:r>
          </w:p>
        </w:tc>
        <w:tc>
          <w:tcPr>
            <w:tcW w:w="4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63.7</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1.71</w:t>
            </w:r>
          </w:p>
        </w:tc>
        <w:tc>
          <w:tcPr>
            <w:tcW w:w="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2.69</w:t>
            </w:r>
          </w:p>
        </w:tc>
        <w:tc>
          <w:tcPr>
            <w:tcW w:w="4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0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109.6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188"/>
        </w:trPr>
        <w:tc>
          <w:tcPr>
            <w:tcW w:w="7100" w:type="dxa"/>
            <w:vAlign w:val="bottom"/>
          </w:tcPr>
          <w:p>
            <w:pPr>
              <w:ind w:left="20"/>
              <w:spacing w:after="0" w:line="189" w:lineRule="exact"/>
              <w:rPr>
                <w:sz w:val="20"/>
                <w:szCs w:val="20"/>
                <w:color w:val="auto"/>
              </w:rPr>
            </w:pPr>
            <w:r>
              <w:rPr>
                <w:rFonts w:ascii="Arial" w:cs="Arial" w:eastAsia="Arial" w:hAnsi="Arial"/>
                <w:sz w:val="18"/>
                <w:szCs w:val="18"/>
                <w:color w:val="auto"/>
                <w:w w:val="99"/>
              </w:rPr>
              <w:t>Cash flow hedges, net of income tax benefit of $0.0, benefit of $8.7, and expense of $7.0</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(25.5)</w:t>
            </w:r>
          </w:p>
        </w:tc>
        <w:tc>
          <w:tcPr>
            <w:tcW w:w="4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21.0</w:t>
            </w:r>
          </w:p>
        </w:tc>
      </w:tr>
      <w:tr>
        <w:trPr>
          <w:trHeight w:val="21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 2020, 2019, and 2018, respectively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3"/>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123.3</w:t>
            </w:r>
          </w:p>
        </w:tc>
        <w:tc>
          <w:tcPr>
            <w:tcW w:w="36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166.5</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b w:val="1"/>
                <w:bCs w:val="1"/>
                <w:color w:val="auto"/>
                <w:w w:val="99"/>
              </w:rPr>
              <w:t>Capital in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 World Fuel</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78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0"/>
                <w:szCs w:val="10"/>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97"/>
              </w:rPr>
              <w:t>Amount</w:t>
            </w:r>
          </w:p>
        </w:tc>
        <w:tc>
          <w:tcPr>
            <w:tcW w:w="102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Excess of Par</w:t>
            </w:r>
          </w:p>
        </w:tc>
        <w:tc>
          <w:tcPr>
            <w:tcW w:w="160" w:type="dxa"/>
            <w:vAlign w:val="bottom"/>
          </w:tcPr>
          <w:p>
            <w:pPr>
              <w:spacing w:after="0"/>
              <w:rPr>
                <w:sz w:val="10"/>
                <w:szCs w:val="10"/>
                <w:color w:val="auto"/>
              </w:rPr>
            </w:pPr>
          </w:p>
        </w:tc>
        <w:tc>
          <w:tcPr>
            <w:tcW w:w="760" w:type="dxa"/>
            <w:vAlign w:val="bottom"/>
          </w:tcPr>
          <w:p>
            <w:pPr>
              <w:jc w:val="right"/>
              <w:ind w:right="133"/>
              <w:spacing w:after="0" w:line="122" w:lineRule="exact"/>
              <w:rPr>
                <w:sz w:val="20"/>
                <w:szCs w:val="20"/>
                <w:color w:val="auto"/>
              </w:rPr>
            </w:pPr>
            <w:r>
              <w:rPr>
                <w:rFonts w:ascii="Arial" w:cs="Arial" w:eastAsia="Arial" w:hAnsi="Arial"/>
                <w:sz w:val="13"/>
                <w:szCs w:val="13"/>
                <w:b w:val="1"/>
                <w:bCs w:val="1"/>
                <w:color w:val="auto"/>
                <w:w w:val="98"/>
              </w:rPr>
              <w:t>Retained</w:t>
            </w:r>
          </w:p>
        </w:tc>
        <w:tc>
          <w:tcPr>
            <w:tcW w:w="180" w:type="dxa"/>
            <w:vAlign w:val="bottom"/>
          </w:tcPr>
          <w:p>
            <w:pPr>
              <w:spacing w:after="0"/>
              <w:rPr>
                <w:sz w:val="10"/>
                <w:szCs w:val="10"/>
                <w:color w:val="auto"/>
              </w:rPr>
            </w:pPr>
          </w:p>
        </w:tc>
        <w:tc>
          <w:tcPr>
            <w:tcW w:w="1200" w:type="dxa"/>
            <w:vAlign w:val="bottom"/>
          </w:tcPr>
          <w:p>
            <w:pPr>
              <w:jc w:val="center"/>
              <w:ind w:right="113"/>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112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180" w:type="dxa"/>
            <w:vAlign w:val="bottom"/>
          </w:tcPr>
          <w:p>
            <w:pPr>
              <w:spacing w:after="0"/>
              <w:rPr>
                <w:sz w:val="10"/>
                <w:szCs w:val="10"/>
                <w:color w:val="auto"/>
              </w:rPr>
            </w:pPr>
          </w:p>
        </w:tc>
        <w:tc>
          <w:tcPr>
            <w:tcW w:w="1180" w:type="dxa"/>
            <w:vAlign w:val="bottom"/>
          </w:tcPr>
          <w:p>
            <w:pPr>
              <w:jc w:val="right"/>
              <w:ind w:right="173"/>
              <w:spacing w:after="0" w:line="122" w:lineRule="exact"/>
              <w:rPr>
                <w:sz w:val="20"/>
                <w:szCs w:val="20"/>
                <w:color w:val="auto"/>
              </w:rPr>
            </w:pPr>
            <w:r>
              <w:rPr>
                <w:rFonts w:ascii="Arial" w:cs="Arial" w:eastAsia="Arial" w:hAnsi="Arial"/>
                <w:sz w:val="13"/>
                <w:szCs w:val="13"/>
                <w:b w:val="1"/>
                <w:bCs w:val="1"/>
                <w:color w:val="auto"/>
                <w:w w:val="99"/>
              </w:rPr>
              <w:t>Noncontrolling</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Value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6"/>
              </w:rPr>
              <w:t>Earnings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Interest</w:t>
            </w: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2017</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1,492.8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(126.5)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1,721.9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16.0</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1,738.0</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127.7</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127.7</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share-based payment</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7.7</w:t>
            </w:r>
          </w:p>
        </w:tc>
        <w:tc>
          <w:tcPr>
            <w:tcW w:w="1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7.7</w:t>
            </w:r>
          </w:p>
        </w:tc>
        <w:tc>
          <w:tcPr>
            <w:tcW w:w="180" w:type="dxa"/>
            <w:vAlign w:val="bottom"/>
          </w:tcPr>
          <w:p>
            <w:pPr>
              <w:spacing w:after="0"/>
              <w:rPr>
                <w:sz w:val="14"/>
                <w:szCs w:val="14"/>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(cancellation) of common stock</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related to share-based payment awards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8" w:lineRule="exact"/>
              <w:rPr>
                <w:sz w:val="20"/>
                <w:szCs w:val="20"/>
                <w:color w:val="auto"/>
              </w:rPr>
            </w:pPr>
            <w:r>
              <w:rPr>
                <w:rFonts w:ascii="Arial" w:cs="Arial" w:eastAsia="Arial" w:hAnsi="Arial"/>
                <w:sz w:val="13"/>
                <w:szCs w:val="13"/>
                <w:color w:val="auto"/>
              </w:rPr>
              <w:t>Purchases of common stock tendered by</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employees to satisfy the required withholding</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taxes related to share-based payment</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4"/>
                <w:szCs w:val="14"/>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common stock</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5"/>
                <w:szCs w:val="15"/>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of certain tax effects from</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US Tax Reform</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(0.2)</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w:t>
            </w: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Balance as of December 31, 2018</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67.0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0.7</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340.4</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1,606.1</w:t>
            </w:r>
          </w:p>
        </w:tc>
        <w:tc>
          <w:tcPr>
            <w:tcW w:w="180" w:type="dxa"/>
            <w:vAlign w:val="bottom"/>
          </w:tcPr>
          <w:p>
            <w:pPr>
              <w:spacing w:after="0"/>
              <w:rPr>
                <w:sz w:val="15"/>
                <w:szCs w:val="15"/>
                <w:color w:val="auto"/>
              </w:rPr>
            </w:pP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(131.7)</w:t>
            </w:r>
          </w:p>
        </w:tc>
        <w:tc>
          <w:tcPr>
            <w:tcW w:w="16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1,815.4</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1,831.6</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178.9</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178.9</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181.1</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(23.6)</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(23.6)</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share-based payment</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22.4</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8" w:lineRule="exact"/>
              <w:rPr>
                <w:sz w:val="20"/>
                <w:szCs w:val="20"/>
                <w:color w:val="auto"/>
              </w:rPr>
            </w:pPr>
            <w:r>
              <w:rPr>
                <w:rFonts w:ascii="Arial" w:cs="Arial" w:eastAsia="Arial" w:hAnsi="Arial"/>
                <w:sz w:val="13"/>
                <w:szCs w:val="13"/>
                <w:color w:val="auto"/>
              </w:rPr>
              <w:t>Issuance (cancellation) of common 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related to share-based payment awards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4"/>
                <w:szCs w:val="14"/>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common stock tendered by</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employees to satisfy the required withholding</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taxes related to share-based payment</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Purchases of common stock</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(65.4)</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(65.4)</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remaining 49% equity interest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(20.6)</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comprehensive income (loss)</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(14.6)</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(14.6)</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65.2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274.7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1,761.3</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(146.3)</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1,890.4</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1,893.9</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109.6</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109.6</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109.6</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change in accounting</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principle</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(25.5)</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(25.5)</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share-based payment</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8" w:lineRule="exact"/>
              <w:rPr>
                <w:sz w:val="20"/>
                <w:szCs w:val="20"/>
                <w:color w:val="auto"/>
              </w:rPr>
            </w:pPr>
            <w:r>
              <w:rPr>
                <w:rFonts w:ascii="Arial" w:cs="Arial" w:eastAsia="Arial" w:hAnsi="Arial"/>
                <w:sz w:val="13"/>
                <w:szCs w:val="13"/>
                <w:color w:val="auto"/>
              </w:rPr>
              <w:t>Issuance (cancellation) of common 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related to share-based payment awards</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4"/>
                <w:szCs w:val="14"/>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common stock tendered by</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employees to satisfy the required withholding</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taxes related to share-based payment</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Purchases of common stock</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(68.3)</w:t>
            </w: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(68.3)</w:t>
            </w:r>
          </w:p>
        </w:tc>
        <w:tc>
          <w:tcPr>
            <w:tcW w:w="18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13.7</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2.4</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1,836.7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1,909.3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3.6</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1,912.9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December 31,</w:t>
            </w:r>
          </w:p>
        </w:tc>
        <w:tc>
          <w:tcPr>
            <w:tcW w:w="720" w:type="dxa"/>
            <w:vAlign w:val="bottom"/>
            <w:tcBorders>
              <w:bottom w:val="single" w:sz="8" w:color="auto"/>
            </w:tcBorders>
          </w:tcPr>
          <w:p>
            <w:pPr>
              <w:spacing w:after="0"/>
              <w:rPr>
                <w:sz w:val="16"/>
                <w:szCs w:val="16"/>
                <w:color w:val="auto"/>
              </w:rPr>
            </w:pPr>
          </w:p>
        </w:tc>
      </w:tr>
      <w:tr>
        <w:trPr>
          <w:trHeight w:val="184"/>
        </w:trPr>
        <w:tc>
          <w:tcPr>
            <w:tcW w:w="7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w w:val="96"/>
              </w:rPr>
              <w:t>2018</w:t>
            </w:r>
          </w:p>
        </w:tc>
      </w:tr>
      <w:tr>
        <w:trPr>
          <w:trHeight w:val="188"/>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(loss) including noncontrolling interest</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109.6</w:t>
            </w:r>
          </w:p>
        </w:tc>
        <w:tc>
          <w:tcPr>
            <w:tcW w:w="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181.1</w:t>
            </w: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including noncontrolling interest to net cash provided by operating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85.8</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87.4</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81.5</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bad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25.9</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Share-based payment award compensation costs</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(0.9)</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23.6</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 expense (benefit)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(14.4)</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Restructuring charges</w:t>
            </w:r>
          </w:p>
        </w:tc>
        <w:tc>
          <w:tcPr>
            <w:tcW w:w="26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0.3</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12.6</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(gains) losses, net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Gain on sale of business</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(80.0)</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(13.9)</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Changes in assets and liabilities, net of acquisitions and divestitures: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5"/>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 (reduced by beneficial interests received in exchange for accounts receivables sold of $369.8 for the</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 ended December 31, 2018)</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1,300.3</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(164.1)</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(445.2)</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26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251.0</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(61.3)</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28.1</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Short-term derivative assets, net</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(6.9)</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132.0</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(151.3)</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63.2</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(52.8)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Cash collateral with counterparties</w:t>
            </w:r>
          </w:p>
        </w:tc>
        <w:tc>
          <w:tcPr>
            <w:tcW w:w="26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44.2</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(42.7)</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29.2</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33.6</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(1,223.9)</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143.7</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171.3</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deposits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8.1</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(87.6)</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(91.9)</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72.5</w:t>
            </w:r>
          </w:p>
        </w:tc>
      </w:tr>
      <w:tr>
        <w:trPr>
          <w:trHeight w:val="189"/>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income tax, net and other long-term liabilities</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54.3</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12.8</w:t>
            </w:r>
          </w:p>
        </w:tc>
        <w:tc>
          <w:tcPr>
            <w:tcW w:w="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adjustments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494.5</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47.7</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(311.5)</w:t>
            </w:r>
          </w:p>
        </w:tc>
      </w:tr>
      <w:tr>
        <w:trPr>
          <w:trHeight w:val="18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604.1</w:t>
            </w: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228.8</w:t>
            </w:r>
          </w:p>
        </w:tc>
        <w:tc>
          <w:tcPr>
            <w:tcW w:w="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(182.5)</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receipts of retained beneficial interests in receivable sales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369.8</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Acquisition of business, net of cash acquired</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(128.6)</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business, net of divested cash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259.6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(51.3)</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(80.9)</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(72.3)</w:t>
            </w:r>
          </w:p>
        </w:tc>
      </w:tr>
      <w:tr>
        <w:trPr>
          <w:trHeight w:val="19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investing activities, net</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(6.9)</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(0.4)</w:t>
            </w:r>
          </w:p>
        </w:tc>
        <w:tc>
          <w:tcPr>
            <w:tcW w:w="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72.8</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(50.5)</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286.0</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Borrowings of debt</w:t>
            </w:r>
          </w:p>
        </w:tc>
        <w:tc>
          <w:tcPr>
            <w:tcW w:w="26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2,095.4</w:t>
            </w:r>
          </w:p>
        </w:tc>
        <w:tc>
          <w:tcPr>
            <w:tcW w:w="3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5,001.7</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6,188.4</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(2,207.4)</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(5,080.2)</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(6,407.3)</w:t>
            </w:r>
          </w:p>
        </w:tc>
      </w:tr>
      <w:tr>
        <w:trPr>
          <w:trHeight w:val="182"/>
        </w:trPr>
        <w:tc>
          <w:tcPr>
            <w:tcW w:w="762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26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3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(21.1)</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(16.2)</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common stock</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(68.3)</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(65.4)</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financing activities, net*</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(39.9)</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8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(213.0)</w:t>
            </w: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(204.9)</w:t>
            </w:r>
          </w:p>
        </w:tc>
        <w:tc>
          <w:tcPr>
            <w:tcW w:w="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(257.1)</w:t>
            </w: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8.8</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r>
      <w:tr>
        <w:trPr>
          <w:trHeight w:val="18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472.7</w:t>
            </w: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(25.6)</w:t>
            </w:r>
          </w:p>
        </w:tc>
        <w:tc>
          <w:tcPr>
            <w:tcW w:w="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(160.6)</w:t>
            </w:r>
          </w:p>
        </w:tc>
      </w:tr>
      <w:tr>
        <w:trPr>
          <w:trHeight w:val="18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as of the beginning of the period</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186.1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211.7</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372.3</w:t>
            </w:r>
          </w:p>
        </w:tc>
      </w:tr>
      <w:tr>
        <w:trPr>
          <w:trHeight w:val="208"/>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as of the end of the period</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658.8</w:t>
            </w:r>
          </w:p>
        </w:tc>
        <w:tc>
          <w:tcPr>
            <w:tcW w:w="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186.1</w:t>
            </w:r>
          </w:p>
        </w:tc>
        <w:tc>
          <w:tcPr>
            <w:tcW w:w="4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211.7</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00" w:hanging="92"/>
        <w:spacing w:after="0"/>
        <w:tabs>
          <w:tab w:leader="none" w:pos="1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2019 includes $32.7 million cash paid for the acquisition of 30% non-controlling interest of a consolidated subsidiary, Avinode Group AB.</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4"/>
                <w:szCs w:val="14"/>
                <w:b w:val="1"/>
                <w:bCs w:val="1"/>
                <w:color w:val="auto"/>
              </w:rPr>
              <w:t>For the Year Ended December 31,</w:t>
            </w:r>
          </w:p>
        </w:tc>
      </w:tr>
      <w:tr>
        <w:trPr>
          <w:trHeight w:val="183"/>
        </w:trPr>
        <w:tc>
          <w:tcPr>
            <w:tcW w:w="8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Interest, net of capitalized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45.1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77.0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55"/>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68.5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dividends declared, but not yet paid, were $6.3 million, $6.5 million and $4.0 million as of December 31, 2020,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noncash consideration for the acquisition and sale of businesses was $11.5 million as of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(“2020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principally in the aviation industry. We will continue to focus on enhancing the portfolio of products and services we provide based on changes in customer demand, including sustainability offerings and renewable energy solutions.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outbreak of COVID-19, which was declared a pandemic by the World Health Organization in March 2020, has created significant volatility, uncertainty and disruption in the global economy. The rapid spread of the virus caused governments around the world to implement stringent measures to help control its spread, including, without limitation, quarantines, “stay-at-home” or “shelter-in-place” orders, social-distancing mandates, travel restrictions, and closures or reduced operations for businesses, governmental agencies, schools and other institutions, among others.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Beginning in the first quarter of 2020 and through the date of this filing, the aviation, marine and land transportation industries, along with global economic conditions generally, have been significantly impacted by the pandemic. A large number of our customers in these industries have experienced substantial decline in business activity, especially commercial airlines and cruise lines, which have been particularly impacted by ongoing travel restrictions. Customers in our marine and land segments have also been adversely affected by these restrictions and the reduction in operations of various businesses in affected regions. Furthermore, government measures and other supply-related factors have also led to a precipitous decline and historic volatility in fuel prices in response to concerns about demand for fuel. In response to these developments, we took swift action to ensure the safety of our employees and other stakeholders and initiated a number of initiatives relating to cost reduction, liquidity and operating efficiencies.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the pandemic and associated impacts on economic activity had a limited adverse effect on our results of operations and financial condition in the beginning of 2020, we experienced a sharp decline in demand and related sales during the second quarter, as large sectors of the global economy were adversely impacted by the crisis. Accordingly, during the first quarter of 2020, we commenced a restructuring initiative focused on further streamlining our operations and sharpening our deployment of resources, not only in our land segment but also in our other segments due to the adverse impacts of the pandemic. During the second quarter of 2020, we expanded this restructuring to include the rationalization of our global office footprint and approved the abandonment of certain office leases, including the transition of select offices to smaller or more cost-effective locations. While demand showed some moderate improvement during the second half of 2020, our results remained well below pre-pandemic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make estimates and assumptions that affect the reported amounts within our Consolidated Financial Statements and accompanying Notes as of the date of the Consolidated Financial Statements. We assessed accounting estimates that require consideration of forecasted financial information, including, but not limited to, our allowance for credit losses, the recoverability of the carrying value of our goodwill and long-lived assets. These assessments were conducted in the context of information reasonably available to us, as well as our consideration of the future potential impacts of COVID-19 on our business as of December 31, 2020. At this time, we are unable to predict with specificity the ultimate impact of the crisis, as it will depend on the magnitude, severity and duration of the pandemic, as well as how quickly, and to what extent, normal economic and operating conditions resume on a sustainable basis globally. Accordingly, if the impact is more severe or longer in duration than we have assumed, such impact could potentially result in additional impairments or increases in credit allowances.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and related Notes include our parent company and all wholly-owned and majority-owned subsidiaries and joint ventures where we exercise control. Our Consolidated Financial Statements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businesses have been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acquisitions, refer to "Note 3. Acquisitions and Divestitures."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included below a description of recent new accounting standards that had an impact on the Company’s Consolidated Financial Statements. New accounting standards or accounting standards updates not listed below were assessed and determined to be either not applicable or did not have a material impact on the Company’s Consolidated Financial Statements or processes.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Financial Instruments-Credit Losses (Topic 326): Measurement of Credit Losses on Financial Instruments. </w:t>
      </w:r>
      <w:r>
        <w:rPr>
          <w:rFonts w:ascii="Arial" w:cs="Arial" w:eastAsia="Arial" w:hAnsi="Arial"/>
          <w:sz w:val="18"/>
          <w:szCs w:val="18"/>
          <w:color w:val="auto"/>
        </w:rPr>
        <w:t>In June 2016,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2016-13 was issued, which replaced the incurred loss impairment model with a model that reflects expected credit losses over the lifetime of the asset and requires consideration of a broader range of reasonable and supportable information to determine credit loss estimates. The guidance in this update, including the subsequent related codification amendments, changed how entities account for credit impairment from trade and other receivables, net investments arising from sales-type and direct financing leases, debt securities, purchased-credit impaired financial assets and other instruments in addition to loans. For receivables and certain other instruments that are not measured at fair value, entities are required to estimate expected credit losses. Under the expected loss model, an entity recognizes a loss upon initial recognition of the asset that reflects all future events that could lead to a loss being realized, regardless of whether it is probable that the future event will occur.</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adopted ASU 2016 -13, including the related codification amendments, in the first quarter of 2020 utilizing the modified retrospective transition method and applying the transition provisions at the effective date.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implemented changes to business processes and internal controls that support the new standard. As of the date of implementation on January 1, 2020, the Company recognized $11.1 million as a reduction to the opening retained earnings balance. The main drivers of the consolidated impact at transition are related to the inclusion of future economic conditions, the exclusion of freestanding credit enhancements when estimating the expected credit loss and estimating the lifetime credit losses of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Reference Rate Reform (Topic 848): Facilitation of the Effects of Reference Rate Reform on Financial Reporting and Scope. </w:t>
      </w:r>
      <w:r>
        <w:rPr>
          <w:rFonts w:ascii="Arial" w:cs="Arial" w:eastAsia="Arial" w:hAnsi="Arial"/>
          <w:sz w:val="18"/>
          <w:szCs w:val="18"/>
          <w:color w:val="auto"/>
        </w:rPr>
        <w:t>In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January 2021, ASU 2020-04 and ASU 2021-01 were issued, respectively. The amendments provide temporary optional expedients and exceptions to the guidance on contract modifications and hedge accounting to ease the financial reporting burden in accounting for (or recognizing the effects of) contracts, hedging relationships and other transactions that reference the London Interbank Offered Rate ("LIBOR") or other interbank offered rates expected to be discontinued because of reference rate reform. The ASU’s were effective upon issuance and may be applied prospectively to contract modifications made and hedging relationships entered into or evaluated on or before December 31, 2022. The Company is evaluating the contracts that could be affected by an alternative reference rate and assessing the potential effects of the ASU’s on the consolidated financial statements but does not anticipate a material impact to its Consolidated Financial Statements or processes. Additionally, LIBOR fallback language has been included, when applicable, in new and renewed contracts entered into by the Company in preparation for transition from LIBOR to alternative reference rates when such transition occurs.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recently issued accounting standards not yet adopted by us are not expected, upon adoption, to have a material impact on the Company’s Consolidated Financial Statements or processes.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health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Components of inventory include fuel purchase costs, any related transportation or distribution costs and changes in the estimated fair market values for inventories included in a fair value hedge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 the purchase price is 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and goodwill is not recognized but rather any residual difference with the consideration transferred is allocated on a relative fair value basis to all qualifying identifiable net assets acquired.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Depending on the type of assets, we calculate the fair value using the income approach (e.g., based on the present value of estimated future cash flows), the market approach or a combination of both. 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fair value measurements, see "Note 12. 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derivative contracts are recognized at their estimated fair market value. The fair value of our derivatives is derived using observable and certain unobservable inputs, such as basis differentials, which are based on the difference between the historical prices of our prior transactions and underlying observable data; and incorporates the effect of nonperformance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 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 For more information on our derivatives, see "Note 4. Derivatives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 assessed for impairment whenever events or changes in circumstances indicate that the carrying amount of an asset may not be recoverable.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at the reporting unit level, initially based on an assessment of qualitative factors to determine whether it is more likely than not that the fair value of any individual reporting unit is less than its carrying amount. Management conducts an impairment assessment as of December 31 of each year, or more frequently if events or circumstances indicate that the carrying value of goodwill may be impaired.</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compare the fair value of the reporting units to which goodwill was assigned to their respective carrying values.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as of the testing date, including our annual operating plan, which is completed annually during the fourth quarter and is approved by our Board of Directors. The estimated cash flows are discounted using rates that correspond to a weighted-average cost of capital consistent with those used internally for investment decisions. All our estimates are considered supportable assumptions that we believe are reasonable and are based on a number of factors including industry experience, internal benchmarks, and the economic environment.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Identifiable intangible assets subject to amortization are amortized over their estimated useful lives and are assessed for impairment whenever events or changes in circumstances indicate that the carrying amount of an asset may not be recoverable. We assess identifiable intangible assets not subject to amortization at least annually during the fourth quarter of each year for potential impairment. This analysis generally involves the use of qualitative and quantitative analyses to estimate whether the estimated future cash flows generated as a result of these assets will be greater than or equal to the carrying value assigned to such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held investments where we own less than 50% of the outstanding voting shares of the company. We account for investments primarily under the equity method as we have the ability to exercise significant influence over the operating and financial policies of the investee, but do not have control.</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 accounted for under the equity method are assessed whenever events or changes in circumstances indicate that the carrying amount of an investment may not be recoverable.</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are classified as Impairments within the Consolidated Statements of Income and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income (expense), net, in the accompanying Consolidated Statements of Income and Comprehensive Income in the period incurred.</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247"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235"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235"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Diluted earnings per common share is computed by dividing net income attributable to World Fuel and available to common shareholders by the sum of the weighted average number of shares of common stock and the number of additional shares of common stock that would have been outstanding if our outstanding potentially dilutive securities had been issued. Potentially dilutive securities include awards of restricted stock subject to forfeitable dividends, non-vested restricted stock units ("RSUs"), performance stock units where the performance requirements have been met, and settled stock appreciation rights awards ("SSARs"). The dilutive effect of potentially dilutive securities is reflected in diluted earnings per common share by application of the treasury stock method, except if its impact is anti-dilutive. Under the treasury stock method, an increase in the fair market value of our common stock can result in a greater dilutive effect from potentially dilutive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adopted ASU 2016-02, including the related codification amendments, in the first quarter of 2019 utilizing the modified retrospective transition method and applying the transition provisions at the effective date.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if an arrangement is a lease at inception. Determining whether a contract contains a lease includes judgment regarding whether the contract conveys the right to control the use of identified property or equipment for a period of time in exchange for consideration.</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account for our lease-related assets and liabilities based on their classification as operating leases or finance leases, following the relevant accounting guidance. For all the lessee arrangements,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test right-of-use asset in an operating or finance lease at the asset group level (because these assets are long-lived nonfinancial assets and should be accounted for the same way as other long-lived nonfinancial assets) whenever events or changes in circumstances indicate that the carrying amount of an asset may not be recoverable.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extend credit on an unsecured basis to most of our customers. Our exposure to expected credit losses depends on the financial condition of our customers and other macroeconomic factors beyond our control, such as deteriorating conditions in the world economy or in the industries we serve, changes in oil prices and political instability. While we actively manage our credit exposure and work to respond to both changes in our customers’ financial conditions or macroeconomic events, there can be no guarantee we will be able to mitigate all of these risks successfully.</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based on expected exposure. Our payment terms with customers are based on each customers' creditworthiness and are generally 30-60 days, although certain markets and other customer-specific factors may warrant longer payment terms. Accounts receivable balances that are not paid within the terms of the sales agreement may be subject to finance fees based on the outstanding balance. Although we analyze customers’ payment history and expected creditworthiness, since we extend credit on an unsecured basis to most of our customers, there is a possibility that any accounts receivable not collected may ultimately need to be written off.</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accounts receivable of $ 1.2 billion and $2.9 billion as of December 31, 2020 and 2019, respectively. We also had an allowance for credit losses, primarily related to accounts receivable, of $57.3 million and $35.5 million, as of December 31, 2020 and 2019, respectively. Changes to the expected credit loss provision during the year ended December 31, 2020 include global economic outlook considerations as a result of the Company’s assessment of reasonable and supportable forward-looking information including the expected overall impact of the pandemic mainly to the aviation segment. Write-off of uncollectible receivables during the year ended December 31, 2020 resulted from negative impacts of the pandemic combined with pre-existing financial difficulties experienced by certain customers. Based on an aging analysis as of December 31, 2020, 91% of our net accounts receivable were outstanding less than 60 days.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credit losses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Charges to provision for credit losses</w:t>
            </w:r>
          </w:p>
        </w:tc>
        <w:tc>
          <w:tcPr>
            <w:tcW w:w="26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2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26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2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end of period</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 For 2020, the balance as of the beginning of the period includes the $11.1 million cumulative transition adjustment related to the implementation of ASU 2016-13.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 Sale Programs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have accounts receivable financing programs under receivables purchase agreements (“RPAs”) with Wells Fargo Bank, N.A. and Citibank, N.A. that allow for the sale of our accounts receivable in an amount up to 100% of our outstanding qualifying accounts receivable balances and receive cash consideration equal to the total balance, less a discount margin equal to LIBOR plus 1.00% to 3.25%, which varies based on the outstanding accounts receivable at any given time and assumes maximum utilization of the RPA facilities. During the third quarter of 2020, we amended our RPA with Citibank N.A. to, among other things, extend the renewal option term of the RPA through 2024. Accounts receivable sold under the RPAs are accounted for as sales, in accordance with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and excluded from Accounts receivable, net of allowance for credit losses on the accompanying Consolidated Balance Sheets. Fees and interest paid under the RPAs are recorded within Interest expense and other financing costs, net on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RPAs, sold accounts receivable which remained outstanding at December 31, 2020 and 2019, were $306.9 million and $405.9 million, respectively. The fees and interest paid under the RPA were $11.8 million, $25.9 million, and $19.9 million, for years ended 2020, 2019 and 2018, respectively. For the years ended December 31, 2020, 2019 and 2018, cash payments to the owners of account receivables were $4.4 billion, $8.2 billion and $7.9 billion respectively and cash proceeds from the sale of account receivables were $4.3 billion, $8.2 billion and $7.9 billion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Divestitures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30, 2020, we completed the sale of our Multi Service payment solutions business ("MSTS") pursuant to the definitive agreement signed on July 30, 2020, for gross cash proceeds at closing of $303.5 million (cash proceeds net of post-closing working capital adjustments and cash sold was $259.6 million), subject to additional deferred payment of $75.0 million of which $50.0 million will be conditioned on MSTS's achievement of certain financial targets in 2021 and 2022. The contingent consideration was measured at fair value at the day of the closing. The sale resulted in a pre-tax gain of $80.0 million, net of costs to sell, that was included in Other income (expense), net within our Consolidated Statements of Income and Comprehensive Income. The related tax expense of $12.9 million was included in Provision for income taxes within our Consolidated Statements of Income and Comprehensive Income. Prior to the sale, MSTS was a reporting unit mainly reported within the land segment. The sale did not meet the criteria to be reported as a discontinued operation.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2020, we acquired an additional interest in a software company in our aviation segment and obtained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accounted for as an asset acquisition and did not have a material impact on our Consolidated Financial Statements.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2020, we completed the acquisition of the aviation fuel business from Universal Weather and Aviation, Inc. (“UVair fuel business”), which serves business and general aviation customers worldwide. The acquisition was accounted for as a business combination.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purchase price allocation was finalized in the third quarter of 2020. The following table summarizes the final aggregate consideration, updated for certain working capital items, and the final fair value of the assets acquired and liabilities assumed. The total consideration includes a deferred payment that is outstanding as of 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acquisition of business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Amounts due to sellers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10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10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0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identifiable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Other current and long-term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0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and long-term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10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10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in the amount of $79.1 million was recorded and was assigned to the aviation segment. We anticipate that $70.2 million of the goodwill assigned to the aviation segment will be deductible for tax purposes and is attributable primarily to the expected synergies and other benefits that we believe will result from combining the acquired operations with the operations of our aviation segment. The identifiable intangible assets were $44.3 million and primarily consisted of customer relationships and other identifiable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position, results of operations and cash flows of these acquisitions have been included in our Consolidated Financial Statements since their acquisition dates and did not have a material impact on our consolidated revenue and net income for the year ended December 31, 2020; accordingly, pro forma information for these acquisitions have not been provided as the impact was not considered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 and Divestitures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made no material acquisitions or divestitures during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 and Divestitures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made no material divestitures during 2018</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2018, we completed one acquisition in the land segment. The financial position, results of operations and cash flows of the 2018 acquisition has been included in our Consolidated Financial Statements since its acquisition date and did not have a material impact on our Consolidated Financial Statements as of and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 contracts we hold to hedge the risk of changes in the price of our inventory.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Includes derivative contracts we execute to mitigate the risk of price and interest rate volatility in forecasted transactions.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well as certain forward fixed price purchase and sale contracts to hedge the risk of currency rate fluctuations and for portfolio optimization.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2020, we entered into a $300 million, one-month LIBOR, floating-for-fixed non-amortizing interest rate swap contract ("IR Swap") with a maturity date in March 2025. The IR Swap was designated as a cash flow hedge to mitigate potential adverse changes in interest rates related to certain variable rate debt obligations. Changes in the IR Swap's fair value recorded periodically in Accumulated other comprehensive income, are subsequently reclassified to our Consolidated Statements of Income and Comprehensive Income within Interest expense and other financing costs, net when the underlying hedged variable rate interest payments are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Gross Derivative Assets</w:t>
            </w:r>
          </w:p>
        </w:tc>
        <w:tc>
          <w:tcPr>
            <w:tcW w:w="300" w:type="dxa"/>
            <w:vAlign w:val="bottom"/>
          </w:tcPr>
          <w:p>
            <w:pPr>
              <w:spacing w:after="0"/>
              <w:rPr>
                <w:sz w:val="16"/>
                <w:szCs w:val="16"/>
                <w:color w:val="auto"/>
              </w:rPr>
            </w:pPr>
          </w:p>
        </w:tc>
        <w:tc>
          <w:tcPr>
            <w:tcW w:w="21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Gross Derivative Liabilities</w:t>
            </w:r>
          </w:p>
        </w:tc>
      </w:tr>
      <w:tr>
        <w:trPr>
          <w:trHeight w:val="189"/>
        </w:trPr>
        <w:tc>
          <w:tcPr>
            <w:tcW w:w="20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6"/>
                <w:szCs w:val="16"/>
                <w:color w:val="auto"/>
              </w:rPr>
            </w:pPr>
          </w:p>
        </w:tc>
      </w:tr>
      <w:tr>
        <w:trPr>
          <w:trHeight w:val="183"/>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080" w:type="dxa"/>
            <w:vAlign w:val="bottom"/>
          </w:tcPr>
          <w:p>
            <w:pPr>
              <w:ind w:left="280"/>
              <w:spacing w:after="0"/>
              <w:rPr>
                <w:sz w:val="20"/>
                <w:szCs w:val="20"/>
                <w:color w:val="auto"/>
              </w:rPr>
            </w:pPr>
            <w:r>
              <w:rPr>
                <w:rFonts w:ascii="Arial" w:cs="Arial" w:eastAsia="Arial" w:hAnsi="Arial"/>
                <w:sz w:val="14"/>
                <w:szCs w:val="14"/>
                <w:color w:val="auto"/>
              </w:rPr>
              <w:t>Short-term derivative assets, net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124.9</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120.7</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20" w:type="dxa"/>
            <w:vAlign w:val="bottom"/>
            <w:shd w:val="clear" w:color="auto" w:fill="CCEEFF"/>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89"/>
        </w:trPr>
        <w:tc>
          <w:tcPr>
            <w:tcW w:w="202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0.1</w:t>
            </w: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2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126.0</w:t>
            </w:r>
          </w:p>
        </w:tc>
        <w:tc>
          <w:tcPr>
            <w:tcW w:w="6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123.5</w:t>
            </w: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20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4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2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2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2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83"/>
        </w:trPr>
        <w:tc>
          <w:tcPr>
            <w:tcW w:w="6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126.0</w:t>
            </w:r>
          </w:p>
        </w:tc>
        <w:tc>
          <w:tcPr>
            <w:tcW w:w="6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127.2</w:t>
            </w: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50"/>
        </w:trPr>
        <w:tc>
          <w:tcPr>
            <w:tcW w:w="20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18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080" w:type="dxa"/>
            <w:vAlign w:val="bottom"/>
          </w:tcPr>
          <w:p>
            <w:pPr>
              <w:ind w:left="280"/>
              <w:spacing w:after="0"/>
              <w:rPr>
                <w:sz w:val="20"/>
                <w:szCs w:val="20"/>
                <w:color w:val="auto"/>
              </w:rPr>
            </w:pPr>
            <w:r>
              <w:rPr>
                <w:rFonts w:ascii="Arial" w:cs="Arial" w:eastAsia="Arial" w:hAnsi="Arial"/>
                <w:sz w:val="14"/>
                <w:szCs w:val="14"/>
                <w:color w:val="auto"/>
              </w:rPr>
              <w:t>Short-term derivative assets, net</w:t>
            </w: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164.9</w:t>
            </w:r>
          </w:p>
        </w:tc>
        <w:tc>
          <w:tcPr>
            <w:tcW w:w="64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65.7</w:t>
            </w:r>
          </w:p>
        </w:tc>
        <w:tc>
          <w:tcPr>
            <w:tcW w:w="3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102.7</w:t>
            </w:r>
          </w:p>
        </w:tc>
        <w:tc>
          <w:tcPr>
            <w:tcW w:w="6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9"/>
        </w:trPr>
        <w:tc>
          <w:tcPr>
            <w:tcW w:w="2020" w:type="dxa"/>
            <w:vAlign w:val="bottom"/>
            <w:shd w:val="clear" w:color="auto" w:fill="CCEEFF"/>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32.1</w:t>
            </w: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9"/>
        </w:trPr>
        <w:tc>
          <w:tcPr>
            <w:tcW w:w="20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30.5</w:t>
            </w:r>
          </w:p>
        </w:tc>
        <w:tc>
          <w:tcPr>
            <w:tcW w:w="64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161.0</w:t>
            </w:r>
          </w:p>
        </w:tc>
        <w:tc>
          <w:tcPr>
            <w:tcW w:w="3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68.4</w:t>
            </w:r>
          </w:p>
        </w:tc>
        <w:tc>
          <w:tcPr>
            <w:tcW w:w="6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189"/>
        </w:trPr>
        <w:tc>
          <w:tcPr>
            <w:tcW w:w="2020" w:type="dxa"/>
            <w:vAlign w:val="bottom"/>
            <w:shd w:val="clear" w:color="auto" w:fill="CCEEFF"/>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7.7</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23.5</w:t>
            </w:r>
          </w:p>
        </w:tc>
        <w:tc>
          <w:tcPr>
            <w:tcW w:w="6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3"/>
        </w:trPr>
        <w:tc>
          <w:tcPr>
            <w:tcW w:w="2020" w:type="dxa"/>
            <w:vAlign w:val="bottom"/>
            <w:tcBorders>
              <w:bottom w:val="single" w:sz="8" w:color="CCEEFF"/>
            </w:tcBorders>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245.0</w:t>
            </w: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257.3</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202.5</w:t>
            </w: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w:t>
            </w:r>
          </w:p>
        </w:tc>
      </w:tr>
      <w:tr>
        <w:trPr>
          <w:trHeight w:val="250"/>
        </w:trPr>
        <w:tc>
          <w:tcPr>
            <w:tcW w:w="20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4080" w:type="dxa"/>
            <w:vAlign w:val="bottom"/>
          </w:tcPr>
          <w:p>
            <w:pPr>
              <w:ind w:left="280"/>
              <w:spacing w:after="0"/>
              <w:rPr>
                <w:sz w:val="20"/>
                <w:szCs w:val="20"/>
                <w:color w:val="auto"/>
              </w:rPr>
            </w:pPr>
            <w:r>
              <w:rPr>
                <w:rFonts w:ascii="Arial" w:cs="Arial" w:eastAsia="Arial" w:hAnsi="Arial"/>
                <w:sz w:val="14"/>
                <w:szCs w:val="14"/>
                <w:color w:val="auto"/>
              </w:rPr>
              <w:t>Short-term derivative assets, net</w:t>
            </w: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2020" w:type="dxa"/>
            <w:vAlign w:val="bottom"/>
            <w:shd w:val="clear" w:color="auto" w:fill="CCEEFF"/>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0.9</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89"/>
        </w:trPr>
        <w:tc>
          <w:tcPr>
            <w:tcW w:w="202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20" w:type="dxa"/>
            <w:vAlign w:val="bottom"/>
            <w:tcBorders>
              <w:bottom w:val="single" w:sz="8" w:color="auto"/>
            </w:tcBorders>
            <w:shd w:val="clear" w:color="auto" w:fill="CCEEFF"/>
          </w:tcPr>
          <w:p>
            <w:pPr>
              <w:spacing w:after="0"/>
              <w:rPr>
                <w:sz w:val="15"/>
                <w:szCs w:val="15"/>
                <w:color w:val="auto"/>
              </w:rPr>
            </w:pPr>
          </w:p>
        </w:tc>
        <w:tc>
          <w:tcPr>
            <w:tcW w:w="40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6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19.8</w:t>
            </w: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83"/>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252.5</w:t>
            </w: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259.4</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222.3</w:t>
            </w: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w:t>
            </w:r>
          </w:p>
        </w:tc>
      </w:tr>
      <w:tr>
        <w:trPr>
          <w:trHeight w:val="250"/>
        </w:trPr>
        <w:tc>
          <w:tcPr>
            <w:tcW w:w="2020" w:type="dxa"/>
            <w:vAlign w:val="bottom"/>
            <w:tcBorders>
              <w:bottom w:val="single" w:sz="8" w:color="auto"/>
            </w:tcBorders>
            <w:shd w:val="clear" w:color="auto" w:fill="CCEEFF"/>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r>
      <w:tr>
        <w:trPr>
          <w:trHeight w:val="183"/>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derivatives</w:t>
            </w:r>
          </w:p>
        </w:tc>
        <w:tc>
          <w:tcPr>
            <w:tcW w:w="40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378.5</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349.5</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266.6</w:t>
            </w: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12. Fair Value Measurements."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December 31, 2020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8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Units</w:t>
            </w:r>
          </w:p>
        </w:tc>
        <w:tc>
          <w:tcPr>
            <w:tcW w:w="13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2020</w:t>
            </w:r>
          </w:p>
        </w:tc>
      </w:tr>
      <w:tr>
        <w:trPr>
          <w:trHeight w:val="183"/>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9"/>
        </w:trPr>
        <w:tc>
          <w:tcPr>
            <w:tcW w:w="8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w:t>
            </w:r>
          </w:p>
        </w:tc>
        <w:tc>
          <w:tcPr>
            <w:tcW w:w="15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BBL</w:t>
            </w:r>
          </w:p>
        </w:tc>
        <w:tc>
          <w:tcPr>
            <w:tcW w:w="13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60.4</w:t>
            </w:r>
          </w:p>
        </w:tc>
      </w:tr>
      <w:tr>
        <w:trPr>
          <w:trHeight w:val="189"/>
        </w:trPr>
        <w:tc>
          <w:tcPr>
            <w:tcW w:w="8360" w:type="dxa"/>
            <w:vAlign w:val="bottom"/>
          </w:tcPr>
          <w:p>
            <w:pPr>
              <w:ind w:left="140"/>
              <w:spacing w:after="0"/>
              <w:rPr>
                <w:sz w:val="20"/>
                <w:szCs w:val="20"/>
                <w:color w:val="auto"/>
              </w:rPr>
            </w:pPr>
            <w:r>
              <w:rPr>
                <w:rFonts w:ascii="Arial" w:cs="Arial" w:eastAsia="Arial" w:hAnsi="Arial"/>
                <w:sz w:val="14"/>
                <w:szCs w:val="14"/>
                <w:color w:val="auto"/>
              </w:rPr>
              <w:t>Short</w:t>
            </w:r>
          </w:p>
        </w:tc>
        <w:tc>
          <w:tcPr>
            <w:tcW w:w="1500" w:type="dxa"/>
            <w:vAlign w:val="bottom"/>
          </w:tcPr>
          <w:p>
            <w:pPr>
              <w:jc w:val="center"/>
              <w:ind w:left="28"/>
              <w:spacing w:after="0"/>
              <w:rPr>
                <w:sz w:val="20"/>
                <w:szCs w:val="20"/>
                <w:color w:val="auto"/>
              </w:rPr>
            </w:pPr>
            <w:r>
              <w:rPr>
                <w:rFonts w:ascii="Arial" w:cs="Arial" w:eastAsia="Arial" w:hAnsi="Arial"/>
                <w:sz w:val="14"/>
                <w:szCs w:val="14"/>
                <w:color w:val="auto"/>
              </w:rPr>
              <w:t>BBL</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rPr>
              <w:t>(48.8)</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8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 U.S. dollar, buy other currencies</w:t>
            </w:r>
          </w:p>
        </w:tc>
        <w:tc>
          <w:tcPr>
            <w:tcW w:w="15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USD</w:t>
            </w:r>
          </w:p>
        </w:tc>
        <w:tc>
          <w:tcPr>
            <w:tcW w:w="13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(347.0)</w:t>
            </w:r>
          </w:p>
        </w:tc>
      </w:tr>
      <w:tr>
        <w:trPr>
          <w:trHeight w:val="189"/>
        </w:trPr>
        <w:tc>
          <w:tcPr>
            <w:tcW w:w="8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Buy U.S. dollar, sell other currencies</w:t>
            </w: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USD</w:t>
            </w:r>
          </w:p>
        </w:tc>
        <w:tc>
          <w:tcPr>
            <w:tcW w:w="13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559.7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and 2019, the following amounts were recorded within our Consolidated Balance Sheets related to cumulative basis adjustments for fair value hedges (in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Line item in the Consolidated Balance Sheets in</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rPr>
              <w:t>Carrying Amount of Hedged Asset/(Liabilities)</w:t>
            </w:r>
          </w:p>
        </w:tc>
        <w:tc>
          <w:tcPr>
            <w:tcW w:w="180" w:type="dxa"/>
            <w:vAlign w:val="bottom"/>
          </w:tcPr>
          <w:p>
            <w:pPr>
              <w:spacing w:after="0"/>
              <w:rPr>
                <w:sz w:val="11"/>
                <w:szCs w:val="11"/>
                <w:color w:val="auto"/>
              </w:rPr>
            </w:pPr>
          </w:p>
        </w:tc>
        <w:tc>
          <w:tcPr>
            <w:tcW w:w="3820" w:type="dxa"/>
            <w:vAlign w:val="bottom"/>
            <w:gridSpan w:val="3"/>
          </w:tcPr>
          <w:p>
            <w:pPr>
              <w:jc w:val="center"/>
              <w:ind w:right="28"/>
              <w:spacing w:after="0" w:line="135"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which the hedged item is included</w:t>
            </w:r>
          </w:p>
        </w:tc>
        <w:tc>
          <w:tcPr>
            <w:tcW w:w="2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left="1388"/>
              <w:spacing w:after="0"/>
              <w:rPr>
                <w:sz w:val="20"/>
                <w:szCs w:val="20"/>
                <w:color w:val="auto"/>
              </w:rPr>
            </w:pPr>
            <w:r>
              <w:rPr>
                <w:rFonts w:ascii="Arial" w:cs="Arial" w:eastAsia="Arial" w:hAnsi="Arial"/>
                <w:sz w:val="14"/>
                <w:szCs w:val="14"/>
                <w:b w:val="1"/>
                <w:bCs w:val="1"/>
                <w:color w:val="auto"/>
              </w:rPr>
              <w:t>As of</w:t>
            </w:r>
          </w:p>
        </w:tc>
        <w:tc>
          <w:tcPr>
            <w:tcW w:w="1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center"/>
              <w:ind w:left="1528"/>
              <w:spacing w:after="0"/>
              <w:rPr>
                <w:sz w:val="20"/>
                <w:szCs w:val="20"/>
                <w:color w:val="auto"/>
              </w:rPr>
            </w:pPr>
            <w:r>
              <w:rPr>
                <w:rFonts w:ascii="Arial" w:cs="Arial" w:eastAsia="Arial" w:hAnsi="Arial"/>
                <w:sz w:val="14"/>
                <w:szCs w:val="14"/>
                <w:b w:val="1"/>
                <w:bCs w:val="1"/>
                <w:color w:val="auto"/>
              </w:rPr>
              <w:t>As of</w:t>
            </w: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143510</wp:posOffset>
            </wp:positionV>
            <wp:extent cx="45345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11"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Location and Amount of Gain and (Loss) Recognized in Income on Fair Value and Cash Flow Hedging</w:t>
      </w:r>
    </w:p>
    <w:p>
      <w:pPr>
        <w:jc w:val="center"/>
        <w:ind w:left="4080"/>
        <w:spacing w:after="0"/>
        <w:rPr>
          <w:sz w:val="20"/>
          <w:szCs w:val="20"/>
          <w:color w:val="auto"/>
        </w:rPr>
      </w:pPr>
      <w:r>
        <w:rPr>
          <w:rFonts w:ascii="Arial" w:cs="Arial" w:eastAsia="Arial" w:hAnsi="Arial"/>
          <w:sz w:val="14"/>
          <w:szCs w:val="14"/>
          <w:b w:val="1"/>
          <w:bCs w:val="1"/>
          <w:color w:val="auto"/>
        </w:rPr>
        <w:t>Relationships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Twelve Months Ended December 31,</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88"/>
              <w:spacing w:after="0" w:line="142" w:lineRule="exact"/>
              <w:rPr>
                <w:sz w:val="20"/>
                <w:szCs w:val="20"/>
                <w:color w:val="auto"/>
              </w:rPr>
            </w:pPr>
            <w:r>
              <w:rPr>
                <w:rFonts w:ascii="Arial" w:cs="Arial" w:eastAsia="Arial" w:hAnsi="Arial"/>
                <w:sz w:val="14"/>
                <w:szCs w:val="14"/>
                <w:b w:val="1"/>
                <w:bCs w:val="1"/>
                <w:color w:val="auto"/>
              </w:rPr>
              <w:t>Interest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rPr>
              <w:t>Cost of</w:t>
            </w:r>
          </w:p>
        </w:tc>
        <w:tc>
          <w:tcPr>
            <w:tcW w:w="10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expense and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Cost of</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68"/>
        </w:trPr>
        <w:tc>
          <w:tcPr>
            <w:tcW w:w="4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restart"/>
            <w:shd w:val="clear" w:color="auto" w:fill="CCEEFF"/>
          </w:tcPr>
          <w:p>
            <w:pPr>
              <w:jc w:val="right"/>
              <w:ind w:right="108"/>
              <w:spacing w:after="0" w:line="135" w:lineRule="exact"/>
              <w:rPr>
                <w:sz w:val="20"/>
                <w:szCs w:val="20"/>
                <w:color w:val="auto"/>
              </w:rPr>
            </w:pPr>
            <w:r>
              <w:rPr>
                <w:rFonts w:ascii="Arial" w:cs="Arial" w:eastAsia="Arial" w:hAnsi="Arial"/>
                <w:sz w:val="14"/>
                <w:szCs w:val="14"/>
                <w:b w:val="1"/>
                <w:bCs w:val="1"/>
                <w:color w:val="auto"/>
              </w:rPr>
              <w:t>Revenue</w:t>
            </w: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center"/>
              <w:ind w:right="88"/>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CCEEFF"/>
          </w:tcPr>
          <w:p>
            <w:pPr>
              <w:spacing w:after="0"/>
              <w:rPr>
                <w:sz w:val="5"/>
                <w:szCs w:val="5"/>
                <w:color w:val="auto"/>
              </w:rPr>
            </w:pPr>
          </w:p>
        </w:tc>
        <w:tc>
          <w:tcPr>
            <w:tcW w:w="840" w:type="dxa"/>
            <w:vAlign w:val="bottom"/>
            <w:vMerge w:val="restart"/>
            <w:shd w:val="clear" w:color="auto" w:fill="CCEEFF"/>
          </w:tcPr>
          <w:p>
            <w:pPr>
              <w:jc w:val="right"/>
              <w:ind w:right="148"/>
              <w:spacing w:after="0" w:line="135" w:lineRule="exact"/>
              <w:rPr>
                <w:sz w:val="20"/>
                <w:szCs w:val="20"/>
                <w:color w:val="auto"/>
              </w:rPr>
            </w:pPr>
            <w:r>
              <w:rPr>
                <w:rFonts w:ascii="Arial" w:cs="Arial" w:eastAsia="Arial" w:hAnsi="Arial"/>
                <w:sz w:val="14"/>
                <w:szCs w:val="14"/>
                <w:b w:val="1"/>
                <w:bCs w:val="1"/>
                <w:color w:val="auto"/>
              </w:rPr>
              <w:t>Revenue</w:t>
            </w: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restart"/>
            <w:shd w:val="clear" w:color="auto" w:fill="CCEEFF"/>
          </w:tcPr>
          <w:p>
            <w:pPr>
              <w:jc w:val="right"/>
              <w:ind w:right="148"/>
              <w:spacing w:after="0" w:line="135" w:lineRule="exact"/>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restart"/>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rPr>
              <w:t>Revenue</w:t>
            </w:r>
          </w:p>
        </w:tc>
        <w:tc>
          <w:tcPr>
            <w:tcW w:w="1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Revenue</w:t>
            </w: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88"/>
              <w:spacing w:after="0" w:line="135" w:lineRule="exact"/>
              <w:rPr>
                <w:sz w:val="20"/>
                <w:szCs w:val="20"/>
                <w:color w:val="auto"/>
              </w:rPr>
            </w:pPr>
            <w:r>
              <w:rPr>
                <w:rFonts w:ascii="Arial" w:cs="Arial" w:eastAsia="Arial" w:hAnsi="Arial"/>
                <w:sz w:val="14"/>
                <w:szCs w:val="14"/>
                <w:b w:val="1"/>
                <w:bCs w:val="1"/>
                <w:color w:val="auto"/>
              </w:rPr>
              <w:t>financing</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b w:val="1"/>
                <w:bCs w:val="1"/>
                <w:color w:val="auto"/>
              </w:rPr>
              <w:t>costs, net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00" w:type="dxa"/>
            <w:vAlign w:val="bottom"/>
          </w:tcPr>
          <w:p>
            <w:pPr>
              <w:ind w:left="20"/>
              <w:spacing w:after="0" w:line="133" w:lineRule="exact"/>
              <w:rPr>
                <w:sz w:val="20"/>
                <w:szCs w:val="20"/>
                <w:color w:val="auto"/>
              </w:rPr>
            </w:pPr>
            <w:r>
              <w:rPr>
                <w:rFonts w:ascii="Arial" w:cs="Arial" w:eastAsia="Arial" w:hAnsi="Arial"/>
                <w:sz w:val="14"/>
                <w:szCs w:val="14"/>
                <w:color w:val="auto"/>
              </w:rPr>
              <w:t>Total amounts of income and expense line items in which the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20,358.3</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19,506.5</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48.6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36,819.0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35,707.0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39,750.3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38,731.8</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effects of fair value or cash flow hedged are recorded</w:t>
            </w:r>
          </w:p>
        </w:tc>
        <w:tc>
          <w:tcPr>
            <w:tcW w:w="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(Loss) on fair value hedge relationships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Hedged Item</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3"/>
        </w:trPr>
        <w:tc>
          <w:tcPr>
            <w:tcW w:w="4100" w:type="dxa"/>
            <w:vAlign w:val="bottom"/>
          </w:tcPr>
          <w:p>
            <w:pPr>
              <w:ind w:left="1340"/>
              <w:spacing w:after="0" w:line="153" w:lineRule="exact"/>
              <w:rPr>
                <w:sz w:val="20"/>
                <w:szCs w:val="20"/>
                <w:color w:val="auto"/>
              </w:rPr>
            </w:pPr>
            <w:r>
              <w:rPr>
                <w:rFonts w:ascii="Arial" w:cs="Arial" w:eastAsia="Arial" w:hAnsi="Arial"/>
                <w:sz w:val="14"/>
                <w:szCs w:val="14"/>
                <w:color w:val="auto"/>
              </w:rPr>
              <w:t>Derivatives designated as hedging</w:t>
            </w:r>
          </w:p>
        </w:tc>
        <w:tc>
          <w:tcPr>
            <w:tcW w:w="1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(16.1)</w:t>
            </w:r>
          </w:p>
        </w:tc>
        <w:tc>
          <w:tcPr>
            <w:tcW w:w="16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134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(Loss) on cash flow hedge relationships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340"/>
              <w:spacing w:after="0" w:line="153" w:lineRule="exact"/>
              <w:rPr>
                <w:sz w:val="20"/>
                <w:szCs w:val="20"/>
                <w:color w:val="auto"/>
              </w:rPr>
            </w:pPr>
            <w:r>
              <w:rPr>
                <w:rFonts w:ascii="Arial" w:cs="Arial" w:eastAsia="Arial" w:hAnsi="Arial"/>
                <w:sz w:val="14"/>
                <w:szCs w:val="14"/>
                <w:color w:val="auto"/>
              </w:rPr>
              <w:t>Amount of Gain (Loss) Reclassified from</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(181.1)</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36.6</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05"/>
        </w:trPr>
        <w:tc>
          <w:tcPr>
            <w:tcW w:w="4100" w:type="dxa"/>
            <w:vAlign w:val="bottom"/>
            <w:vMerge w:val="restart"/>
            <w:shd w:val="clear" w:color="auto" w:fill="CCEEFF"/>
          </w:tcPr>
          <w:p>
            <w:pPr>
              <w:ind w:left="1340"/>
              <w:spacing w:after="0"/>
              <w:rPr>
                <w:sz w:val="20"/>
                <w:szCs w:val="20"/>
                <w:color w:val="auto"/>
              </w:rPr>
            </w:pPr>
            <w:r>
              <w:rPr>
                <w:rFonts w:ascii="Arial" w:cs="Arial" w:eastAsia="Arial" w:hAnsi="Arial"/>
                <w:sz w:val="14"/>
                <w:szCs w:val="14"/>
                <w:color w:val="auto"/>
              </w:rPr>
              <w:t>Accumulated OCI into Income</w:t>
            </w: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20"/>
              <w:spacing w:after="0"/>
              <w:rPr>
                <w:sz w:val="20"/>
                <w:szCs w:val="20"/>
                <w:color w:val="auto"/>
              </w:rPr>
            </w:pPr>
            <w:r>
              <w:rPr>
                <w:rFonts w:ascii="Arial" w:cs="Arial" w:eastAsia="Arial" w:hAnsi="Arial"/>
                <w:sz w:val="14"/>
                <w:szCs w:val="14"/>
                <w:color w:val="auto"/>
              </w:rPr>
              <w:t>Interest rate contract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340"/>
              <w:spacing w:after="0" w:line="153" w:lineRule="exact"/>
              <w:rPr>
                <w:sz w:val="20"/>
                <w:szCs w:val="20"/>
                <w:color w:val="auto"/>
              </w:rPr>
            </w:pPr>
            <w:r>
              <w:rPr>
                <w:rFonts w:ascii="Arial" w:cs="Arial" w:eastAsia="Arial" w:hAnsi="Arial"/>
                <w:sz w:val="14"/>
                <w:szCs w:val="14"/>
                <w:color w:val="auto"/>
              </w:rPr>
              <w:t>Amount of Gain (Loss) Reclassified from</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4100" w:type="dxa"/>
            <w:vAlign w:val="bottom"/>
            <w:vMerge w:val="restart"/>
            <w:shd w:val="clear" w:color="auto" w:fill="CCEEFF"/>
          </w:tcPr>
          <w:p>
            <w:pPr>
              <w:ind w:left="1340"/>
              <w:spacing w:after="0"/>
              <w:rPr>
                <w:sz w:val="20"/>
                <w:szCs w:val="20"/>
                <w:color w:val="auto"/>
              </w:rPr>
            </w:pPr>
            <w:r>
              <w:rPr>
                <w:rFonts w:ascii="Arial" w:cs="Arial" w:eastAsia="Arial" w:hAnsi="Arial"/>
                <w:sz w:val="14"/>
                <w:szCs w:val="14"/>
                <w:color w:val="auto"/>
              </w:rPr>
              <w:t>Accumulated OCI into Income</w:t>
            </w: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100" w:type="dxa"/>
            <w:vAlign w:val="bottom"/>
          </w:tcPr>
          <w:p>
            <w:pPr>
              <w:ind w:left="20"/>
              <w:spacing w:after="0" w:line="147" w:lineRule="exact"/>
              <w:rPr>
                <w:sz w:val="20"/>
                <w:szCs w:val="20"/>
                <w:color w:val="auto"/>
              </w:rPr>
            </w:pPr>
            <w:r>
              <w:rPr>
                <w:rFonts w:ascii="Arial" w:cs="Arial" w:eastAsia="Arial" w:hAnsi="Arial"/>
                <w:sz w:val="14"/>
                <w:szCs w:val="14"/>
                <w:color w:val="auto"/>
              </w:rPr>
              <w:t>Total amount of income and expense line items excluding the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20,327.0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19,326.6</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48.1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36,827.5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35,745.6</w:t>
            </w:r>
          </w:p>
        </w:tc>
        <w:tc>
          <w:tcPr>
            <w:tcW w:w="16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39,773.7</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38,776.1</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impact of hedges</w:t>
            </w:r>
          </w:p>
        </w:tc>
        <w:tc>
          <w:tcPr>
            <w:tcW w:w="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2020, 2019 and 2018, there were no gains or losses recognized in earnings related to our fair value or cash flow hedges that were excluded from the assessment of hedge effectiveness.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on a pre-tax basis for commodity cash flow hedges, $108.9 million and $ 106.4 million is scheduled to be reclassified from Accumulated other comprehensive loss as an increase to Revenue and increase to Cost of revenue, respectively, over the next twelve months.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tbl>
      <w:tblPr>
        <w:tblLayout w:type="fixed"/>
        <w:tblInd w:w="0" w:type="dxa"/>
        <w:tblCellMar>
          <w:top w:w="0" w:type="dxa"/>
          <w:left w:w="0" w:type="dxa"/>
          <w:bottom w:w="0" w:type="dxa"/>
          <w:right w:w="0" w:type="dxa"/>
        </w:tblCellMar>
      </w:tblPr>
      <w:tr>
        <w:trPr>
          <w:trHeight w:val="158"/>
        </w:trPr>
        <w:tc>
          <w:tcPr>
            <w:tcW w:w="24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Amount of Gain (Loss) Recognized</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Amount of Gain (Loss) Reclassified</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in Accumulated Other</w:t>
            </w:r>
          </w:p>
        </w:tc>
        <w:tc>
          <w:tcPr>
            <w:tcW w:w="400" w:type="dxa"/>
            <w:vAlign w:val="bottom"/>
          </w:tcPr>
          <w:p>
            <w:pPr>
              <w:spacing w:after="0"/>
              <w:rPr>
                <w:sz w:val="11"/>
                <w:szCs w:val="11"/>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from Accumulated Other</w:t>
            </w:r>
          </w:p>
        </w:tc>
        <w:tc>
          <w:tcPr>
            <w:tcW w:w="420" w:type="dxa"/>
            <w:vAlign w:val="bottom"/>
          </w:tcPr>
          <w:p>
            <w:pPr>
              <w:spacing w:after="0"/>
              <w:rPr>
                <w:sz w:val="11"/>
                <w:szCs w:val="11"/>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20"/>
              <w:spacing w:after="0"/>
              <w:rPr>
                <w:sz w:val="20"/>
                <w:szCs w:val="20"/>
                <w:color w:val="auto"/>
              </w:rPr>
            </w:pPr>
            <w:r>
              <w:rPr>
                <w:rFonts w:ascii="Arial" w:cs="Arial" w:eastAsia="Arial" w:hAnsi="Arial"/>
                <w:sz w:val="14"/>
                <w:szCs w:val="14"/>
                <w:b w:val="1"/>
                <w:bCs w:val="1"/>
                <w:color w:val="auto"/>
              </w:rPr>
              <w:t>Comprehensive Income</w:t>
            </w: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Comprehensive Income</w:t>
            </w: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(157.9)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40" w:type="dxa"/>
            <w:vAlign w:val="bottom"/>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(126.4)</w:t>
            </w:r>
          </w:p>
        </w:tc>
        <w:tc>
          <w:tcPr>
            <w:tcW w:w="38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160.6</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(87.8)</w:t>
            </w:r>
          </w:p>
        </w:tc>
        <w:tc>
          <w:tcPr>
            <w:tcW w:w="14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(181.1)</w:t>
            </w:r>
          </w:p>
        </w:tc>
        <w:tc>
          <w:tcPr>
            <w:tcW w:w="4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36.6</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53"/>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4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5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Interest expense and other financing</w:t>
            </w:r>
          </w:p>
        </w:tc>
        <w:tc>
          <w:tcPr>
            <w:tcW w:w="4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460" w:type="dxa"/>
            <w:vAlign w:val="bottom"/>
            <w:vMerge w:val="continue"/>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costs, net</w:t>
            </w:r>
          </w:p>
        </w:tc>
        <w:tc>
          <w:tcPr>
            <w:tcW w:w="42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2500" w:type="dxa"/>
            <w:vAlign w:val="bottom"/>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contracts</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6"/>
                <w:szCs w:val="16"/>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net</w:t>
            </w: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2.7</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7"/>
                <w:szCs w:val="17"/>
                <w:color w:val="auto"/>
              </w:rPr>
            </w:pPr>
          </w:p>
        </w:tc>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28.1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the twelve months ended December 31, 2020, the amounts not recorded in Accumulated Other Comprehensive Income due to intra-period settlement but recognized in Revenue and Cost of revenue was a gain of $ 505.6 million and a loss of $181.6 million, respectively. During the twelve months ended December 31, 2019, the amounts recognized were a loss of $51.5 million and $ 7.1 million in Revenue and Cost of revenue, respectively. For the twelve months ended December 31, 2018, the amounts recognized were a loss of $34.4 million and a gain of $21.3 million in Revenue and Cost of revenue, respectively.</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37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6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Location</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3740" w:type="dxa"/>
            <w:vAlign w:val="bottom"/>
          </w:tcPr>
          <w:p>
            <w:pPr>
              <w:spacing w:after="0"/>
              <w:rPr>
                <w:sz w:val="16"/>
                <w:szCs w:val="16"/>
                <w:color w:val="auto"/>
              </w:rPr>
            </w:pPr>
          </w:p>
        </w:tc>
        <w:tc>
          <w:tcPr>
            <w:tcW w:w="3660" w:type="dxa"/>
            <w:vAlign w:val="bottom"/>
          </w:tcPr>
          <w:p>
            <w:pPr>
              <w:ind w:left="480"/>
              <w:spacing w:after="0"/>
              <w:rPr>
                <w:sz w:val="20"/>
                <w:szCs w:val="20"/>
                <w:color w:val="auto"/>
              </w:rPr>
            </w:pPr>
            <w:r>
              <w:rPr>
                <w:rFonts w:ascii="Arial" w:cs="Arial" w:eastAsia="Arial" w:hAnsi="Arial"/>
                <w:sz w:val="14"/>
                <w:szCs w:val="14"/>
                <w:color w:val="auto"/>
              </w:rPr>
              <w:t>Revenue</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235.2</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269.5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147.6</w:t>
            </w:r>
          </w:p>
        </w:tc>
      </w:tr>
      <w:tr>
        <w:trPr>
          <w:trHeight w:val="189"/>
        </w:trPr>
        <w:tc>
          <w:tcPr>
            <w:tcW w:w="3740" w:type="dxa"/>
            <w:vAlign w:val="bottom"/>
            <w:shd w:val="clear" w:color="auto" w:fill="CCEEFF"/>
          </w:tcPr>
          <w:p>
            <w:pPr>
              <w:spacing w:after="0"/>
              <w:rPr>
                <w:sz w:val="16"/>
                <w:szCs w:val="16"/>
                <w:color w:val="auto"/>
              </w:rPr>
            </w:pPr>
          </w:p>
        </w:tc>
        <w:tc>
          <w:tcPr>
            <w:tcW w:w="3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Cost of revenue</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(221.8)</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r>
      <w:tr>
        <w:trPr>
          <w:trHeight w:val="183"/>
        </w:trPr>
        <w:tc>
          <w:tcPr>
            <w:tcW w:w="374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3740" w:type="dxa"/>
            <w:vAlign w:val="bottom"/>
          </w:tcPr>
          <w:p>
            <w:pPr>
              <w:spacing w:after="0"/>
              <w:rPr>
                <w:sz w:val="16"/>
                <w:szCs w:val="16"/>
                <w:color w:val="auto"/>
              </w:rPr>
            </w:pPr>
          </w:p>
        </w:tc>
        <w:tc>
          <w:tcPr>
            <w:tcW w:w="3660" w:type="dxa"/>
            <w:vAlign w:val="bottom"/>
          </w:tcPr>
          <w:p>
            <w:pPr>
              <w:ind w:left="480"/>
              <w:spacing w:after="0"/>
              <w:rPr>
                <w:sz w:val="20"/>
                <w:szCs w:val="20"/>
                <w:color w:val="auto"/>
              </w:rPr>
            </w:pPr>
            <w:r>
              <w:rPr>
                <w:rFonts w:ascii="Arial" w:cs="Arial" w:eastAsia="Arial" w:hAnsi="Arial"/>
                <w:sz w:val="14"/>
                <w:szCs w:val="14"/>
                <w:color w:val="auto"/>
              </w:rPr>
              <w:t>Revenue</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4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3740" w:type="dxa"/>
            <w:vAlign w:val="bottom"/>
            <w:shd w:val="clear" w:color="auto" w:fill="CCEEFF"/>
          </w:tcPr>
          <w:p>
            <w:pPr>
              <w:spacing w:after="0"/>
              <w:rPr>
                <w:sz w:val="16"/>
                <w:szCs w:val="16"/>
                <w:color w:val="auto"/>
              </w:rPr>
            </w:pPr>
          </w:p>
        </w:tc>
        <w:tc>
          <w:tcPr>
            <w:tcW w:w="3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(expense) income, net</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3"/>
        </w:trPr>
        <w:tc>
          <w:tcPr>
            <w:tcW w:w="37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08"/>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36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46.9</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333333"/>
        </w:rPr>
        <w:t>Potential Collateral Requirements</w:t>
      </w:r>
    </w:p>
    <w:p>
      <w:pPr>
        <w:jc w:val="center"/>
        <w:ind w:left="8740"/>
        <w:spacing w:after="0" w:line="201" w:lineRule="auto"/>
        <w:rPr>
          <w:sz w:val="20"/>
          <w:szCs w:val="20"/>
          <w:color w:val="auto"/>
        </w:rPr>
      </w:pPr>
      <w:r>
        <w:rPr>
          <w:rFonts w:ascii="Arial" w:cs="Arial" w:eastAsia="Arial" w:hAnsi="Arial"/>
          <w:sz w:val="14"/>
          <w:szCs w:val="14"/>
          <w:b w:val="1"/>
          <w:bCs w:val="1"/>
          <w:color w:val="333333"/>
        </w:rPr>
        <w:t>for Derivative Liabilities</w:t>
      </w:r>
    </w:p>
    <w:p>
      <w:pPr>
        <w:jc w:val="center"/>
        <w:ind w:left="8740"/>
        <w:spacing w:after="0" w:line="201" w:lineRule="auto"/>
        <w:rPr>
          <w:sz w:val="20"/>
          <w:szCs w:val="20"/>
          <w:color w:val="auto"/>
        </w:rPr>
      </w:pPr>
      <w:r>
        <w:rPr>
          <w:rFonts w:ascii="Arial" w:cs="Arial" w:eastAsia="Arial" w:hAnsi="Arial"/>
          <w:sz w:val="14"/>
          <w:szCs w:val="14"/>
          <w:b w:val="1"/>
          <w:bCs w:val="1"/>
          <w:color w:val="333333"/>
        </w:rPr>
        <w:t>with Credit-Risk-Contingent</w:t>
      </w:r>
    </w:p>
    <w:p>
      <w:pPr>
        <w:jc w:val="center"/>
        <w:ind w:left="8740"/>
        <w:spacing w:after="0"/>
        <w:rPr>
          <w:sz w:val="20"/>
          <w:szCs w:val="20"/>
          <w:color w:val="auto"/>
        </w:rPr>
      </w:pPr>
      <w:r>
        <w:rPr>
          <w:rFonts w:ascii="Arial" w:cs="Arial" w:eastAsia="Arial" w:hAnsi="Arial"/>
          <w:sz w:val="14"/>
          <w:szCs w:val="14"/>
          <w:b w:val="1"/>
          <w:bCs w:val="1"/>
          <w:color w:val="333333"/>
        </w:rPr>
        <w:t>Features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6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333333"/>
              </w:rPr>
              <w:t>As of December 31,</w:t>
            </w:r>
          </w:p>
        </w:tc>
        <w:tc>
          <w:tcPr>
            <w:tcW w:w="460" w:type="dxa"/>
            <w:vAlign w:val="bottom"/>
            <w:tcBorders>
              <w:top w:val="single" w:sz="8" w:color="auto"/>
              <w:bottom w:val="single" w:sz="8" w:color="auto"/>
            </w:tcBorders>
          </w:tcPr>
          <w:p>
            <w:pPr>
              <w:spacing w:after="0"/>
              <w:rPr>
                <w:sz w:val="15"/>
                <w:szCs w:val="15"/>
                <w:color w:val="auto"/>
              </w:rPr>
            </w:pPr>
          </w:p>
        </w:tc>
      </w:tr>
      <w:tr>
        <w:trPr>
          <w:trHeight w:val="183"/>
        </w:trPr>
        <w:tc>
          <w:tcPr>
            <w:tcW w:w="8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333333"/>
              </w:rPr>
              <w:t>2020</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333"/>
              </w:rPr>
              <w:t>2019</w:t>
            </w:r>
          </w:p>
        </w:tc>
      </w:tr>
      <w:tr>
        <w:trPr>
          <w:trHeight w:val="183"/>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7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18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Collateral posted and held by our counterparties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Maximum additional potential collateral requirements</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7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20"/>
        </w:trPr>
        <w:tc>
          <w:tcPr>
            <w:tcW w:w="8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At December 31, 2020 and 2019, there was no collateral held by our counterparties on these derivative contracts with credit-risk-contingent features.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review of our land business and changes in the overall economic landscape for all our reportable segments due to the COVID-19 pandemic, in the first quarter of 2020, we implemented a restructuring initiative focused on streamlining our operations and rationalizing our deployment and allocation of resources. While we took several actions during the year ended December 31, 2020, our focus has been mainly the cost-reduction initiatives as a result of the pandemic. As a result, the overall land restructuring plan is now expected to be finalized by the end of the second quarter of 2021.</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2020, we incurred $10.3 million in restructuring costs, comprised principally of certain severance costs included in Restructuring charges in our Consolidated Statements of Income and Comprehensive Income. Our accrued restructuring charges as of December 31, 2020 are included in Accrued expenses and other current liabilities within our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restructuring activities during the years ended December 31, 2020 and 2019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Land</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Marine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Consolidated</w:t>
            </w:r>
          </w:p>
        </w:tc>
      </w:tr>
      <w:tr>
        <w:trPr>
          <w:trHeight w:val="18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charges as of December 31, 2018</w:t>
            </w:r>
          </w:p>
        </w:tc>
        <w:tc>
          <w:tcPr>
            <w:tcW w:w="166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16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300" w:type="dxa"/>
            <w:vAlign w:val="bottom"/>
          </w:tcPr>
          <w:p>
            <w:pPr>
              <w:spacing w:after="0"/>
              <w:rPr>
                <w:sz w:val="16"/>
                <w:szCs w:val="16"/>
                <w:color w:val="auto"/>
              </w:rPr>
            </w:pPr>
          </w:p>
        </w:tc>
        <w:tc>
          <w:tcPr>
            <w:tcW w:w="1120" w:type="dxa"/>
            <w:vAlign w:val="bottom"/>
          </w:tcPr>
          <w:p>
            <w:pPr>
              <w:jc w:val="center"/>
              <w:ind w:left="68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89"/>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Paid during the period</w:t>
            </w:r>
          </w:p>
        </w:tc>
        <w:tc>
          <w:tcPr>
            <w:tcW w:w="16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(2.1)</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7"/>
              </w:rPr>
              <w:t>(2.4)</w:t>
            </w: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183"/>
        </w:trPr>
        <w:tc>
          <w:tcPr>
            <w:tcW w:w="3420" w:type="dxa"/>
            <w:vAlign w:val="bottom"/>
          </w:tcPr>
          <w:p>
            <w:pPr>
              <w:ind w:left="20"/>
              <w:spacing w:after="0"/>
              <w:rPr>
                <w:sz w:val="20"/>
                <w:szCs w:val="20"/>
                <w:color w:val="auto"/>
              </w:rPr>
            </w:pPr>
            <w:r>
              <w:rPr>
                <w:rFonts w:ascii="Arial" w:cs="Arial" w:eastAsia="Arial" w:hAnsi="Arial"/>
                <w:sz w:val="14"/>
                <w:szCs w:val="14"/>
                <w:color w:val="auto"/>
              </w:rPr>
              <w:t>Accrued charges as of December 31, 2019</w:t>
            </w:r>
          </w:p>
        </w:tc>
        <w:tc>
          <w:tcPr>
            <w:tcW w:w="166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rPr>
              <w:t>0.5</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5"/>
                <w:szCs w:val="15"/>
                <w:color w:val="auto"/>
              </w:rPr>
            </w:pPr>
          </w:p>
        </w:tc>
        <w:tc>
          <w:tcPr>
            <w:tcW w:w="1120" w:type="dxa"/>
            <w:vAlign w:val="bottom"/>
          </w:tcPr>
          <w:p>
            <w:pPr>
              <w:jc w:val="center"/>
              <w:ind w:left="688"/>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89"/>
        </w:trPr>
        <w:tc>
          <w:tcPr>
            <w:tcW w:w="3420" w:type="dxa"/>
            <w:vAlign w:val="bottom"/>
            <w:shd w:val="clear" w:color="auto" w:fill="CCEDFF"/>
          </w:tcPr>
          <w:p>
            <w:pPr>
              <w:ind w:left="20"/>
              <w:spacing w:after="0"/>
              <w:rPr>
                <w:sz w:val="20"/>
                <w:szCs w:val="20"/>
                <w:color w:val="auto"/>
              </w:rPr>
            </w:pPr>
            <w:r>
              <w:rPr>
                <w:rFonts w:ascii="Arial" w:cs="Arial" w:eastAsia="Arial" w:hAnsi="Arial"/>
                <w:sz w:val="14"/>
                <w:szCs w:val="14"/>
                <w:color w:val="auto"/>
              </w:rPr>
              <w:t>Restructuring charges</w:t>
            </w:r>
          </w:p>
        </w:tc>
        <w:tc>
          <w:tcPr>
            <w:tcW w:w="1660" w:type="dxa"/>
            <w:vAlign w:val="bottom"/>
            <w:shd w:val="clear" w:color="auto" w:fill="CCEDFF"/>
          </w:tcPr>
          <w:p>
            <w:pPr>
              <w:spacing w:after="0"/>
              <w:rPr>
                <w:sz w:val="16"/>
                <w:szCs w:val="16"/>
                <w:color w:val="auto"/>
              </w:rPr>
            </w:pPr>
          </w:p>
        </w:tc>
        <w:tc>
          <w:tcPr>
            <w:tcW w:w="360" w:type="dxa"/>
            <w:vAlign w:val="bottom"/>
            <w:shd w:val="clear" w:color="auto" w:fill="CCEDFF"/>
          </w:tcPr>
          <w:p>
            <w:pPr>
              <w:jc w:val="center"/>
              <w:spacing w:after="0"/>
              <w:rPr>
                <w:sz w:val="20"/>
                <w:szCs w:val="20"/>
                <w:color w:val="auto"/>
              </w:rPr>
            </w:pPr>
            <w:r>
              <w:rPr>
                <w:rFonts w:ascii="Arial" w:cs="Arial" w:eastAsia="Arial" w:hAnsi="Arial"/>
                <w:sz w:val="14"/>
                <w:szCs w:val="14"/>
                <w:color w:val="auto"/>
              </w:rPr>
              <w:t>3.3</w:t>
            </w:r>
          </w:p>
        </w:tc>
        <w:tc>
          <w:tcPr>
            <w:tcW w:w="320" w:type="dxa"/>
            <w:vAlign w:val="bottom"/>
            <w:shd w:val="clear" w:color="auto" w:fill="CCEDFF"/>
          </w:tcPr>
          <w:p>
            <w:pPr>
              <w:spacing w:after="0"/>
              <w:rPr>
                <w:sz w:val="16"/>
                <w:szCs w:val="16"/>
                <w:color w:val="auto"/>
              </w:rPr>
            </w:pPr>
          </w:p>
        </w:tc>
        <w:tc>
          <w:tcPr>
            <w:tcW w:w="1080" w:type="dxa"/>
            <w:vAlign w:val="bottom"/>
            <w:shd w:val="clear" w:color="auto" w:fill="CCEDFF"/>
          </w:tcPr>
          <w:p>
            <w:pPr>
              <w:jc w:val="right"/>
              <w:spacing w:after="0"/>
              <w:rPr>
                <w:sz w:val="20"/>
                <w:szCs w:val="20"/>
                <w:color w:val="auto"/>
              </w:rPr>
            </w:pPr>
            <w:r>
              <w:rPr>
                <w:rFonts w:ascii="Arial" w:cs="Arial" w:eastAsia="Arial" w:hAnsi="Arial"/>
                <w:sz w:val="14"/>
                <w:szCs w:val="14"/>
                <w:color w:val="auto"/>
              </w:rPr>
              <w:t>3.9</w:t>
            </w:r>
          </w:p>
        </w:tc>
        <w:tc>
          <w:tcPr>
            <w:tcW w:w="300" w:type="dxa"/>
            <w:vAlign w:val="bottom"/>
            <w:shd w:val="clear" w:color="auto" w:fill="CCEDFF"/>
          </w:tcPr>
          <w:p>
            <w:pPr>
              <w:spacing w:after="0"/>
              <w:rPr>
                <w:sz w:val="16"/>
                <w:szCs w:val="16"/>
                <w:color w:val="auto"/>
              </w:rPr>
            </w:pPr>
          </w:p>
        </w:tc>
        <w:tc>
          <w:tcPr>
            <w:tcW w:w="1120" w:type="dxa"/>
            <w:vAlign w:val="bottom"/>
            <w:shd w:val="clear" w:color="auto" w:fill="CCEDFF"/>
          </w:tcPr>
          <w:p>
            <w:pPr>
              <w:jc w:val="center"/>
              <w:ind w:left="688"/>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DFF"/>
          </w:tcPr>
          <w:p>
            <w:pPr>
              <w:spacing w:after="0"/>
              <w:rPr>
                <w:sz w:val="16"/>
                <w:szCs w:val="16"/>
                <w:color w:val="auto"/>
              </w:rPr>
            </w:pPr>
          </w:p>
        </w:tc>
        <w:tc>
          <w:tcPr>
            <w:tcW w:w="1180" w:type="dxa"/>
            <w:vAlign w:val="bottom"/>
            <w:shd w:val="clear" w:color="auto" w:fill="CCED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Paid during the period</w:t>
            </w:r>
          </w:p>
        </w:tc>
        <w:tc>
          <w:tcPr>
            <w:tcW w:w="1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w w:val="97"/>
              </w:rPr>
              <w:t>(2.3)</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08"/>
        </w:trPr>
        <w:tc>
          <w:tcPr>
            <w:tcW w:w="34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4"/>
                <w:szCs w:val="14"/>
                <w:color w:val="auto"/>
              </w:rPr>
              <w:t>Accrued charges as of December 31, 2020</w:t>
            </w:r>
          </w:p>
        </w:tc>
        <w:tc>
          <w:tcPr>
            <w:tcW w:w="1660" w:type="dxa"/>
            <w:vAlign w:val="bottom"/>
            <w:tcBorders>
              <w:bottom w:val="single" w:sz="8" w:color="auto"/>
            </w:tcBorders>
            <w:shd w:val="clear" w:color="auto" w:fill="CCEDFF"/>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DFF"/>
          </w:tcPr>
          <w:p>
            <w:pPr>
              <w:jc w:val="center"/>
              <w:spacing w:after="0"/>
              <w:rPr>
                <w:sz w:val="20"/>
                <w:szCs w:val="20"/>
                <w:color w:val="auto"/>
              </w:rPr>
            </w:pPr>
            <w:r>
              <w:rPr>
                <w:rFonts w:ascii="Arial" w:cs="Arial" w:eastAsia="Arial" w:hAnsi="Arial"/>
                <w:sz w:val="14"/>
                <w:szCs w:val="14"/>
                <w:color w:val="auto"/>
              </w:rPr>
              <w:t>0.9</w:t>
            </w:r>
          </w:p>
        </w:tc>
        <w:tc>
          <w:tcPr>
            <w:tcW w:w="320" w:type="dxa"/>
            <w:vAlign w:val="bottom"/>
            <w:tcBorders>
              <w:bottom w:val="single" w:sz="8" w:color="auto"/>
            </w:tcBorders>
            <w:shd w:val="clear" w:color="auto" w:fill="CCED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rPr>
              <w:t>4.6</w:t>
            </w:r>
          </w:p>
        </w:tc>
        <w:tc>
          <w:tcPr>
            <w:tcW w:w="300" w:type="dxa"/>
            <w:vAlign w:val="bottom"/>
            <w:tcBorders>
              <w:bottom w:val="single" w:sz="8" w:color="auto"/>
            </w:tcBorders>
            <w:shd w:val="clear" w:color="auto" w:fill="CCED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DFF"/>
          </w:tcPr>
          <w:p>
            <w:pPr>
              <w:jc w:val="center"/>
              <w:ind w:left="68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3420" w:type="dxa"/>
            <w:vAlign w:val="bottom"/>
            <w:tcBorders>
              <w:top w:val="single" w:sz="8" w:color="CCEDFF"/>
              <w:bottom w:val="single" w:sz="8" w:color="auto"/>
            </w:tcBorders>
          </w:tcPr>
          <w:p>
            <w:pPr>
              <w:spacing w:after="0" w:line="20" w:lineRule="exact"/>
              <w:rPr>
                <w:sz w:val="1"/>
                <w:szCs w:val="1"/>
                <w:color w:val="auto"/>
              </w:rPr>
            </w:pPr>
          </w:p>
        </w:tc>
        <w:tc>
          <w:tcPr>
            <w:tcW w:w="1660" w:type="dxa"/>
            <w:vAlign w:val="bottom"/>
            <w:tcBorders>
              <w:top w:val="single" w:sz="8" w:color="CCEDFF"/>
              <w:bottom w:val="single" w:sz="8" w:color="auto"/>
            </w:tcBorders>
          </w:tcPr>
          <w:p>
            <w:pPr>
              <w:spacing w:after="0" w:line="20" w:lineRule="exact"/>
              <w:rPr>
                <w:sz w:val="1"/>
                <w:szCs w:val="1"/>
                <w:color w:val="auto"/>
              </w:rPr>
            </w:pPr>
          </w:p>
        </w:tc>
        <w:tc>
          <w:tcPr>
            <w:tcW w:w="360" w:type="dxa"/>
            <w:vAlign w:val="bottom"/>
            <w:tcBorders>
              <w:top w:val="single" w:sz="8" w:color="CCEDFF"/>
              <w:bottom w:val="single" w:sz="8" w:color="auto"/>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120" w:type="dxa"/>
            <w:vAlign w:val="bottom"/>
            <w:tcBorders>
              <w:top w:val="single" w:sz="8" w:color="CCEDFF"/>
              <w:bottom w:val="single" w:sz="8" w:color="auto"/>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180" w:type="dxa"/>
            <w:vAlign w:val="bottom"/>
            <w:tcBorders>
              <w:top w:val="single" w:sz="8" w:color="CCEDFF"/>
              <w:bottom w:val="single" w:sz="8" w:color="auto"/>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of 2020, we completed a cost reduction initiative to rationalize our global office footprint and approved the abandonment of certain office leases, including the transition of select offices to smaller or more cost-effective locations. These asset groups, consisting mainly of right-of-use assets and leasehold improvements, were tested for impairment. We concluded that the carrying amounts of these asset groups were not recoverable and the fair value determined was concluded to be nominal based on a discounted cash flow model. As a result, an $18.6 million impairment charge was recorded during the second quarter of 2020 and included within Asset impairments on our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a summary of this impairment by reportable business segment for the for the year ended December 31, 2020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Marine</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208"/>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 impairments</w:t>
            </w:r>
          </w:p>
        </w:tc>
        <w:tc>
          <w:tcPr>
            <w:tcW w:w="14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Estimated</w:t>
            </w:r>
          </w:p>
        </w:tc>
      </w:tr>
      <w:tr>
        <w:trPr>
          <w:trHeight w:val="183"/>
        </w:trPr>
        <w:tc>
          <w:tcPr>
            <w:tcW w:w="7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Useful Lives</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Indefinite</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74.5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3 - 40 years</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3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275.8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261.4</w:t>
            </w: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vehicles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267.7</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3 - 40 years</w:t>
            </w:r>
          </w:p>
        </w:tc>
      </w:tr>
      <w:tr>
        <w:trPr>
          <w:trHeight w:val="223"/>
        </w:trPr>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652.3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654.8</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309.7</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3"/>
        </w:trPr>
        <w:tc>
          <w:tcPr>
            <w:tcW w:w="7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342.6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2020, 2019 and 2018, we recorded depreciation expense of $52.7 million, $54.5 million and $45.6 million, respectively.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are as follows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116.1</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r>
        <w:trPr>
          <w:trHeight w:val="248"/>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8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$13.7 million and $22.5 million as of December 31, 2020 and 2019, respectively. For 2020, 2019 and 2018, we recorded amortization expense related to computer software costs of $18.5 million, $17.8 million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we used a combination of qualitative and quantitative factors to assess goodwill and identifiable intangible assets for impairment for all of our reporting units. As a result of performing these assessments, we determined that no impairment existed as of December 31, 2020 and, therefore, recorded no write-downs to any of our goodwill or identifiable intangible assets not subject to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Aviation</w:t>
            </w:r>
          </w:p>
        </w:tc>
        <w:tc>
          <w:tcPr>
            <w:tcW w:w="2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Land</w:t>
            </w:r>
          </w:p>
        </w:tc>
        <w:tc>
          <w:tcPr>
            <w:tcW w:w="300" w:type="dxa"/>
            <w:vAlign w:val="bottom"/>
          </w:tcPr>
          <w:p>
            <w:pPr>
              <w:spacing w:after="0"/>
              <w:rPr>
                <w:sz w:val="14"/>
                <w:szCs w:val="14"/>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8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Segment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322.9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529.7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Adjustment for sale of business</w:t>
            </w:r>
          </w:p>
        </w:tc>
        <w:tc>
          <w:tcPr>
            <w:tcW w:w="7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of non-USD functional currency subsidiary goodwill</w:t>
            </w: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As of December 31, 2019</w:t>
            </w:r>
          </w:p>
        </w:tc>
        <w:tc>
          <w:tcPr>
            <w:tcW w:w="7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323.6</w:t>
            </w:r>
          </w:p>
        </w:tc>
        <w:tc>
          <w:tcPr>
            <w:tcW w:w="2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520.1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acquisitions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Adjustment for sale of business (Note 3)</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of non-USD functional currency subsidiary goodwill</w:t>
            </w: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 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459.7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rPr>
              <w:t>As of December 31, 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2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77"/>
              <w:spacing w:after="0" w:line="142"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3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5"/>
                <w:szCs w:val="15"/>
                <w:color w:val="auto"/>
              </w:rPr>
            </w:pPr>
          </w:p>
        </w:tc>
        <w:tc>
          <w:tcPr>
            <w:tcW w:w="1280" w:type="dxa"/>
            <w:vAlign w:val="bottom"/>
          </w:tcPr>
          <w:p>
            <w:pPr>
              <w:jc w:val="center"/>
              <w:ind w:right="95"/>
              <w:spacing w:after="0" w:line="176" w:lineRule="exact"/>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18"/>
                <w:szCs w:val="18"/>
                <w:b w:val="1"/>
                <w:bCs w:val="1"/>
                <w:color w:val="auto"/>
                <w:w w:val="97"/>
                <w:vertAlign w:val="superscript"/>
              </w:rPr>
              <w:t>(1)</w:t>
            </w:r>
          </w:p>
        </w:tc>
        <w:tc>
          <w:tcPr>
            <w:tcW w:w="3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360" w:type="dxa"/>
            <w:vAlign w:val="bottom"/>
          </w:tcPr>
          <w:p>
            <w:pPr>
              <w:jc w:val="right"/>
              <w:ind w:right="215"/>
              <w:spacing w:after="0" w:line="176" w:lineRule="exact"/>
              <w:rPr>
                <w:sz w:val="20"/>
                <w:szCs w:val="20"/>
                <w:color w:val="auto"/>
              </w:rPr>
            </w:pPr>
            <w:r>
              <w:rPr>
                <w:rFonts w:ascii="Arial" w:cs="Arial" w:eastAsia="Arial" w:hAnsi="Arial"/>
                <w:sz w:val="14"/>
                <w:szCs w:val="14"/>
                <w:b w:val="1"/>
                <w:bCs w:val="1"/>
                <w:color w:val="auto"/>
                <w:w w:val="99"/>
              </w:rPr>
              <w:t xml:space="preserve">Amortization </w:t>
            </w:r>
            <w:r>
              <w:rPr>
                <w:rFonts w:ascii="Arial" w:cs="Arial" w:eastAsia="Arial" w:hAnsi="Arial"/>
                <w:sz w:val="18"/>
                <w:szCs w:val="18"/>
                <w:b w:val="1"/>
                <w:bCs w:val="1"/>
                <w:color w:val="auto"/>
                <w:w w:val="99"/>
                <w:vertAlign w:val="superscript"/>
              </w:rPr>
              <w:t>(1)</w:t>
            </w: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382.0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226.5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40.1</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33.5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283.2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461.1</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279.8</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188"/>
        </w:trPr>
        <w:tc>
          <w:tcPr>
            <w:tcW w:w="3360" w:type="dxa"/>
            <w:vAlign w:val="bottom"/>
          </w:tcPr>
          <w:p>
            <w:pPr>
              <w:ind w:left="20"/>
              <w:spacing w:after="0" w:line="189" w:lineRule="exact"/>
              <w:rPr>
                <w:sz w:val="20"/>
                <w:szCs w:val="20"/>
                <w:color w:val="auto"/>
              </w:rPr>
            </w:pPr>
            <w:r>
              <w:rPr>
                <w:rFonts w:ascii="Arial" w:cs="Arial" w:eastAsia="Arial" w:hAnsi="Arial"/>
                <w:sz w:val="18"/>
                <w:szCs w:val="18"/>
                <w:color w:val="auto"/>
              </w:rPr>
              <w:t>Intangible assets not subject to</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Trademark/trade name rights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40.4</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283.2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279.8</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exchange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2020, 2019 and 2018 was $33.1 million, $32.9 million and $35.9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Borders>
              <w:bottom w:val="single" w:sz="8" w:color="auto"/>
            </w:tcBorders>
          </w:tcPr>
          <w:p>
            <w:pPr>
              <w:spacing w:after="0"/>
              <w:rPr>
                <w:sz w:val="16"/>
                <w:szCs w:val="16"/>
                <w:color w:val="auto"/>
              </w:rPr>
            </w:pPr>
          </w:p>
        </w:tc>
        <w:tc>
          <w:tcPr>
            <w:tcW w:w="7680" w:type="dxa"/>
            <w:vAlign w:val="bottom"/>
            <w:tcBorders>
              <w:bottom w:val="single" w:sz="8" w:color="auto"/>
            </w:tcBorders>
          </w:tcPr>
          <w:p>
            <w:pPr>
              <w:jc w:val="right"/>
              <w:ind w:right="3916"/>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2022</w:t>
            </w:r>
          </w:p>
        </w:tc>
        <w:tc>
          <w:tcPr>
            <w:tcW w:w="7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2024</w:t>
            </w:r>
          </w:p>
        </w:tc>
        <w:tc>
          <w:tcPr>
            <w:tcW w:w="7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7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48"/>
        </w:trPr>
        <w:tc>
          <w:tcPr>
            <w:tcW w:w="2800" w:type="dxa"/>
            <w:vAlign w:val="bottom"/>
            <w:tcBorders>
              <w:bottom w:val="single" w:sz="8" w:color="auto"/>
            </w:tcBorders>
            <w:shd w:val="clear" w:color="auto" w:fill="CCEEFF"/>
          </w:tcPr>
          <w:p>
            <w:pPr>
              <w:spacing w:after="0"/>
              <w:rPr>
                <w:sz w:val="21"/>
                <w:szCs w:val="21"/>
                <w:color w:val="auto"/>
              </w:rPr>
            </w:pPr>
          </w:p>
        </w:tc>
        <w:tc>
          <w:tcPr>
            <w:tcW w:w="76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0"/>
        </w:trPr>
        <w:tc>
          <w:tcPr>
            <w:tcW w:w="2800" w:type="dxa"/>
            <w:vAlign w:val="bottom"/>
            <w:tcBorders>
              <w:top w:val="single" w:sz="8" w:color="CCEEFF"/>
              <w:bottom w:val="single" w:sz="8" w:color="auto"/>
            </w:tcBorders>
          </w:tcPr>
          <w:p>
            <w:pPr>
              <w:spacing w:after="0" w:line="20" w:lineRule="exact"/>
              <w:rPr>
                <w:sz w:val="1"/>
                <w:szCs w:val="1"/>
                <w:color w:val="auto"/>
              </w:rPr>
            </w:pPr>
          </w:p>
        </w:tc>
        <w:tc>
          <w:tcPr>
            <w:tcW w:w="7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Interest Income, Expense and Other Finance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2019, we amended our Credit Agreement to, among other things, (i) increase the borrowing capacity of the Credit Facility to $1.3 billion, (ii) increase the Term Loans to $525.0 million, (iii) extend the maturity date to July 2024, and (iv) modify certain financial and other covenants to reduce costs and provide greater operating flexibility.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Agreement, as amended through December 31, 2020 and which matures in July 2024, consists of a revolving loan under which up 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$ 200.0 million, subject to the satisfaction of certain conditions. We had no outstanding borrowings under our Credit Facility at December 31, 2020. At December 31, 2019 we had outstanding borrowings of $55.0 million.</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issued letters of credit under the Credit Facility totaled $3.4 million and $4.3 million as of December 31, 2020 and 2019, respectively. Additionally, as of December 31, 2020 and 2019, we had $503.2 million and $515.6 million in Term Loans outstanding, respectively.</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and 2019, the unused portion of our Credit Facility was $1.3 billion and $1.2 billion, respectively. The unused portion of our Credit Facility is limited by, among other things, our financial leverage ratio, which limits the total amount of indebtedness we may incur, and may, therefore, fluctuate from period to period.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2020, the applicable margins for base rate loans and Eurodollar rate loans were 0.75% and 1.75%, respectively.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2020, we were in compliance with all financial covenants contained in our Credit Facility and our Term Loans.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2020 and 2019, our outstanding letters of credit and bank guarantees under these credit lines totaled $ 328.4 million and $375.2 million, respectively. 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503.2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515.6</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524.7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r>
      <w:tr>
        <w:trPr>
          <w:trHeight w:val="23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48"/>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501.8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r>
      <w:tr>
        <w:trPr>
          <w:trHeight w:val="20"/>
        </w:trPr>
        <w:tc>
          <w:tcPr>
            <w:tcW w:w="8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2019, includes secured borrowing of $37.3 million (EUR 33.6 million) for the transfer of tax receivables which was extinguished in 2020.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aggregate annual maturities of debt are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jc w:val="right"/>
              <w:ind w:right="3856"/>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2022</w:t>
            </w:r>
          </w:p>
        </w:tc>
        <w:tc>
          <w:tcPr>
            <w:tcW w:w="7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2024</w:t>
            </w:r>
          </w:p>
        </w:tc>
        <w:tc>
          <w:tcPr>
            <w:tcW w:w="7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7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2800" w:type="dxa"/>
            <w:vAlign w:val="bottom"/>
            <w:tcBorders>
              <w:bottom w:val="single" w:sz="8" w:color="auto"/>
            </w:tcBorders>
            <w:shd w:val="clear" w:color="auto" w:fill="CCEEFF"/>
          </w:tcPr>
          <w:p>
            <w:pPr>
              <w:spacing w:after="0"/>
              <w:rPr>
                <w:sz w:val="21"/>
                <w:szCs w:val="21"/>
                <w:color w:val="auto"/>
              </w:rPr>
            </w:pPr>
          </w:p>
        </w:tc>
        <w:tc>
          <w:tcPr>
            <w:tcW w:w="76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0"/>
        </w:trPr>
        <w:tc>
          <w:tcPr>
            <w:tcW w:w="2800" w:type="dxa"/>
            <w:vAlign w:val="bottom"/>
            <w:tcBorders>
              <w:top w:val="single" w:sz="8" w:color="CCEEFF"/>
              <w:bottom w:val="single" w:sz="8" w:color="auto"/>
            </w:tcBorders>
          </w:tcPr>
          <w:p>
            <w:pPr>
              <w:spacing w:after="0" w:line="20" w:lineRule="exact"/>
              <w:rPr>
                <w:sz w:val="1"/>
                <w:szCs w:val="1"/>
                <w:color w:val="auto"/>
              </w:rPr>
            </w:pPr>
          </w:p>
        </w:tc>
        <w:tc>
          <w:tcPr>
            <w:tcW w:w="7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2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48"/>
        </w:trPr>
        <w:tc>
          <w:tcPr>
            <w:tcW w:w="4880" w:type="dxa"/>
            <w:vAlign w:val="bottom"/>
            <w:tcBorders>
              <w:bottom w:val="single" w:sz="8" w:color="auto"/>
            </w:tcBorders>
            <w:shd w:val="clear" w:color="auto" w:fill="CCEEFF"/>
          </w:tcPr>
          <w:p>
            <w:pPr>
              <w:spacing w:after="0"/>
              <w:rPr>
                <w:sz w:val="21"/>
                <w:szCs w:val="21"/>
                <w:color w:val="auto"/>
              </w:rPr>
            </w:pPr>
          </w:p>
        </w:tc>
        <w:tc>
          <w:tcPr>
            <w:tcW w:w="24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4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180" w:firstLine="8"/>
        <w:spacing w:after="0" w:line="513" w:lineRule="auto"/>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$50.6 million and $53.1 million, as of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the notional value associated with fixed sales and purchase commitments under our derivative programs amounted to $374.8 million and $88.4 million, respectively with delivery dates from 2021 through 2026. Additionally, we have certain purchase contracts that extend through 2026, under which we agreed to purchase annually between 1.83 million barrels and 2.02 million barrels of aviation fuel at future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an agreement with our Chairman, President and Chief Executive Officer, Michael J. Kasbar (“Mr. Kasbar”), for his continued employment with us which provides for an annual base salary as determined by our Compensation Committee in its sole discretion (currently $900,000), termination severance benefits, and such incentives and other compensation and amounts as our Compensation Committee may determine from time to time in its sole discretion. Mr. Kasbar's employment agreement, as amended, expires each year on December 31st and automatically extends for successive one-year terms unless either party provides written notice to the other at least one year prior to the expiration of the current term that such party does not want to extend the term. Pursuant to the terms of his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generally equal to $5.0 million for a termination following a change of control and $3.0 million in the other scenarios described above, a portion of which is payable two years after the termination of Mr. Kasbar’s employment.</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the terms of the applicable equity awards, all of Mr. Kasbar’s outstanding SSAR Awards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two-year period following termination of his employment, with any remaining unvested awards vesting on the last day of such two-year period. For each scenario described above, awards with multiple annual performance conditions must satisfy certain other requirements in order to have their vesting terms accelerated.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executive officers either participate in our Executive Severance Plan or are parties to a separation agreement. These arrangements provide for severance benefits payable upon termination under certain circumstances. In addition, the applicable equity awards generally vest similarly to Mr. Kasbar's equity awards following a change of control.</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2020, the approximate future minimum commitments under these agreements, excluding discretionary and performance bonuses,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06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0300" w:val="left"/>
          <w:tab w:leader="none" w:pos="108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$14.5 million and $9.7 million as of December 31, 2020 and December 31, 2019, respectively, which was included in Other long-term liabilities within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3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At December 31, 2020 and 2019, accrued liabilities for remediation were not material. It is not presently possible to estimate the ultimate amount of all remediation costs that might be incurred or the penalties that may be imposed.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2016, the Korean branch of one of our subsidiaries received assessments of approximately $10.4 million (KRW 11.7 billion) and during the quarter ended June 30, 2017, an assessment for an additional $18.5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$11.0 million (BRL 57.0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2020, we had recorded certain reserves that were not material. For those matters where a reserve has not been established and for which we believe a loss is reasonably possible, as well as for matters where a reserve has been recorded but for which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140" w:firstLine="8"/>
        <w:spacing w:after="0" w:line="513" w:lineRule="auto"/>
        <w:tabs>
          <w:tab w:leader="none" w:pos="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Cash Dividends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years ended December 31, 2020, 2019 and 2018, the Company's Board of Directors declared aggregate cash dividends of $0.40, $0.36, and $0.24 per common share, representing $25.5 million, $23.6 million, and $16.1 million in total dividends, respectively. Our Credit Facility and Term Loans have restrictions regarding the maximum amount of cash dividends allowed to be paid. The payments associated with the above referenced cash dividends were in compliance with our Credit Facility and Term Loans.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October 2017, our Board of Directors (the "Board") approved a new common stock repurchase program (the “Repurchase Program”), which replaced the program in place at that time, authorizing $100.0 million in common stock repurchases. In May 2019, the Board authorized an increase to the October 2017 repurchase authorization by $100.0 million, bringing the authorized repurchases at that time to $200.0 million. In March 2020, the Board approved a new stock repurchase program authorizing $200.0 million in common stock repurchases to begin upon the completion of the October 2017 Repurchase Program. Our repurchase programs do not require a minimum number of shares of common stock to be purchased, have no expiration date and may be suspended or discontinued at any time. As of December 31, 2020, approximately $246.3 million remains available for purchase under our repurchase programs. The timing and amount of shares of common stock to be repurchased under the repurchase programs will depend on market conditions, share price, securities law and other legal requirements and factors.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2020, 2019, and 2018, we repurchased 2.6 million, 2.1 million, and 0.7 million shares of common stock for an aggregate value of $68.3 million, $65.4 million, and $20.0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 and Description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2016, our shareholders approved the 2016 Omnibus Plan (the “2016 Plan”), which replaced our previously adopted 2006 Omnibus Plan, as amended and restated in 2009 (the “2006 Plan”). The 2016 Plan is administered by the Compensation Committee of the Board of Directors (the “Compensation Committee”). The purpose of the 2016 Plan is to (i) attract and retain persons eligible to participate in the 2016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Fuel and its subsidiaries, including the growth in value of our equity and enhancement of long-term shareholder return. The persons eligible to receive awards under the 2016 Plan are our employees, officers, and members of the Board of Directors, or any consultant or other person who performs services for us.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provisions of the 2016 Plan authorize the grant of stock options which can be “qualified” or “nonqualified” under the Internal Revenue Code of 1986, as amended, restricted stock, RSUs, SSAR Awards, performance shares and performance units and other share-based awards. The 2016 Plan is unlimited in duration and, in the event of its termination, the 2016 Plan will remain in effect as long as any awards granted under it remain outstanding. No awards may be granted under the 2016 Plan after May 2026. The term and vesting period of awards granted under the 2016 Plan are established on a per grant basis, but options and SSAR Awards may not remain exercisable after the seven-year anniversary of the date of grant.</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2016 Plan, 2.5 million shares of common stock are authorized for issuance plus any shares of common stock with respect to awards that were granted under the 2006 Plan but are forfeited or canceled (e.g., due to the recipient's failure to satisfy applicable service or performance conditions) after May 2016. As of December 31, 2020, approximately 4.2 million shares of common stock were subject to outstanding awards under the 2016 and 2006 Plans (assuming maximum achievement of performance goals for restricted stock and target achievement of performance goals for RSUs, where applicable).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outstanding awards issued pursuant to the 2016 Plan described above as of December 31, 2020 and the remaining shares of common stock available for future issuance (in millions):</w:t>
      </w:r>
    </w:p>
    <w:tbl>
      <w:tblPr>
        <w:tblLayout w:type="fixed"/>
        <w:tblInd w:w="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Remaining shares</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135"/>
        </w:trPr>
        <w:tc>
          <w:tcPr>
            <w:tcW w:w="414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Plan name</w:t>
            </w:r>
          </w:p>
        </w:tc>
        <w:tc>
          <w:tcPr>
            <w:tcW w:w="27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Restricted Stock</w:t>
            </w:r>
          </w:p>
        </w:tc>
        <w:tc>
          <w:tcPr>
            <w:tcW w:w="138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RSUs</w:t>
            </w:r>
          </w:p>
        </w:tc>
        <w:tc>
          <w:tcPr>
            <w:tcW w:w="14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SSAR Awards</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auto"/>
            </w:tcBorders>
            <w:vMerge w:val="continue"/>
          </w:tcPr>
          <w:p>
            <w:pPr>
              <w:spacing w:after="0"/>
              <w:rPr>
                <w:sz w:val="15"/>
                <w:szCs w:val="15"/>
                <w:color w:val="auto"/>
              </w:rPr>
            </w:pPr>
          </w:p>
        </w:tc>
        <w:tc>
          <w:tcPr>
            <w:tcW w:w="27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2016 Plan </w:t>
            </w:r>
            <w:r>
              <w:rPr>
                <w:rFonts w:ascii="Arial" w:cs="Arial" w:eastAsia="Arial" w:hAnsi="Arial"/>
                <w:sz w:val="23"/>
                <w:szCs w:val="23"/>
                <w:color w:val="auto"/>
                <w:vertAlign w:val="superscript"/>
              </w:rPr>
              <w:t>(1)</w:t>
            </w:r>
          </w:p>
        </w:tc>
        <w:tc>
          <w:tcPr>
            <w:tcW w:w="274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1.5</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(2)</w:t>
            </w:r>
          </w:p>
        </w:tc>
        <w:tc>
          <w:tcPr>
            <w:tcW w:w="2740" w:type="dxa"/>
            <w:vAlign w:val="bottom"/>
            <w:tcBorders>
              <w:bottom w:val="single" w:sz="8" w:color="auto"/>
            </w:tcBorders>
          </w:tcPr>
          <w:p>
            <w:pPr>
              <w:ind w:left="222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6"/>
              <w:spacing w:after="0" w:line="203" w:lineRule="exact"/>
              <w:rPr>
                <w:sz w:val="20"/>
                <w:szCs w:val="20"/>
                <w:color w:val="auto"/>
              </w:rPr>
            </w:pPr>
            <w:r>
              <w:rPr>
                <w:rFonts w:ascii="Arial" w:cs="Arial" w:eastAsia="Arial" w:hAnsi="Arial"/>
                <w:sz w:val="18"/>
                <w:szCs w:val="18"/>
                <w:color w:val="auto"/>
              </w:rPr>
              <w:t>0.4</w:t>
            </w:r>
          </w:p>
        </w:tc>
        <w:tc>
          <w:tcPr>
            <w:tcW w:w="1460" w:type="dxa"/>
            <w:vAlign w:val="bottom"/>
            <w:tcBorders>
              <w:bottom w:val="single" w:sz="8" w:color="auto"/>
            </w:tcBorders>
          </w:tcPr>
          <w:p>
            <w:pPr>
              <w:jc w:val="right"/>
              <w:ind w:right="36"/>
              <w:spacing w:after="0" w:line="203" w:lineRule="exact"/>
              <w:rPr>
                <w:sz w:val="20"/>
                <w:szCs w:val="20"/>
                <w:color w:val="auto"/>
              </w:rPr>
            </w:pPr>
            <w:r>
              <w:rPr>
                <w:rFonts w:ascii="Arial" w:cs="Arial" w:eastAsia="Arial" w:hAnsi="Arial"/>
                <w:sz w:val="18"/>
                <w:szCs w:val="18"/>
                <w:color w:val="auto"/>
              </w:rPr>
              <w:t>0.1</w:t>
            </w:r>
          </w:p>
        </w:tc>
        <w:tc>
          <w:tcPr>
            <w:tcW w:w="1500" w:type="dxa"/>
            <w:vAlign w:val="bottom"/>
            <w:tcBorders>
              <w:bottom w:val="single" w:sz="8" w:color="auto"/>
            </w:tcBorders>
          </w:tcPr>
          <w:p>
            <w:pPr>
              <w:jc w:val="right"/>
              <w:ind w:right="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8"/>
        <w:spacing w:after="0" w:line="219" w:lineRule="auto"/>
        <w:tabs>
          <w:tab w:leader="none" w:pos="642"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unvested RSUs will vest between August 2021 and November 2023 and the outstanding SSAR Awards will expire between March 2022 and March 2025.</w:t>
      </w:r>
    </w:p>
    <w:p>
      <w:pPr>
        <w:spacing w:after="0" w:line="1" w:lineRule="exact"/>
        <w:rPr>
          <w:rFonts w:ascii="Arial" w:cs="Arial" w:eastAsia="Arial" w:hAnsi="Arial"/>
          <w:sz w:val="23"/>
          <w:szCs w:val="23"/>
          <w:color w:val="auto"/>
          <w:vertAlign w:val="superscript"/>
        </w:rPr>
      </w:pPr>
    </w:p>
    <w:p>
      <w:pPr>
        <w:jc w:val="both"/>
        <w:ind w:firstLine="8"/>
        <w:spacing w:after="0" w:line="216" w:lineRule="exact"/>
        <w:tabs>
          <w:tab w:leader="none" w:pos="642"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unvested restricted stock will vest February 2021, unvested RSUs will vest between March 2021 and May 2021 and the outstanding SSAR Awards will expire March 2021.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Unvested Restricted</w:t>
            </w:r>
          </w:p>
        </w:tc>
        <w:tc>
          <w:tcPr>
            <w:tcW w:w="15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rPr>
              <w:t>Grant date Fair</w:t>
            </w:r>
          </w:p>
        </w:tc>
        <w:tc>
          <w:tcPr>
            <w:tcW w:w="160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Vesting</w:t>
            </w:r>
          </w:p>
        </w:tc>
        <w:tc>
          <w:tcPr>
            <w:tcW w:w="0" w:type="dxa"/>
            <w:vAlign w:val="bottom"/>
          </w:tcPr>
          <w:p>
            <w:pPr>
              <w:spacing w:after="0"/>
              <w:rPr>
                <w:sz w:val="1"/>
                <w:szCs w:val="1"/>
                <w:color w:val="auto"/>
              </w:rPr>
            </w:pPr>
          </w:p>
        </w:tc>
      </w:tr>
      <w:tr>
        <w:trPr>
          <w:trHeight w:val="176"/>
        </w:trPr>
        <w:tc>
          <w:tcPr>
            <w:tcW w:w="5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Value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45.80</w:t>
            </w:r>
          </w:p>
        </w:tc>
        <w:tc>
          <w:tcPr>
            <w:tcW w:w="4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47.48</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44.77</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51.47</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47.36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36.50</w:t>
            </w:r>
          </w:p>
        </w:tc>
        <w:tc>
          <w:tcPr>
            <w:tcW w:w="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0.5</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aggregate intrinsic value of restricted stock which vested during 2020, 2019 and 2018 was $0.4 million, $1.0 million and $3.8 million, respectively, based on the average high and low market price of our common stock at the vesting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22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RSUs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RSUs</w:t>
            </w:r>
          </w:p>
        </w:tc>
        <w:tc>
          <w:tcPr>
            <w:tcW w:w="280" w:type="dxa"/>
            <w:vAlign w:val="bottom"/>
          </w:tcPr>
          <w:p>
            <w:pPr>
              <w:spacing w:after="0"/>
              <w:rPr>
                <w:sz w:val="11"/>
                <w:szCs w:val="11"/>
                <w:color w:val="auto"/>
              </w:rPr>
            </w:pPr>
          </w:p>
        </w:tc>
        <w:tc>
          <w:tcPr>
            <w:tcW w:w="128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rPr>
              <w:t>Grant date Fair</w:t>
            </w:r>
          </w:p>
        </w:tc>
        <w:tc>
          <w:tcPr>
            <w:tcW w:w="160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5"/>
        </w:trPr>
        <w:tc>
          <w:tcPr>
            <w:tcW w:w="5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Value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2017</w:t>
            </w: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41.01</w:t>
            </w:r>
          </w:p>
        </w:tc>
        <w:tc>
          <w:tcPr>
            <w:tcW w:w="4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43.9</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22.02</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46.31</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41.17</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37.17</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29.69</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39.86</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23.30</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32.56</w:t>
            </w:r>
          </w:p>
        </w:tc>
        <w:tc>
          <w:tcPr>
            <w:tcW w:w="4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25.17</w:t>
            </w:r>
          </w:p>
        </w:tc>
        <w:tc>
          <w:tcPr>
            <w:tcW w:w="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57.1</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vested during 2020, 2019 and 2018 was $10.8 million, $10.4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SSAR Awards Outstanding</w:t>
            </w:r>
          </w:p>
        </w:tc>
        <w:tc>
          <w:tcPr>
            <w:tcW w:w="10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SSAR Awards Exercisable</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Aggregate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SSAR Awards</w:t>
            </w:r>
          </w:p>
        </w:tc>
        <w:tc>
          <w:tcPr>
            <w:tcW w:w="18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6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(0.4)</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38.53</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0.7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57.48</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SSAR Awards exercised during 2020, 2019, and 2018 was zero, respectively.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use the Black Scholes option pricing model to estimate the fair value of SSAR Awards granted to employees. The weighted average fair value of the SSAR Awards for 2020 was $6.88 and the assumptions used to determine such fair value were as follows: expected term of 4.5 years, volatility of 38.6%, dividend yields of 1.2% and risk-free interest rates of 0.7%. The weighted average fair value of the SSAR Awards for 2019 was $9.15 and the assumptions used to determine such fair value were as follows: expected term of 4.5 years, volatility of 36.1%, dividend yields of 0.9% and risk-free interest rates of 2.4%. The weighted average fair value of the SSAR Awards for 2018 was $ 6.56 and the assumptions used to determine such fair value were as follows: expected term of 4.5 years, volatility of 30.8%, dividend yields of 1.0% and risk-free interest rates of 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there was $16.6 million of total unrecognized compensation cost related to unvested share-based payment awards, which is included as Capital in excess of par value within our Consolidated Balance Sheets. The unrecognized compensation cost as of December 31, 2020 is expected to be recognized as compensation expense over a weighted average period of 1.1 years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tcPr>
          <w:p>
            <w:pPr>
              <w:jc w:val="right"/>
              <w:ind w:right="397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223"/>
        </w:trPr>
        <w:tc>
          <w:tcPr>
            <w:tcW w:w="258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99"/>
              </w:rPr>
              <w:t>2021</w:t>
            </w:r>
          </w:p>
        </w:tc>
        <w:tc>
          <w:tcPr>
            <w:tcW w:w="79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2580" w:type="dxa"/>
            <w:vAlign w:val="bottom"/>
          </w:tcPr>
          <w:p>
            <w:pPr>
              <w:jc w:val="right"/>
              <w:ind w:right="2070"/>
              <w:spacing w:after="0"/>
              <w:rPr>
                <w:sz w:val="20"/>
                <w:szCs w:val="20"/>
                <w:color w:val="auto"/>
              </w:rPr>
            </w:pPr>
            <w:r>
              <w:rPr>
                <w:rFonts w:ascii="Arial" w:cs="Arial" w:eastAsia="Arial" w:hAnsi="Arial"/>
                <w:sz w:val="18"/>
                <w:szCs w:val="18"/>
                <w:color w:val="auto"/>
                <w:w w:val="99"/>
              </w:rPr>
              <w:t>2022</w:t>
            </w:r>
          </w:p>
        </w:tc>
        <w:tc>
          <w:tcPr>
            <w:tcW w:w="7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58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99"/>
              </w:rPr>
              <w:t>2023</w:t>
            </w:r>
          </w:p>
        </w:tc>
        <w:tc>
          <w:tcPr>
            <w:tcW w:w="7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580" w:type="dxa"/>
            <w:vAlign w:val="bottom"/>
          </w:tcPr>
          <w:p>
            <w:pPr>
              <w:jc w:val="right"/>
              <w:ind w:right="2070"/>
              <w:spacing w:after="0"/>
              <w:rPr>
                <w:sz w:val="20"/>
                <w:szCs w:val="20"/>
                <w:color w:val="auto"/>
              </w:rPr>
            </w:pPr>
            <w:r>
              <w:rPr>
                <w:rFonts w:ascii="Arial" w:cs="Arial" w:eastAsia="Arial" w:hAnsi="Arial"/>
                <w:sz w:val="18"/>
                <w:szCs w:val="18"/>
                <w:color w:val="auto"/>
                <w:w w:val="99"/>
              </w:rPr>
              <w:t>2024</w:t>
            </w:r>
          </w:p>
        </w:tc>
        <w:tc>
          <w:tcPr>
            <w:tcW w:w="7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580" w:type="dxa"/>
            <w:vAlign w:val="bottom"/>
            <w:tcBorders>
              <w:bottom w:val="single" w:sz="8" w:color="auto"/>
            </w:tcBorders>
            <w:shd w:val="clear" w:color="auto" w:fill="CCEEFF"/>
          </w:tcPr>
          <w:p>
            <w:pPr>
              <w:jc w:val="right"/>
              <w:ind w:right="2070"/>
              <w:spacing w:after="0"/>
              <w:rPr>
                <w:sz w:val="20"/>
                <w:szCs w:val="20"/>
                <w:color w:val="auto"/>
              </w:rPr>
            </w:pPr>
            <w:r>
              <w:rPr>
                <w:rFonts w:ascii="Arial" w:cs="Arial" w:eastAsia="Arial" w:hAnsi="Arial"/>
                <w:sz w:val="18"/>
                <w:szCs w:val="18"/>
                <w:color w:val="auto"/>
                <w:w w:val="99"/>
              </w:rPr>
              <w:t>2025</w:t>
            </w:r>
          </w:p>
        </w:tc>
        <w:tc>
          <w:tcPr>
            <w:tcW w:w="7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58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rPr>
              <w:t>Foreign Currency</w:t>
            </w:r>
          </w:p>
        </w:tc>
        <w:tc>
          <w:tcPr>
            <w:tcW w:w="260" w:type="dxa"/>
            <w:vAlign w:val="bottom"/>
          </w:tcPr>
          <w:p>
            <w:pPr>
              <w:spacing w:after="0"/>
              <w:rPr>
                <w:sz w:val="14"/>
                <w:szCs w:val="14"/>
                <w:color w:val="auto"/>
              </w:rPr>
            </w:pPr>
          </w:p>
        </w:tc>
        <w:tc>
          <w:tcPr>
            <w:tcW w:w="11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Cash Flow</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Hedges</w:t>
            </w: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13.3</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8"/>
        </w:trPr>
        <w:tc>
          <w:tcPr>
            <w:tcW w:w="6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Less: Net other comprehensive (income) loss attributable to noncontrolling</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
        </w:trPr>
        <w:tc>
          <w:tcPr>
            <w:tcW w:w="6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foreign currency translation adjustment gain for 2020 was primarily due to the effect of weakness in the U.S. dollar compared to most foreign currencies, including the British Pound. The foreign currency translation adjustment gain for 2019 was primarily due to the effect of the relative weakness of the U.S. dollar against certain foreign currencies, including the British Pound and the South African rand.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5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3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296.4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r>
      <w:tr>
        <w:trPr>
          <w:trHeight w:val="248"/>
        </w:trPr>
        <w:tc>
          <w:tcPr>
            <w:tcW w:w="3740" w:type="dxa"/>
            <w:vAlign w:val="bottom"/>
            <w:tcBorders>
              <w:bottom w:val="single" w:sz="8" w:color="auto"/>
            </w:tcBorders>
            <w:shd w:val="clear" w:color="auto" w:fill="CCEEFF"/>
          </w:tcPr>
          <w:p>
            <w:pPr>
              <w:spacing w:after="0"/>
              <w:rPr>
                <w:sz w:val="21"/>
                <w:szCs w:val="21"/>
                <w:color w:val="auto"/>
              </w:rPr>
            </w:pPr>
          </w:p>
        </w:tc>
        <w:tc>
          <w:tcPr>
            <w:tcW w:w="358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237.3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U.S. federal statutory tax</w:t>
            </w: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2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42.9</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35.9</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45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Deferred:</w:t>
            </w: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w:t>
            </w:r>
          </w:p>
        </w:tc>
        <w:tc>
          <w:tcPr>
            <w:tcW w:w="2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5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tax expense (income)</w:t>
            </w:r>
          </w:p>
        </w:tc>
        <w:tc>
          <w:tcPr>
            <w:tcW w:w="2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45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Foreign earnings, net of foreign taxes</w:t>
            </w: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20" w:type="dxa"/>
            <w:vAlign w:val="bottom"/>
          </w:tcPr>
          <w:p>
            <w:pPr>
              <w:jc w:val="right"/>
              <w:ind w:right="1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r>
      <w:tr>
        <w:trPr>
          <w:trHeight w:val="230"/>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1640" w:type="dxa"/>
            <w:vAlign w:val="bottom"/>
            <w:tcBorders>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U.S. tax on deemed dividends</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Act - Transition Tax</w:t>
            </w:r>
          </w:p>
        </w:tc>
        <w:tc>
          <w:tcPr>
            <w:tcW w:w="164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0.5</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Tax Reform - GILTI</w:t>
            </w:r>
          </w:p>
        </w:tc>
        <w:tc>
          <w:tcPr>
            <w:tcW w:w="1640" w:type="dxa"/>
            <w:vAlign w:val="bottom"/>
          </w:tcPr>
          <w:p>
            <w:pPr>
              <w:jc w:val="right"/>
              <w:ind w:right="17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r>
      <w:tr>
        <w:trPr>
          <w:trHeight w:val="229"/>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Reform - BEAT</w:t>
            </w:r>
          </w:p>
        </w:tc>
        <w:tc>
          <w:tcPr>
            <w:tcW w:w="1640" w:type="dxa"/>
            <w:vAlign w:val="bottom"/>
            <w:tcBorders>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0.1</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Deferred tax impact on foreign unrepatriated earnings</w:t>
            </w: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7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640" w:type="dxa"/>
            <w:vAlign w:val="bottom"/>
          </w:tcPr>
          <w:p>
            <w:pPr>
              <w:jc w:val="right"/>
              <w:ind w:right="17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adjustments</w:t>
            </w:r>
          </w:p>
        </w:tc>
        <w:tc>
          <w:tcPr>
            <w:tcW w:w="164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Intercompany interest transfer pricing adjustment</w:t>
            </w:r>
          </w:p>
        </w:tc>
        <w:tc>
          <w:tcPr>
            <w:tcW w:w="164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30"/>
        </w:trPr>
        <w:tc>
          <w:tcPr>
            <w:tcW w:w="60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Nontaxable interest income</w:t>
            </w:r>
          </w:p>
        </w:tc>
        <w:tc>
          <w:tcPr>
            <w:tcW w:w="164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CCEEFF"/>
            </w:tcBorders>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Nondeductible interest expense</w:t>
            </w:r>
          </w:p>
        </w:tc>
        <w:tc>
          <w:tcPr>
            <w:tcW w:w="164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20" w:type="dxa"/>
            <w:vAlign w:val="bottom"/>
          </w:tcPr>
          <w:p>
            <w:pPr>
              <w:jc w:val="right"/>
              <w:ind w:right="17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080" w:type="dxa"/>
            <w:vAlign w:val="bottom"/>
            <w:tcBorders>
              <w:left w:val="single" w:sz="8" w:color="CCEEFF"/>
              <w:bottom w:val="single" w:sz="8" w:color="D9D9D9"/>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640" w:type="dxa"/>
            <w:vAlign w:val="bottom"/>
            <w:tcBorders>
              <w:bottom w:val="single" w:sz="8" w:color="D9D9D9"/>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D9D9D9"/>
              <w:right w:val="single" w:sz="8" w:color="CCEEFF"/>
            </w:tcBorders>
            <w:shd w:val="clear" w:color="auto" w:fill="CCEEFF"/>
          </w:tcPr>
          <w:p>
            <w:pPr>
              <w:spacing w:after="0"/>
              <w:rPr>
                <w:sz w:val="19"/>
                <w:szCs w:val="19"/>
                <w:color w:val="auto"/>
              </w:rPr>
            </w:pPr>
          </w:p>
        </w:tc>
        <w:tc>
          <w:tcPr>
            <w:tcW w:w="1620" w:type="dxa"/>
            <w:vAlign w:val="bottom"/>
            <w:tcBorders>
              <w:bottom w:val="single" w:sz="8" w:color="D9D9D9"/>
              <w:right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D9D9D9"/>
              <w:right w:val="single" w:sz="8" w:color="CCEEFF"/>
            </w:tcBorders>
            <w:shd w:val="clear" w:color="auto" w:fill="CCEEFF"/>
          </w:tcPr>
          <w:p>
            <w:pPr>
              <w:spacing w:after="0"/>
              <w:rPr>
                <w:sz w:val="19"/>
                <w:szCs w:val="19"/>
                <w:color w:val="auto"/>
              </w:rPr>
            </w:pPr>
          </w:p>
        </w:tc>
        <w:tc>
          <w:tcPr>
            <w:tcW w:w="1600" w:type="dxa"/>
            <w:vAlign w:val="bottom"/>
            <w:tcBorders>
              <w:bottom w:val="single" w:sz="8" w:color="D9D9D9"/>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D9D9D9"/>
            </w:tcBorders>
          </w:tcPr>
          <w:p>
            <w:pPr>
              <w:spacing w:after="0"/>
              <w:rPr>
                <w:sz w:val="19"/>
                <w:szCs w:val="19"/>
                <w:color w:val="auto"/>
              </w:rPr>
            </w:pPr>
          </w:p>
        </w:tc>
      </w:tr>
      <w:tr>
        <w:trPr>
          <w:trHeight w:val="223"/>
        </w:trPr>
        <w:tc>
          <w:tcPr>
            <w:tcW w:w="6080" w:type="dxa"/>
            <w:vAlign w:val="bottom"/>
            <w:tcBorders>
              <w:left w:val="single" w:sz="8" w:color="D9D9D9"/>
              <w:bottom w:val="single" w:sz="8" w:color="D9D9D9"/>
              <w:right w:val="single" w:sz="8" w:color="D9D9D9"/>
            </w:tcBorders>
          </w:tcPr>
          <w:p>
            <w:pPr>
              <w:ind w:left="40"/>
              <w:spacing w:after="0"/>
              <w:rPr>
                <w:sz w:val="20"/>
                <w:szCs w:val="20"/>
                <w:color w:val="auto"/>
              </w:rPr>
            </w:pPr>
            <w:r>
              <w:rPr>
                <w:rFonts w:ascii="Arial" w:cs="Arial" w:eastAsia="Arial" w:hAnsi="Arial"/>
                <w:sz w:val="18"/>
                <w:szCs w:val="18"/>
                <w:color w:val="auto"/>
              </w:rPr>
              <w:t>Sale of Company</w:t>
            </w:r>
          </w:p>
        </w:tc>
        <w:tc>
          <w:tcPr>
            <w:tcW w:w="1640" w:type="dxa"/>
            <w:vAlign w:val="bottom"/>
            <w:tcBorders>
              <w:bottom w:val="single" w:sz="8" w:color="D9D9D9"/>
              <w:right w:val="single" w:sz="8" w:color="D9D9D9"/>
            </w:tcBorders>
          </w:tcPr>
          <w:p>
            <w:pPr>
              <w:jc w:val="right"/>
              <w:ind w:right="17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D9D9D9"/>
              <w:right w:val="single" w:sz="8" w:color="D9D9D9"/>
            </w:tcBorders>
          </w:tcPr>
          <w:p>
            <w:pPr>
              <w:spacing w:after="0"/>
              <w:rPr>
                <w:sz w:val="19"/>
                <w:szCs w:val="19"/>
                <w:color w:val="auto"/>
              </w:rPr>
            </w:pPr>
          </w:p>
        </w:tc>
        <w:tc>
          <w:tcPr>
            <w:tcW w:w="1620" w:type="dxa"/>
            <w:vAlign w:val="bottom"/>
            <w:tcBorders>
              <w:bottom w:val="single" w:sz="8" w:color="D9D9D9"/>
              <w:right w:val="single" w:sz="8" w:color="D9D9D9"/>
            </w:tcBorders>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9D9D9"/>
              <w:right w:val="single" w:sz="8" w:color="D9D9D9"/>
            </w:tcBorders>
          </w:tcPr>
          <w:p>
            <w:pPr>
              <w:spacing w:after="0"/>
              <w:rPr>
                <w:sz w:val="19"/>
                <w:szCs w:val="19"/>
                <w:color w:val="auto"/>
              </w:rPr>
            </w:pPr>
          </w:p>
        </w:tc>
        <w:tc>
          <w:tcPr>
            <w:tcW w:w="1600" w:type="dxa"/>
            <w:vAlign w:val="bottom"/>
            <w:tcBorders>
              <w:bottom w:val="single" w:sz="8" w:color="D9D9D9"/>
            </w:tcBorders>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23"/>
        </w:trPr>
        <w:tc>
          <w:tcPr>
            <w:tcW w:w="6080" w:type="dxa"/>
            <w:vAlign w:val="bottom"/>
            <w:tcBorders>
              <w:left w:val="single" w:sz="8" w:color="D9D9D9"/>
              <w:bottom w:val="single" w:sz="8" w:color="D9D9D9"/>
              <w:right w:val="single" w:sz="8" w:color="D9D9D9"/>
            </w:tcBorders>
            <w:shd w:val="clear" w:color="auto" w:fill="CCEEFF"/>
          </w:tcPr>
          <w:p>
            <w:pPr>
              <w:ind w:left="40"/>
              <w:spacing w:after="0"/>
              <w:rPr>
                <w:sz w:val="20"/>
                <w:szCs w:val="20"/>
                <w:color w:val="auto"/>
              </w:rPr>
            </w:pPr>
            <w:r>
              <w:rPr>
                <w:rFonts w:ascii="Arial" w:cs="Arial" w:eastAsia="Arial" w:hAnsi="Arial"/>
                <w:sz w:val="18"/>
                <w:szCs w:val="18"/>
                <w:color w:val="auto"/>
              </w:rPr>
              <w:t>Non-deductible Officer Compensation</w:t>
            </w:r>
          </w:p>
        </w:tc>
        <w:tc>
          <w:tcPr>
            <w:tcW w:w="1640" w:type="dxa"/>
            <w:vAlign w:val="bottom"/>
            <w:tcBorders>
              <w:bottom w:val="single" w:sz="8" w:color="D9D9D9"/>
              <w:right w:val="single" w:sz="8" w:color="D9D9D9"/>
            </w:tcBorders>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D9D9D9"/>
              <w:right w:val="single" w:sz="8" w:color="D9D9D9"/>
            </w:tcBorders>
            <w:shd w:val="clear" w:color="auto" w:fill="CCEEFF"/>
          </w:tcPr>
          <w:p>
            <w:pPr>
              <w:spacing w:after="0"/>
              <w:rPr>
                <w:sz w:val="19"/>
                <w:szCs w:val="19"/>
                <w:color w:val="auto"/>
              </w:rPr>
            </w:pPr>
          </w:p>
        </w:tc>
        <w:tc>
          <w:tcPr>
            <w:tcW w:w="1620" w:type="dxa"/>
            <w:vAlign w:val="bottom"/>
            <w:tcBorders>
              <w:bottom w:val="single" w:sz="8" w:color="D9D9D9"/>
              <w:right w:val="single" w:sz="8" w:color="D9D9D9"/>
            </w:tcBorders>
            <w:shd w:val="clear" w:color="auto" w:fill="CCEEFF"/>
          </w:tcPr>
          <w:p>
            <w:pPr>
              <w:jc w:val="right"/>
              <w:ind w:right="17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D9D9D9"/>
              <w:right w:val="single" w:sz="8" w:color="D9D9D9"/>
            </w:tcBorders>
            <w:shd w:val="clear" w:color="auto" w:fill="CCEEFF"/>
          </w:tcPr>
          <w:p>
            <w:pPr>
              <w:spacing w:after="0"/>
              <w:rPr>
                <w:sz w:val="19"/>
                <w:szCs w:val="19"/>
                <w:color w:val="auto"/>
              </w:rPr>
            </w:pPr>
          </w:p>
        </w:tc>
        <w:tc>
          <w:tcPr>
            <w:tcW w:w="1600" w:type="dxa"/>
            <w:vAlign w:val="bottom"/>
            <w:tcBorders>
              <w:bottom w:val="single" w:sz="8" w:color="D9D9D9"/>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permanent differences</w:t>
            </w: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48"/>
        </w:trPr>
        <w:tc>
          <w:tcPr>
            <w:tcW w:w="6080" w:type="dxa"/>
            <w:vAlign w:val="bottom"/>
            <w:tcBorders>
              <w:left w:val="single" w:sz="8" w:color="CCEEFF"/>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20" w:type="dxa"/>
            <w:vAlign w:val="bottom"/>
          </w:tcPr>
          <w:p>
            <w:pPr>
              <w:spacing w:after="0"/>
              <w:rPr>
                <w:sz w:val="21"/>
                <w:szCs w:val="21"/>
                <w:color w:val="auto"/>
              </w:rPr>
            </w:pP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2020, our effective income tax rate was 32.2%, and our income tax provision was $52.1 million, as compared to an effective income tax rate of 23.7% and an income tax provision of $56.2 million for 2019. The tax provision includes a tax expense of $12.9 million for the tax on the gain on the sale of MSTS recorded during the third quarter of 2020. The higher effective income tax rate for 2020, as compared to 2019, resulted primarily from the impact of recording valuation allowances against our deferred tax assets in various foreign jurisdictions, and the differences in the results of our subsidiaries in tax jurisdictions with different tax rates.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 ended December 31, 2019, our effective income tax rate was 23.7%, for an income tax provision of $56.2 million, as compared to an effective income tax rate of 30.2% and an income tax provision of $55.9 million for 2018. The lower effective income tax rate for 2019 resulted principally from the benefits of differences in the results of our subsidiaries in tax jurisdictions with different income tax rates, the impacts of BEAT and GILTI, other permanent tax differences, and one-time return-to-provision foreign exchange statutory adjustments. These benefits were reduced by increases in uncertain tax positions and the effect of state income taxes. Several final and proposed regulations were issued for U.S. federal income tax purposes during 2019 regarding BEAT, foreign tax credits, and GILTI, among other areas. The Treasury Department and IRS released final and proposed regulations regarding BEAT on December 2, 2019 and provided an election to waive deductions for purposes of determining base erosion payments which we elected to apply to both 2018 and 2019. Our 2019 effective income tax rate and income tax expense reflect the results of this election for 2019 and the one-time benefit for 2018.</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2018, our effective income tax rate was 30.2%, for an income tax provision of $55.9 million, as compared to an effective income tax rate of (707.1)% and an income tax provision of $149.2 million for 2017. The lower effective income tax rate for 2018 resulted primarily from differences in the results of our subsidiaries in tax jurisdictions with different income tax rates, the effects of the Act's $143.7 million one-time transition tax on historic accumulated foreign earnings, and a goodwill impairment. Without the transition tax charge, the effective income tax rate for 2017 would have been (25.9)%.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2020, $963.6 million of our foreign earnings were permanently reinvested in non-US business operations. For these investments, if not reinvested indefinitely, we could potentially owe approximately $212.0 million in foreign withholding tax. For the remaining $1.4 billion accumulated foreign earnings that are actually or deemed repatriated, we have made an estimate of the associated foreign withholding and state income tax effects of $10.4 million for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 reserve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57.4</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r>
      <w:tr>
        <w:trPr>
          <w:trHeight w:val="230"/>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U.S. foreign income tax credits</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9"/>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tax credits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9"/>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Unrealized foreign exchange</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16.4</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Borders>
              <w:left w:val="single" w:sz="8" w:color="CCEEFF"/>
              <w:bottom w:val="single" w:sz="8" w:color="D9D9D9"/>
            </w:tcBorders>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100" w:type="dxa"/>
            <w:vAlign w:val="bottom"/>
            <w:tcBorders>
              <w:bottom w:val="single" w:sz="8" w:color="D9D9D9"/>
            </w:tcBorders>
            <w:shd w:val="clear" w:color="auto" w:fill="CCEEFF"/>
          </w:tcPr>
          <w:p>
            <w:pPr>
              <w:spacing w:after="0"/>
              <w:rPr>
                <w:sz w:val="19"/>
                <w:szCs w:val="19"/>
                <w:color w:val="auto"/>
              </w:rPr>
            </w:pPr>
          </w:p>
        </w:tc>
        <w:tc>
          <w:tcPr>
            <w:tcW w:w="800" w:type="dxa"/>
            <w:vAlign w:val="bottom"/>
            <w:tcBorders>
              <w:bottom w:val="single" w:sz="8" w:color="D9D9D9"/>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660" w:type="dxa"/>
            <w:vAlign w:val="bottom"/>
            <w:tcBorders>
              <w:bottom w:val="single" w:sz="8" w:color="D9D9D9"/>
            </w:tcBorders>
            <w:shd w:val="clear" w:color="auto" w:fill="CCEEFF"/>
          </w:tcPr>
          <w:p>
            <w:pPr>
              <w:spacing w:after="0"/>
              <w:rPr>
                <w:sz w:val="19"/>
                <w:szCs w:val="19"/>
                <w:color w:val="auto"/>
              </w:rPr>
            </w:pPr>
          </w:p>
        </w:tc>
        <w:tc>
          <w:tcPr>
            <w:tcW w:w="110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D9D9D9"/>
            </w:tcBorders>
          </w:tcPr>
          <w:p>
            <w:pPr>
              <w:spacing w:after="0"/>
              <w:rPr>
                <w:sz w:val="19"/>
                <w:szCs w:val="19"/>
                <w:color w:val="auto"/>
              </w:rPr>
            </w:pPr>
          </w:p>
        </w:tc>
      </w:tr>
      <w:tr>
        <w:trPr>
          <w:trHeight w:val="223"/>
        </w:trPr>
        <w:tc>
          <w:tcPr>
            <w:tcW w:w="7560" w:type="dxa"/>
            <w:vAlign w:val="bottom"/>
            <w:tcBorders>
              <w:left w:val="single" w:sz="8" w:color="D9D9D9"/>
              <w:bottom w:val="single" w:sz="8" w:color="D9D9D9"/>
            </w:tcBorders>
          </w:tcPr>
          <w:p>
            <w:pPr>
              <w:ind w:left="40"/>
              <w:spacing w:after="0"/>
              <w:rPr>
                <w:sz w:val="20"/>
                <w:szCs w:val="20"/>
                <w:color w:val="auto"/>
              </w:rPr>
            </w:pPr>
            <w:r>
              <w:rPr>
                <w:rFonts w:ascii="Arial" w:cs="Arial" w:eastAsia="Arial" w:hAnsi="Arial"/>
                <w:sz w:val="18"/>
                <w:szCs w:val="18"/>
                <w:color w:val="auto"/>
              </w:rPr>
              <w:t>Interest Limitation</w:t>
            </w:r>
          </w:p>
        </w:tc>
        <w:tc>
          <w:tcPr>
            <w:tcW w:w="1100" w:type="dxa"/>
            <w:vAlign w:val="bottom"/>
            <w:tcBorders>
              <w:bottom w:val="single" w:sz="8" w:color="D9D9D9"/>
            </w:tcBorders>
          </w:tcPr>
          <w:p>
            <w:pPr>
              <w:spacing w:after="0"/>
              <w:rPr>
                <w:sz w:val="19"/>
                <w:szCs w:val="19"/>
                <w:color w:val="auto"/>
              </w:rPr>
            </w:pPr>
          </w:p>
        </w:tc>
        <w:tc>
          <w:tcPr>
            <w:tcW w:w="800" w:type="dxa"/>
            <w:vAlign w:val="bottom"/>
            <w:tcBorders>
              <w:bottom w:val="single" w:sz="8" w:color="D9D9D9"/>
              <w:right w:val="single" w:sz="8" w:color="D9D9D9"/>
            </w:tcBorders>
          </w:tcPr>
          <w:p>
            <w:pPr>
              <w:jc w:val="right"/>
              <w:ind w:right="111"/>
              <w:spacing w:after="0"/>
              <w:rPr>
                <w:sz w:val="20"/>
                <w:szCs w:val="20"/>
                <w:color w:val="auto"/>
              </w:rPr>
            </w:pPr>
            <w:r>
              <w:rPr>
                <w:rFonts w:ascii="Arial" w:cs="Arial" w:eastAsia="Arial" w:hAnsi="Arial"/>
                <w:sz w:val="18"/>
                <w:szCs w:val="18"/>
                <w:color w:val="auto"/>
              </w:rPr>
              <w:t>10.7</w:t>
            </w:r>
          </w:p>
        </w:tc>
        <w:tc>
          <w:tcPr>
            <w:tcW w:w="660" w:type="dxa"/>
            <w:vAlign w:val="bottom"/>
            <w:tcBorders>
              <w:bottom w:val="single" w:sz="8" w:color="D9D9D9"/>
            </w:tcBorders>
          </w:tcPr>
          <w:p>
            <w:pPr>
              <w:spacing w:after="0"/>
              <w:rPr>
                <w:sz w:val="19"/>
                <w:szCs w:val="19"/>
                <w:color w:val="auto"/>
              </w:rPr>
            </w:pPr>
          </w:p>
        </w:tc>
        <w:tc>
          <w:tcPr>
            <w:tcW w:w="110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23"/>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gross deferred tax assets</w:t>
            </w:r>
          </w:p>
        </w:tc>
        <w:tc>
          <w:tcPr>
            <w:tcW w:w="1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128.2</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9"/>
                <w:szCs w:val="19"/>
                <w:color w:val="auto"/>
              </w:rPr>
            </w:pPr>
          </w:p>
        </w:tc>
      </w:tr>
      <w:tr>
        <w:trPr>
          <w:trHeight w:val="223"/>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48.0</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80.2</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r>
      <w:tr>
        <w:trPr>
          <w:trHeight w:val="223"/>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r>
      <w:tr>
        <w:trPr>
          <w:trHeight w:val="230"/>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(54.8)</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Unrealized foreign exchange</w:t>
            </w:r>
          </w:p>
        </w:tc>
        <w:tc>
          <w:tcPr>
            <w:tcW w:w="110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30"/>
        </w:trPr>
        <w:tc>
          <w:tcPr>
            <w:tcW w:w="75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deductible for tax purposes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230"/>
        </w:trPr>
        <w:tc>
          <w:tcPr>
            <w:tcW w:w="7560" w:type="dxa"/>
            <w:vAlign w:val="bottom"/>
            <w:tcBorders>
              <w:left w:val="single" w:sz="8" w:color="CCEEFF"/>
              <w:bottom w:val="single" w:sz="8" w:color="D9D9D9"/>
            </w:tcBorders>
            <w:shd w:val="clear" w:color="auto" w:fill="CCEEFF"/>
          </w:tcPr>
          <w:p>
            <w:pPr>
              <w:ind w:left="20"/>
              <w:spacing w:after="0"/>
              <w:rPr>
                <w:sz w:val="20"/>
                <w:szCs w:val="20"/>
                <w:color w:val="auto"/>
              </w:rPr>
            </w:pPr>
            <w:r>
              <w:rPr>
                <w:rFonts w:ascii="Arial" w:cs="Arial" w:eastAsia="Arial" w:hAnsi="Arial"/>
                <w:sz w:val="18"/>
                <w:szCs w:val="18"/>
                <w:color w:val="auto"/>
              </w:rPr>
              <w:t>Unrealized derivatives</w:t>
            </w:r>
          </w:p>
        </w:tc>
        <w:tc>
          <w:tcPr>
            <w:tcW w:w="1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23"/>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tax liability</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20.2</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
        </w:trPr>
        <w:tc>
          <w:tcPr>
            <w:tcW w:w="7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Reported on the Consolidated Balance Sheets as:</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r>
      <w:tr>
        <w:trPr>
          <w:trHeight w:val="20"/>
        </w:trPr>
        <w:tc>
          <w:tcPr>
            <w:tcW w:w="7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7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75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income tax liabilities, net of deferred tax liabilities, non-current</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53.6</w:t>
            </w: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r>
      <w:tr>
        <w:trPr>
          <w:trHeight w:val="20"/>
        </w:trPr>
        <w:tc>
          <w:tcPr>
            <w:tcW w:w="7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6"/>
        </w:trPr>
        <w:tc>
          <w:tcPr>
            <w:tcW w:w="7560" w:type="dxa"/>
            <w:vAlign w:val="bottom"/>
          </w:tcPr>
          <w:p>
            <w:pPr>
              <w:ind w:left="5540"/>
              <w:spacing w:after="0"/>
              <w:rPr>
                <w:sz w:val="20"/>
                <w:szCs w:val="20"/>
                <w:color w:val="auto"/>
              </w:rPr>
            </w:pPr>
            <w:r>
              <w:rPr>
                <w:rFonts w:ascii="Arial" w:cs="Arial" w:eastAsia="Arial" w:hAnsi="Arial"/>
                <w:sz w:val="14"/>
                <w:szCs w:val="14"/>
                <w:color w:val="auto"/>
              </w:rPr>
              <w:t>80</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7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and 2019, we had gross net operating losses (“NOLs”) of approximately $418.2 million and $375.9 million, respectively. The NOLs as of December 31, 2020, originated in various U.S. states and non-U.S. countries. We have recorded a deferred tax asset of $57.4 million reflecting the benefit of the NOL carryforward as of December 31, 2020. This deferred tax asset expires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Operating Loss</w:t>
            </w:r>
          </w:p>
        </w:tc>
        <w:tc>
          <w:tcPr>
            <w:tcW w:w="256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tcPr>
          <w:p>
            <w:pPr>
              <w:jc w:val="right"/>
              <w:ind w:right="2793"/>
              <w:spacing w:after="0"/>
              <w:rPr>
                <w:sz w:val="20"/>
                <w:szCs w:val="20"/>
                <w:color w:val="auto"/>
              </w:rPr>
            </w:pPr>
            <w:r>
              <w:rPr>
                <w:rFonts w:ascii="Arial" w:cs="Arial" w:eastAsia="Arial" w:hAnsi="Arial"/>
                <w:sz w:val="14"/>
                <w:szCs w:val="14"/>
                <w:b w:val="1"/>
                <w:bCs w:val="1"/>
                <w:color w:val="auto"/>
              </w:rPr>
              <w:t>Expiration Date</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Deferred Tax Asset</w:t>
            </w: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2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2021-2040</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US States</w:t>
            </w:r>
          </w:p>
        </w:tc>
        <w:tc>
          <w:tcPr>
            <w:tcW w:w="2560" w:type="dxa"/>
            <w:vAlign w:val="bottom"/>
          </w:tcPr>
          <w:p>
            <w:pPr>
              <w:ind w:left="800"/>
              <w:spacing w:after="0"/>
              <w:rPr>
                <w:sz w:val="20"/>
                <w:szCs w:val="20"/>
                <w:color w:val="auto"/>
              </w:rPr>
            </w:pPr>
            <w:r>
              <w:rPr>
                <w:rFonts w:ascii="Arial" w:cs="Arial" w:eastAsia="Arial" w:hAnsi="Arial"/>
                <w:sz w:val="18"/>
                <w:szCs w:val="18"/>
                <w:color w:val="auto"/>
              </w:rPr>
              <w:t>Indefinite</w:t>
            </w:r>
          </w:p>
        </w:tc>
        <w:tc>
          <w:tcPr>
            <w:tcW w:w="48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2022-2040</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Indefinite</w:t>
            </w:r>
          </w:p>
        </w:tc>
        <w:tc>
          <w:tcPr>
            <w:tcW w:w="4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48"/>
        </w:trPr>
        <w:tc>
          <w:tcPr>
            <w:tcW w:w="216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w:t>
            </w:r>
          </w:p>
        </w:tc>
        <w:tc>
          <w:tcPr>
            <w:tcW w:w="4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2020, a valuation allowance of $48.0 million has been recorded to recognize only the portion of the deferred tax assets that are more likely than not to be realized, $42.2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under a special income tax concession in Singapore which began January 1, 2008 and is subject to renewal. Our current five-year income tax concession period began on January 1, 2018 and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tax concession decreased foreign income taxes by $2.4 million, $4.3 million, and zero for 2020, 2019, and 2018 respectively. The impact of the income tax concession on basic earnings per common share was $0.04, $ 0.07, and zero for 2020, 2019, and 2018 respectively. On a diluted earnings per common share basis, the impact was $0.04, $0.06, and zero for 2020, 2019, and 2018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a net increase of $12.2 million of liabilities related to Unrecognized Tax Liabilities and no change in assets related to Unrecognized Tax Assets during 2020. In addition, during 2020, we recorded an increase of $4.0 million to our Unrecognized Tax Liabilities related to a foreign currency translation loss, which is included in Other income (expense), net, in the accompanying Consolidated Statements of Income and Comprehensive Income. As of December 31, 2020, our Unrecognized Tax Liabilities, including penalties and interest, were $99.0 million and our Unrecognized Tax Assets were $25.4 million.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2019, we recorded a net increase of $9.5 million of liabilities related to Unrecognized Tax Liabilities and a net decrease of $4.1 million of assets related to Unrecognized Tax Assets. In addition, during 2019, we recorded an increase of $0.2 million to our Unrecognized Tax Liabilities related to a foreign currency translation loss, which is included in Other income (expense), net, in the accompanying Consolidated Statements of Income and Comprehensive Income. As of December 31, 2019, our Unrecognized Tax Liabilities, including penalties and interest, were $84.0 million and our Unrecognized Tax Assets were $25.5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2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20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2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20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current period</w:t>
            </w:r>
          </w:p>
        </w:tc>
        <w:tc>
          <w:tcPr>
            <w:tcW w:w="20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2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2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our gross Unrecognized Tax Liabilities, net of our Unrecognized Tax Assets of $25.4 million, as of December 31, 2020, are settled by the taxing authorities in our favor or otherwise resolved, our income tax expense would be reduced by $52.7 million (exclusive of interest and penalties) in the period the matter is considered settled or resolved in accordance with Accounting Standards Codification 740. This would have the impact of reducing our 2020 effective income tax rate by 32.8%. As of December 31, 2020, it is possible that approximately $5.4 million of our unrecognized income tax liabilities may decrease within the next twelve months.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$3.1 million, $4.6 million and $1.2 million during 2020, 2019, and 2018, respectively. For penalties, we recorded expense of $0.2 million and income of $0.2 million and $ 1.9 million during 2020, 2019 and 2018, respectively. As of December 31, 2020 and 2019, we had recognized liabilities of $16.2 million and $13.1 million for interest and $4.6 million and $4.4 million for penalties, respectively.</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various tax returns under examination both in the U.S. and foreign jurisdictions. The most significant of these are in Denmark for the 2013 - 2015 tax years, South Korea for the 2011 - 2014 tax years, and the U.S. for 2017 - 2018 tax years. One of our subsidiaries in Denmark has been under audit for its 2013 - 2015 tax years since 2018. In January 2021, we received final tax assessments for the 2013 and 2014 years of approximately $0.6 million (DKK 3.7 million) and $0.8 million (DKK 4.9 million), respectively. We believe these assessments are without merit and are currently appealing the actions. We have not yet received any proposed or final assessments related to the 2015 tax year, which could be materially larger than the previous assessments if a similar methodology is applied. In 2017, the Korean Branch of one of our subsidiaries received income tax assessment notices for $10.4 million (KRW 11.3 billion) from the South Korea tax authorities. We believe that these assessments are without merit and are currently appealing the actions. In addition, in January of 2020, we received a notice of examination from the IRS for the 2017 - 2018 tax years, we continue to respond to information requests. 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material uncertain tax positions: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3640" w:type="dxa"/>
            <w:vAlign w:val="bottom"/>
            <w:tcBorders>
              <w:bottom w:val="single" w:sz="8" w:color="auto"/>
            </w:tcBorders>
            <w:gridSpan w:val="2"/>
          </w:tcPr>
          <w:p>
            <w:pPr>
              <w:jc w:val="right"/>
              <w:ind w:right="1236"/>
              <w:spacing w:after="0"/>
              <w:rPr>
                <w:sz w:val="20"/>
                <w:szCs w:val="20"/>
                <w:color w:val="auto"/>
              </w:rPr>
            </w:pPr>
            <w:r>
              <w:rPr>
                <w:rFonts w:ascii="Arial" w:cs="Arial" w:eastAsia="Arial" w:hAnsi="Arial"/>
                <w:sz w:val="14"/>
                <w:szCs w:val="14"/>
                <w:b w:val="1"/>
                <w:bCs w:val="1"/>
                <w:color w:val="auto"/>
              </w:rPr>
              <w:t>Open Tax Year</w:t>
            </w:r>
          </w:p>
        </w:tc>
        <w:tc>
          <w:tcPr>
            <w:tcW w:w="0" w:type="dxa"/>
            <w:vAlign w:val="bottom"/>
          </w:tcPr>
          <w:p>
            <w:pPr>
              <w:spacing w:after="0"/>
              <w:rPr>
                <w:sz w:val="1"/>
                <w:szCs w:val="1"/>
                <w:color w:val="auto"/>
              </w:rPr>
            </w:pPr>
          </w:p>
        </w:tc>
      </w:tr>
      <w:tr>
        <w:trPr>
          <w:trHeight w:val="142"/>
        </w:trPr>
        <w:tc>
          <w:tcPr>
            <w:tcW w:w="7600" w:type="dxa"/>
            <w:vAlign w:val="bottom"/>
            <w:vMerge w:val="restart"/>
          </w:tcPr>
          <w:p>
            <w:pPr>
              <w:ind w:left="3400"/>
              <w:spacing w:after="0"/>
              <w:rPr>
                <w:sz w:val="20"/>
                <w:szCs w:val="20"/>
                <w:color w:val="auto"/>
              </w:rPr>
            </w:pPr>
            <w:r>
              <w:rPr>
                <w:rFonts w:ascii="Arial" w:cs="Arial" w:eastAsia="Arial" w:hAnsi="Arial"/>
                <w:sz w:val="14"/>
                <w:szCs w:val="14"/>
                <w:b w:val="1"/>
                <w:bCs w:val="1"/>
                <w:color w:val="auto"/>
              </w:rPr>
              <w:t>Jurisdiction</w:t>
            </w:r>
          </w:p>
        </w:tc>
        <w:tc>
          <w:tcPr>
            <w:tcW w:w="1960" w:type="dxa"/>
            <w:vAlign w:val="bottom"/>
          </w:tcPr>
          <w:p>
            <w:pPr>
              <w:jc w:val="right"/>
              <w:ind w:right="578"/>
              <w:spacing w:after="0" w:line="142" w:lineRule="exact"/>
              <w:rPr>
                <w:sz w:val="20"/>
                <w:szCs w:val="20"/>
                <w:color w:val="auto"/>
              </w:rPr>
            </w:pPr>
            <w:r>
              <w:rPr>
                <w:rFonts w:ascii="Arial" w:cs="Arial" w:eastAsia="Arial" w:hAnsi="Arial"/>
                <w:sz w:val="14"/>
                <w:szCs w:val="14"/>
                <w:b w:val="1"/>
                <w:bCs w:val="1"/>
                <w:color w:val="auto"/>
              </w:rPr>
              <w:t>Examination</w:t>
            </w:r>
          </w:p>
        </w:tc>
        <w:tc>
          <w:tcPr>
            <w:tcW w:w="168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Examination not</w:t>
            </w:r>
          </w:p>
        </w:tc>
        <w:tc>
          <w:tcPr>
            <w:tcW w:w="0" w:type="dxa"/>
            <w:vAlign w:val="bottom"/>
          </w:tcPr>
          <w:p>
            <w:pPr>
              <w:spacing w:after="0"/>
              <w:rPr>
                <w:sz w:val="1"/>
                <w:szCs w:val="1"/>
                <w:color w:val="auto"/>
              </w:rPr>
            </w:pPr>
          </w:p>
        </w:tc>
      </w:tr>
      <w:tr>
        <w:trPr>
          <w:trHeight w:val="175"/>
        </w:trPr>
        <w:tc>
          <w:tcPr>
            <w:tcW w:w="76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in progress</w:t>
            </w: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yet initiated</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19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2013 - 2015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2016 - 2020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1960" w:type="dxa"/>
            <w:vAlign w:val="bottom"/>
          </w:tcPr>
          <w:p>
            <w:pPr>
              <w:jc w:val="right"/>
              <w:ind w:right="138"/>
              <w:spacing w:after="0"/>
              <w:rPr>
                <w:sz w:val="20"/>
                <w:szCs w:val="20"/>
                <w:color w:val="auto"/>
              </w:rPr>
            </w:pPr>
            <w:r>
              <w:rPr>
                <w:rFonts w:ascii="Arial" w:cs="Arial" w:eastAsia="Arial" w:hAnsi="Arial"/>
                <w:sz w:val="18"/>
                <w:szCs w:val="18"/>
                <w:color w:val="auto"/>
              </w:rPr>
              <w:t>2011 - 2014</w:t>
            </w:r>
          </w:p>
        </w:tc>
        <w:tc>
          <w:tcPr>
            <w:tcW w:w="1680" w:type="dxa"/>
            <w:vAlign w:val="bottom"/>
          </w:tcPr>
          <w:p>
            <w:pPr>
              <w:jc w:val="right"/>
              <w:spacing w:after="0"/>
              <w:rPr>
                <w:sz w:val="20"/>
                <w:szCs w:val="20"/>
                <w:color w:val="auto"/>
              </w:rPr>
            </w:pPr>
            <w:r>
              <w:rPr>
                <w:rFonts w:ascii="Arial" w:cs="Arial" w:eastAsia="Arial" w:hAnsi="Arial"/>
                <w:sz w:val="18"/>
                <w:szCs w:val="18"/>
                <w:color w:val="auto"/>
              </w:rPr>
              <w:t>2015 - 2020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Greece</w:t>
            </w:r>
          </w:p>
        </w:tc>
        <w:tc>
          <w:tcPr>
            <w:tcW w:w="19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None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2016 - 2020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non-U.S.</w:t>
            </w:r>
          </w:p>
        </w:tc>
        <w:tc>
          <w:tcPr>
            <w:tcW w:w="19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None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2014 - 2020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 short-term maturities of these instruments. The carrying values of our debt and notes receivable approximate fair value since these instruments bear interest either at variable rates or fixed rates which are not significantly different from market rates. Based on the fair value hierarchy, our total debt of $524.7 million and $628.8 million as of December 31, 2020 and 2019, respectively, and our notes receivable of $45.7 million and $21.0 million as of December 31, 2020 and 2019, respectively are categorized in Level 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gross assets and liabilities that are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(in millions):</w:t>
      </w:r>
    </w:p>
    <w:p>
      <w:pPr>
        <w:spacing w:after="0" w:line="25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Fair Value Measurements as of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Borders>
              <w:top w:val="single" w:sz="8" w:color="auto"/>
              <w:bottom w:val="single" w:sz="8" w:color="auto"/>
            </w:tcBorders>
          </w:tcPr>
          <w:p>
            <w:pPr>
              <w:spacing w:after="0"/>
              <w:rPr>
                <w:sz w:val="15"/>
                <w:szCs w:val="15"/>
                <w:color w:val="auto"/>
              </w:rPr>
            </w:pPr>
          </w:p>
        </w:tc>
        <w:tc>
          <w:tcPr>
            <w:tcW w:w="60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Level 1 Inputs</w:t>
            </w:r>
          </w:p>
        </w:tc>
        <w:tc>
          <w:tcPr>
            <w:tcW w:w="1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Total Fair Value</w:t>
            </w:r>
          </w:p>
        </w:tc>
        <w:tc>
          <w:tcPr>
            <w:tcW w:w="20" w:type="dxa"/>
            <w:vAlign w:val="bottom"/>
          </w:tcPr>
          <w:p>
            <w:pPr>
              <w:spacing w:after="0"/>
              <w:rPr>
                <w:sz w:val="15"/>
                <w:szCs w:val="15"/>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233.5</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127.9</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371.0</w:t>
            </w:r>
          </w:p>
        </w:tc>
        <w:tc>
          <w:tcPr>
            <w:tcW w:w="2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29"/>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surrender value of life insurance</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48"/>
        </w:trPr>
        <w:tc>
          <w:tcPr>
            <w:tcW w:w="6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6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223.0</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19"/>
                <w:szCs w:val="19"/>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29"/>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r>
      <w:tr>
        <w:trPr>
          <w:trHeight w:val="248"/>
        </w:trPr>
        <w:tc>
          <w:tcPr>
            <w:tcW w:w="6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6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20" w:type="dxa"/>
            <w:vAlign w:val="bottom"/>
            <w:tcBorders>
              <w:bottom w:val="single" w:sz="8" w:color="auto"/>
            </w:tcBorders>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6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1 Inputs</w:t>
            </w: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Level 2 Inputs</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Level 3 Inputs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 Fair Value</w:t>
            </w:r>
          </w:p>
        </w:tc>
        <w:tc>
          <w:tcPr>
            <w:tcW w:w="20" w:type="dxa"/>
            <w:vAlign w:val="bottom"/>
            <w:tcBorders>
              <w:bottom w:val="single" w:sz="8" w:color="auto"/>
            </w:tcBorders>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Commodities contracts</w:t>
            </w:r>
          </w:p>
        </w:tc>
        <w:tc>
          <w:tcPr>
            <w:tcW w:w="4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148.3</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4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surrender value of life insurance</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4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Commodities contracts</w:t>
            </w:r>
          </w:p>
        </w:tc>
        <w:tc>
          <w:tcPr>
            <w:tcW w:w="4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4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4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commodity contracts measured using Level 3 inputs were not material at December 31, 2020 and 2019, respectively.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within our Consolidated Balance Sheet. We have elected to offset the recognized fair value amounts for multiple derivative instruments executed with the same counterparty in our financial statements when a legal right of offset exists.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Fair Value as of December 31, 2020</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rPr>
              <w:t>Gross Amounts</w:t>
            </w:r>
          </w:p>
        </w:tc>
        <w:tc>
          <w:tcPr>
            <w:tcW w:w="300" w:type="dxa"/>
            <w:vAlign w:val="bottom"/>
          </w:tcPr>
          <w:p>
            <w:pPr>
              <w:spacing w:after="0"/>
              <w:rPr>
                <w:sz w:val="24"/>
                <w:szCs w:val="2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24"/>
                <w:szCs w:val="24"/>
                <w:color w:val="auto"/>
              </w:rPr>
            </w:pPr>
          </w:p>
        </w:tc>
        <w:tc>
          <w:tcPr>
            <w:tcW w:w="11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Amounts</w:t>
            </w:r>
          </w:p>
        </w:tc>
        <w:tc>
          <w:tcPr>
            <w:tcW w:w="3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Cash Collateral</w:t>
            </w:r>
          </w:p>
        </w:tc>
        <w:tc>
          <w:tcPr>
            <w:tcW w:w="14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Without Right of</w:t>
            </w:r>
          </w:p>
        </w:tc>
        <w:tc>
          <w:tcPr>
            <w:tcW w:w="260" w:type="dxa"/>
            <w:vAlign w:val="bottom"/>
          </w:tcPr>
          <w:p>
            <w:pPr>
              <w:spacing w:after="0"/>
              <w:rPr>
                <w:sz w:val="11"/>
                <w:szCs w:val="11"/>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333333"/>
              </w:rPr>
              <w:t>Net Amounts</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Recognized</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Offset</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333333"/>
              </w:rPr>
              <w:t>Presented</w:t>
            </w:r>
          </w:p>
        </w:tc>
        <w:tc>
          <w:tcPr>
            <w:tcW w:w="1440" w:type="dxa"/>
            <w:vAlign w:val="bottom"/>
            <w:tcBorders>
              <w:bottom w:val="single" w:sz="8" w:color="auto"/>
            </w:tcBorders>
            <w:gridSpan w:val="2"/>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rPr>
              <w:t>Offset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371.0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287.1</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83.9</w:t>
            </w:r>
          </w:p>
        </w:tc>
        <w:tc>
          <w:tcPr>
            <w:tcW w:w="6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at fair value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294.6</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83.9</w:t>
            </w: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287.1</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38.9</w:t>
            </w:r>
          </w:p>
        </w:tc>
        <w:tc>
          <w:tcPr>
            <w:tcW w:w="6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Interest rate contract</w:t>
            </w:r>
          </w:p>
        </w:tc>
        <w:tc>
          <w:tcPr>
            <w:tcW w:w="34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12.3</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at fair value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349.5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294.6</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54.9</w:t>
            </w: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Fair Value as of December 31, 2019</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rPr>
              <w:t>Gross Amounts</w:t>
            </w:r>
          </w:p>
        </w:tc>
        <w:tc>
          <w:tcPr>
            <w:tcW w:w="300" w:type="dxa"/>
            <w:vAlign w:val="bottom"/>
          </w:tcPr>
          <w:p>
            <w:pPr>
              <w:spacing w:after="0"/>
              <w:rPr>
                <w:sz w:val="24"/>
                <w:szCs w:val="24"/>
                <w:color w:val="auto"/>
              </w:rPr>
            </w:pPr>
          </w:p>
        </w:tc>
        <w:tc>
          <w:tcPr>
            <w:tcW w:w="940" w:type="dxa"/>
            <w:vAlign w:val="bottom"/>
          </w:tcPr>
          <w:p>
            <w:pPr>
              <w:jc w:val="center"/>
              <w:ind w:right="216"/>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24"/>
                <w:szCs w:val="24"/>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rPr>
              <w:t>Amounts</w:t>
            </w:r>
          </w:p>
        </w:tc>
        <w:tc>
          <w:tcPr>
            <w:tcW w:w="3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Cash Collateral</w:t>
            </w:r>
          </w:p>
        </w:tc>
        <w:tc>
          <w:tcPr>
            <w:tcW w:w="14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Without Right of</w:t>
            </w:r>
          </w:p>
        </w:tc>
        <w:tc>
          <w:tcPr>
            <w:tcW w:w="260" w:type="dxa"/>
            <w:vAlign w:val="bottom"/>
          </w:tcPr>
          <w:p>
            <w:pPr>
              <w:spacing w:after="0"/>
              <w:rPr>
                <w:sz w:val="11"/>
                <w:szCs w:val="11"/>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333333"/>
              </w:rPr>
              <w:t>Net Amounts</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Recognized</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8"/>
              </w:rPr>
              <w:t>Offset</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333333"/>
              </w:rPr>
              <w:t>Presented</w:t>
            </w:r>
          </w:p>
        </w:tc>
        <w:tc>
          <w:tcPr>
            <w:tcW w:w="1440" w:type="dxa"/>
            <w:vAlign w:val="bottom"/>
            <w:tcBorders>
              <w:bottom w:val="single" w:sz="8" w:color="auto"/>
            </w:tcBorders>
            <w:gridSpan w:val="2"/>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98"/>
              </w:rPr>
              <w:t>Offset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130.0</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129.0</w:t>
            </w:r>
          </w:p>
        </w:tc>
        <w:tc>
          <w:tcPr>
            <w:tcW w:w="6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at fair value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261.1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131.1</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130.0</w:t>
            </w: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125.0</w:t>
            </w:r>
          </w:p>
        </w:tc>
        <w:tc>
          <w:tcPr>
            <w:tcW w:w="6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10.5</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266.6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131.1</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135.5</w:t>
            </w:r>
          </w:p>
        </w:tc>
        <w:tc>
          <w:tcPr>
            <w:tcW w:w="6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2020 and 2019, we did not present any amounts gross within our Consolidated Balance Sheet where we had the right of setoff.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It includes the use of cash-call margins when appropriate, thereby reducing the risk of significant nonperformance. At December 31, 2020, none of our OTC counterparties represented over 10% of our total credit exposure to OTC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assets and liabilities that are recorded at fair value on a recurring basis, during the fourth quarter, we measured and recorded at fair value an equity method investment as a result of an other-than-temporary impairment. In calculating fair value, we used a combination of an income and market approach. Under the market approach, we used a selection of global companies that compares with the investment. Under the income approach, we used estimated future cash flows based on information available to us. Due to the significance of unobservable inputs, the measurement is categorized in Level 3. The fair values of nonrecurring assets or liabilities measured using Level 3 inputs were not material at December 31, 2020 and 2019, respectively.</w:t>
      </w:r>
    </w:p>
    <w:p>
      <w:pPr>
        <w:spacing w:after="0" w:line="318" w:lineRule="exact"/>
        <w:rPr>
          <w:sz w:val="20"/>
          <w:szCs w:val="20"/>
          <w:color w:val="auto"/>
        </w:rPr>
      </w:pPr>
    </w:p>
    <w:p>
      <w:pPr>
        <w:ind w:right="5200" w:firstLine="8"/>
        <w:spacing w:after="0" w:line="513" w:lineRule="auto"/>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 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land segment, we offer fuel, lubricants, power and natural gas solutions through World Kinect, our global energy management brand, our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Borders>
              <w:bottom w:val="single" w:sz="8" w:color="auto"/>
            </w:tcBorders>
          </w:tcPr>
          <w:p>
            <w:pPr>
              <w:spacing w:after="0"/>
              <w:rPr>
                <w:sz w:val="16"/>
                <w:szCs w:val="16"/>
                <w:color w:val="auto"/>
              </w:rPr>
            </w:pPr>
          </w:p>
        </w:tc>
      </w:tr>
      <w:tr>
        <w:trPr>
          <w:trHeight w:val="183"/>
        </w:trPr>
        <w:tc>
          <w:tcPr>
            <w:tcW w:w="7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Aviation segment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8,179.6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18,479.5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19,119.7</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6,663.1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10,280.9</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11,381.1</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Marine segment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5,515.7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8,058.5</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9,249.5</w:t>
            </w:r>
          </w:p>
        </w:tc>
      </w:tr>
      <w:tr>
        <w:trPr>
          <w:trHeight w:val="248"/>
        </w:trPr>
        <w:tc>
          <w:tcPr>
            <w:tcW w:w="70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20,358.3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36,819.0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39,750.3</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60" w:type="dxa"/>
            <w:vAlign w:val="bottom"/>
          </w:tcPr>
          <w:p>
            <w:pPr>
              <w:ind w:left="20"/>
              <w:spacing w:after="0" w:line="203"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352.9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551.6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347.6</w:t>
            </w:r>
          </w:p>
        </w:tc>
        <w:tc>
          <w:tcPr>
            <w:tcW w:w="3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378.9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3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151.4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181.5</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23"/>
        </w:trPr>
        <w:tc>
          <w:tcPr>
            <w:tcW w:w="7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851.8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1,112.0</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0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Aviation segment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283.9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55.0</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Marine segment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67.1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7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215.6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406.1</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overhead - unallocated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48"/>
        </w:trPr>
        <w:tc>
          <w:tcPr>
            <w:tcW w:w="70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137.9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299.7</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48.0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segment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70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87.4</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70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51.3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80.9</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$10.3 million, $19.7 million and $17.1 million of restructuring charges for the years ended December 31, 2020, 2019 and 2018, respectively.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88"/>
        </w:trPr>
        <w:tc>
          <w:tcPr>
            <w:tcW w:w="8660" w:type="dxa"/>
            <w:vAlign w:val="bottom"/>
          </w:tcPr>
          <w:p>
            <w:pPr>
              <w:ind w:left="20"/>
              <w:spacing w:after="0" w:line="189" w:lineRule="exact"/>
              <w:rPr>
                <w:sz w:val="20"/>
                <w:szCs w:val="20"/>
                <w:color w:val="auto"/>
              </w:rPr>
            </w:pPr>
            <w:r>
              <w:rPr>
                <w:rFonts w:ascii="Arial" w:cs="Arial" w:eastAsia="Arial" w:hAnsi="Arial"/>
                <w:sz w:val="18"/>
                <w:szCs w:val="18"/>
                <w:color w:val="auto"/>
              </w:rPr>
              <w:t>Aviation segment, net of allowance for credit losses of $41.2 and $14.6 as of December 31, 2020 and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8"/>
                <w:szCs w:val="18"/>
                <w:color w:val="auto"/>
              </w:rPr>
              <w:t>December 31, 2019, respectively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464.7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1,098.2</w:t>
            </w:r>
          </w:p>
        </w:tc>
      </w:tr>
      <w:tr>
        <w:trPr>
          <w:trHeight w:val="188"/>
        </w:trPr>
        <w:tc>
          <w:tcPr>
            <w:tcW w:w="8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Land segment, net of allowance for credit losses of $5.0 and $2.8 as of December 31, 2020 and</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7"/>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 respectively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r>
      <w:tr>
        <w:trPr>
          <w:trHeight w:val="188"/>
        </w:trPr>
        <w:tc>
          <w:tcPr>
            <w:tcW w:w="8660" w:type="dxa"/>
            <w:vAlign w:val="bottom"/>
          </w:tcPr>
          <w:p>
            <w:pPr>
              <w:ind w:left="20"/>
              <w:spacing w:after="0" w:line="189" w:lineRule="exact"/>
              <w:rPr>
                <w:sz w:val="20"/>
                <w:szCs w:val="20"/>
                <w:color w:val="auto"/>
              </w:rPr>
            </w:pPr>
            <w:r>
              <w:rPr>
                <w:rFonts w:ascii="Arial" w:cs="Arial" w:eastAsia="Arial" w:hAnsi="Arial"/>
                <w:sz w:val="18"/>
                <w:szCs w:val="18"/>
                <w:color w:val="auto"/>
              </w:rPr>
              <w:t>Marine segment, net of allowance for credit losses of $7.6 and $18.0 as of December 31, 2020 and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2019, respectively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379.2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r>
      <w:tr>
        <w:trPr>
          <w:trHeight w:val="221"/>
        </w:trPr>
        <w:tc>
          <w:tcPr>
            <w:tcW w:w="8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1,238.4</w:t>
            </w:r>
          </w:p>
        </w:tc>
        <w:tc>
          <w:tcPr>
            <w:tcW w:w="3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2,891.9</w:t>
            </w:r>
          </w:p>
        </w:tc>
      </w:tr>
      <w:tr>
        <w:trPr>
          <w:trHeight w:val="20"/>
        </w:trPr>
        <w:tc>
          <w:tcPr>
            <w:tcW w:w="8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60" w:type="dxa"/>
            <w:vAlign w:val="bottom"/>
          </w:tcPr>
          <w:p>
            <w:pPr>
              <w:ind w:left="20"/>
              <w:spacing w:after="0" w:line="203" w:lineRule="exact"/>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Land segment</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1,459.5</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2,089.4</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667.6</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r>
      <w:tr>
        <w:trPr>
          <w:trHeight w:val="229"/>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583.7</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48"/>
        </w:trPr>
        <w:tc>
          <w:tcPr>
            <w:tcW w:w="86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4,500.3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5,992.4</w:t>
            </w:r>
          </w:p>
        </w:tc>
      </w:tr>
      <w:tr>
        <w:trPr>
          <w:trHeight w:val="20"/>
        </w:trPr>
        <w:tc>
          <w:tcPr>
            <w:tcW w:w="8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6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r>
      <w:tr>
        <w:trPr>
          <w:trHeight w:val="223"/>
        </w:trPr>
        <w:tc>
          <w:tcPr>
            <w:tcW w:w="4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10,365.2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w w:val="99"/>
              </w:rPr>
              <w:t>19,365.2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20,555.5</w:t>
            </w:r>
          </w:p>
        </w:tc>
      </w:tr>
      <w:tr>
        <w:trPr>
          <w:trHeight w:val="229"/>
        </w:trPr>
        <w:tc>
          <w:tcPr>
            <w:tcW w:w="40" w:type="dxa"/>
            <w:vAlign w:val="bottom"/>
          </w:tcPr>
          <w:p>
            <w:pPr>
              <w:spacing w:after="0"/>
              <w:rPr>
                <w:sz w:val="19"/>
                <w:szCs w:val="19"/>
                <w:color w:val="auto"/>
              </w:rPr>
            </w:pPr>
          </w:p>
        </w:tc>
        <w:tc>
          <w:tcPr>
            <w:tcW w:w="6900" w:type="dxa"/>
            <w:vAlign w:val="bottom"/>
            <w:shd w:val="clear" w:color="auto" w:fill="CCEEFF"/>
          </w:tcPr>
          <w:p>
            <w:pPr>
              <w:spacing w:after="0" w:line="230" w:lineRule="exact"/>
              <w:rPr>
                <w:sz w:val="20"/>
                <w:szCs w:val="20"/>
                <w:color w:val="auto"/>
              </w:rPr>
            </w:pPr>
            <w:r>
              <w:rPr>
                <w:rFonts w:ascii="Arial" w:cs="Arial" w:eastAsia="Arial" w:hAnsi="Arial"/>
                <w:sz w:val="26"/>
                <w:szCs w:val="26"/>
                <w:color w:val="auto"/>
                <w:vertAlign w:val="subscript"/>
              </w:rPr>
              <w:t>EMEA</w:t>
            </w:r>
            <w:r>
              <w:rPr>
                <w:rFonts w:ascii="Arial" w:cs="Arial" w:eastAsia="Arial" w:hAnsi="Arial"/>
                <w:sz w:val="10"/>
                <w:szCs w:val="10"/>
                <w:color w:val="auto"/>
              </w:rPr>
              <w:t xml:space="preserve"> (1)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4,961.0</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9,235.1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9,721.9</w:t>
            </w:r>
          </w:p>
        </w:tc>
      </w:tr>
      <w:tr>
        <w:trPr>
          <w:trHeight w:val="230"/>
        </w:trPr>
        <w:tc>
          <w:tcPr>
            <w:tcW w:w="40" w:type="dxa"/>
            <w:vAlign w:val="bottom"/>
          </w:tcPr>
          <w:p>
            <w:pPr>
              <w:spacing w:after="0"/>
              <w:rPr>
                <w:sz w:val="19"/>
                <w:szCs w:val="19"/>
                <w:color w:val="auto"/>
              </w:rPr>
            </w:pPr>
          </w:p>
        </w:tc>
        <w:tc>
          <w:tcPr>
            <w:tcW w:w="6900" w:type="dxa"/>
            <w:vAlign w:val="bottom"/>
          </w:tcPr>
          <w:p>
            <w:pPr>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 (3)</w:t>
            </w: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3,035.6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4,581.1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5,537.2</w:t>
            </w:r>
          </w:p>
        </w:tc>
      </w:tr>
      <w:tr>
        <w:trPr>
          <w:trHeight w:val="230"/>
        </w:trPr>
        <w:tc>
          <w:tcPr>
            <w:tcW w:w="4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Americas, excluding United States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1,996.6</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3,637.6</w:t>
            </w:r>
          </w:p>
        </w:tc>
        <w:tc>
          <w:tcPr>
            <w:tcW w:w="2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r>
      <w:tr>
        <w:trPr>
          <w:trHeight w:val="223"/>
        </w:trPr>
        <w:tc>
          <w:tcPr>
            <w:tcW w:w="40" w:type="dxa"/>
            <w:vAlign w:val="bottom"/>
          </w:tcPr>
          <w:p>
            <w:pPr>
              <w:spacing w:after="0"/>
              <w:rPr>
                <w:sz w:val="19"/>
                <w:szCs w:val="19"/>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20,358.3</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36,819.0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39,750.3</w:t>
            </w:r>
          </w:p>
        </w:tc>
      </w:tr>
      <w:tr>
        <w:trPr>
          <w:trHeight w:val="20"/>
        </w:trPr>
        <w:tc>
          <w:tcPr>
            <w:tcW w:w="4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4"/>
          </w:tcPr>
          <w:p>
            <w:pPr>
              <w:spacing w:after="0" w:line="20" w:lineRule="exact"/>
              <w:rPr>
                <w:sz w:val="1"/>
                <w:szCs w:val="1"/>
                <w:color w:val="auto"/>
              </w:rPr>
            </w:pPr>
          </w:p>
        </w:tc>
      </w:tr>
      <w:tr>
        <w:trPr>
          <w:trHeight w:val="399"/>
        </w:trPr>
        <w:tc>
          <w:tcPr>
            <w:tcW w:w="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40" w:type="dxa"/>
            <w:vAlign w:val="bottom"/>
            <w:tcBorders>
              <w:bottom w:val="single" w:sz="8" w:color="auto"/>
            </w:tcBorders>
          </w:tcPr>
          <w:p>
            <w:pPr>
              <w:spacing w:after="0"/>
              <w:rPr>
                <w:sz w:val="15"/>
                <w:szCs w:val="15"/>
                <w:color w:val="auto"/>
              </w:rPr>
            </w:pPr>
          </w:p>
        </w:tc>
        <w:tc>
          <w:tcPr>
            <w:tcW w:w="6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177.6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Americas, excluding United States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342.6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revenue related to the U.K. of $3.1 billion, $5.5 billion and $6.3 billion for 2020, 2019 and 2018, respectively.</w:t>
      </w:r>
    </w:p>
    <w:p>
      <w:pPr>
        <w:spacing w:after="0" w:line="244" w:lineRule="exact"/>
        <w:rPr>
          <w:rFonts w:ascii="Arial" w:cs="Arial" w:eastAsia="Arial" w:hAnsi="Arial"/>
          <w:sz w:val="14"/>
          <w:szCs w:val="14"/>
          <w:color w:val="auto"/>
        </w:rPr>
      </w:pP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revenue related to Singapore of $3.0 billion, $4.5 billion and $5.4 billion for 2020, 2019 and 2018, respectively.</w:t>
      </w:r>
    </w:p>
    <w:p>
      <w:pPr>
        <w:spacing w:after="0" w:line="244" w:lineRule="exact"/>
        <w:rPr>
          <w:rFonts w:ascii="Arial" w:cs="Arial" w:eastAsia="Arial" w:hAnsi="Arial"/>
          <w:sz w:val="14"/>
          <w:szCs w:val="14"/>
          <w:color w:val="auto"/>
        </w:rPr>
      </w:pPr>
    </w:p>
    <w:p>
      <w:pPr>
        <w:ind w:left="660" w:hanging="652"/>
        <w:spacing w:after="0" w:line="258" w:lineRule="auto"/>
        <w:tabs>
          <w:tab w:leader="none" w:pos="6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Geographic revenue information in this table includes impacts from derivatives and hedging activities, which are excluded from that geographic revenue information presented at "Note 14.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from Contracts with Customers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with customers, which are mainly master sales agreements in combination with different types of nominations or standalone agreements, primarily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collections. Our billing and payment terms generally include monthly invoicing for the prior month's activities with average payment terms of one to three months. We have elected not to adjust the contract consideration for the effect of a significant financing component for any contract in which the period between when the Company transfers the promises in the contract and when the customer pays is a year or less. However, since our contracts have relatively short payment terms, they do not typically result in the provision of significant financing.</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our customers obtain control of the fuel, which is typically upon delivery of each promised gallon or barrel to an agreed-upon delivery point. We have determined that each gallon or barrel represents a separate performance obligation, and revenue is recognized at the point in time when control of each gallon or barrel transfer to our customer. We may also incur costs for the transportation of products to the delivery points. Reimbursements of such costs are normally included in the transaction price. In the limited cases, when we coordinate shipping and handling activities after our customer obtains control of goods or services, we have elected to account for these shipping and handling costs as activities to fulfill the promise to transfer the goods.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may contain fixed or variable pricing (such as market or index-based pricing) or some combination of those.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earn a minor amount of revenue from contracts to provide services, including energy procurement advisory services, international trip planning support, and transaction and payment management processing, which typically represent a single performance obligation for the series of daily services. We generally recognize revenue over the contract period when services have been performed based on our right to invoice for those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and by segment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3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For the Year Ended December 31,</w:t>
            </w:r>
          </w:p>
        </w:tc>
      </w:tr>
      <w:tr>
        <w:trPr>
          <w:trHeight w:val="189"/>
        </w:trPr>
        <w:tc>
          <w:tcPr>
            <w:tcW w:w="5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183"/>
        </w:trPr>
        <w:tc>
          <w:tcPr>
            <w:tcW w:w="5120" w:type="dxa"/>
            <w:vAlign w:val="bottom"/>
          </w:tcPr>
          <w:p>
            <w:pPr>
              <w:ind w:left="20"/>
              <w:spacing w:after="0"/>
              <w:rPr>
                <w:sz w:val="20"/>
                <w:szCs w:val="20"/>
                <w:color w:val="auto"/>
              </w:rPr>
            </w:pPr>
            <w:r>
              <w:rPr>
                <w:rFonts w:ascii="Arial" w:cs="Arial" w:eastAsia="Arial" w:hAnsi="Arial"/>
                <w:sz w:val="14"/>
                <w:szCs w:val="14"/>
                <w:color w:val="auto"/>
              </w:rPr>
              <w:t>Aviation</w:t>
            </w:r>
          </w:p>
        </w:tc>
        <w:tc>
          <w:tcPr>
            <w:tcW w:w="2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542.1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1,410.2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1,564.6</w:t>
            </w: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7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Marine</w:t>
            </w:r>
          </w:p>
        </w:tc>
        <w:tc>
          <w:tcPr>
            <w:tcW w:w="2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2,436.8</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2,929.2</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3,552.1</w:t>
            </w:r>
          </w:p>
        </w:tc>
      </w:tr>
      <w:tr>
        <w:trPr>
          <w:trHeight w:val="183"/>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Asia Pacific</w:t>
            </w:r>
          </w:p>
        </w:tc>
        <w:tc>
          <w:tcPr>
            <w:tcW w:w="27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2,989.4</w:t>
            </w: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4,357.7</w:t>
            </w: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5,120.1</w:t>
            </w:r>
          </w:p>
        </w:tc>
      </w:tr>
      <w:tr>
        <w:trPr>
          <w:trHeight w:val="196"/>
        </w:trPr>
        <w:tc>
          <w:tcPr>
            <w:tcW w:w="5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27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1,403.4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3,824.3</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3,641.4</w:t>
            </w: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Land</w:t>
            </w:r>
          </w:p>
        </w:tc>
        <w:tc>
          <w:tcPr>
            <w:tcW w:w="27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1,744.5</w:t>
            </w:r>
          </w:p>
        </w:tc>
        <w:tc>
          <w:tcPr>
            <w:tcW w:w="3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2,425.4</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2,563.6</w:t>
            </w:r>
          </w:p>
        </w:tc>
      </w:tr>
      <w:tr>
        <w:trPr>
          <w:trHeight w:val="18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27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1,630.8</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2,739.1</w:t>
            </w: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3,148.3</w:t>
            </w:r>
          </w:p>
        </w:tc>
      </w:tr>
      <w:tr>
        <w:trPr>
          <w:trHeight w:val="18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EMEA</w:t>
            </w:r>
          </w:p>
        </w:tc>
        <w:tc>
          <w:tcPr>
            <w:tcW w:w="2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4,778.7</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8,988.9</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9,353.4</w:t>
            </w:r>
          </w:p>
        </w:tc>
      </w:tr>
      <w:tr>
        <w:trPr>
          <w:trHeight w:val="196"/>
        </w:trPr>
        <w:tc>
          <w:tcPr>
            <w:tcW w:w="5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Aviation</w:t>
            </w:r>
          </w:p>
        </w:tc>
        <w:tc>
          <w:tcPr>
            <w:tcW w:w="27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1,069.9</w:t>
            </w:r>
          </w:p>
        </w:tc>
        <w:tc>
          <w:tcPr>
            <w:tcW w:w="3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2,347.1</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1,931.6</w:t>
            </w: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7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440.1</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612.4</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r>
      <w:tr>
        <w:trPr>
          <w:trHeight w:val="18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Marine</w:t>
            </w:r>
          </w:p>
        </w:tc>
        <w:tc>
          <w:tcPr>
            <w:tcW w:w="2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678.1</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610.2</w:t>
            </w:r>
          </w:p>
        </w:tc>
      </w:tr>
      <w:tr>
        <w:trPr>
          <w:trHeight w:val="183"/>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LATAM</w:t>
            </w:r>
          </w:p>
        </w:tc>
        <w:tc>
          <w:tcPr>
            <w:tcW w:w="27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1,993.5</w:t>
            </w: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3,637.7</w:t>
            </w: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3,173.6</w:t>
            </w:r>
          </w:p>
        </w:tc>
      </w:tr>
      <w:tr>
        <w:trPr>
          <w:trHeight w:val="196"/>
        </w:trPr>
        <w:tc>
          <w:tcPr>
            <w:tcW w:w="5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27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4,618.4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10,933.0</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12,025.7</w:t>
            </w: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Land</w:t>
            </w:r>
          </w:p>
        </w:tc>
        <w:tc>
          <w:tcPr>
            <w:tcW w:w="27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4,359.6</w:t>
            </w:r>
          </w:p>
        </w:tc>
        <w:tc>
          <w:tcPr>
            <w:tcW w:w="3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7,017.0</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8,038.0</w:t>
            </w:r>
          </w:p>
        </w:tc>
      </w:tr>
      <w:tr>
        <w:trPr>
          <w:trHeight w:val="18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27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851.6</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1,415.2</w:t>
            </w: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1,480.5</w:t>
            </w:r>
          </w:p>
        </w:tc>
      </w:tr>
      <w:tr>
        <w:trPr>
          <w:trHeight w:val="18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North America</w:t>
            </w:r>
          </w:p>
        </w:tc>
        <w:tc>
          <w:tcPr>
            <w:tcW w:w="2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9,829.6</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19,365.1</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21,544.2</w:t>
            </w:r>
          </w:p>
        </w:tc>
      </w:tr>
      <w:tr>
        <w:trPr>
          <w:trHeight w:val="196"/>
        </w:trPr>
        <w:tc>
          <w:tcPr>
            <w:tcW w:w="5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4"/>
                <w:szCs w:val="14"/>
                <w:color w:val="auto"/>
              </w:rPr>
              <w:t>Other revenues (excluded from ASC 606)</w:t>
            </w:r>
          </w:p>
        </w:tc>
        <w:tc>
          <w:tcPr>
            <w:tcW w:w="27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767.1</w:t>
            </w:r>
          </w:p>
        </w:tc>
        <w:tc>
          <w:tcPr>
            <w:tcW w:w="3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469.6</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559.0</w:t>
            </w:r>
          </w:p>
        </w:tc>
      </w:tr>
      <w:tr>
        <w:trPr>
          <w:trHeight w:val="216"/>
        </w:trPr>
        <w:tc>
          <w:tcPr>
            <w:tcW w:w="512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183"/>
        </w:trPr>
        <w:tc>
          <w:tcPr>
            <w:tcW w:w="5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20,358.3</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36,819.0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39,750.3</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revenues (excluded from ASC 606) in the table above includes revenue from leases and other transactions that we account for following separate guidance.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as of December 31, 2020 and 2019, the contract assets and contracts liabilities recognized by the Company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2020 and 2019, we recognized the following total lease cost related to our lease arrangements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2019</w:t>
            </w: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3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89"/>
        </w:trPr>
        <w:tc>
          <w:tcPr>
            <w:tcW w:w="4340" w:type="dxa"/>
            <w:vAlign w:val="bottom"/>
          </w:tcPr>
          <w:p>
            <w:pPr>
              <w:ind w:left="140"/>
              <w:spacing w:after="0"/>
              <w:rPr>
                <w:sz w:val="20"/>
                <w:szCs w:val="20"/>
                <w:color w:val="auto"/>
              </w:rPr>
            </w:pPr>
            <w:r>
              <w:rPr>
                <w:rFonts w:ascii="Arial" w:cs="Arial" w:eastAsia="Arial" w:hAnsi="Arial"/>
                <w:sz w:val="14"/>
                <w:szCs w:val="14"/>
                <w:color w:val="auto"/>
              </w:rPr>
              <w:t>Amortization of right-of-use assets</w:t>
            </w:r>
          </w:p>
        </w:tc>
        <w:tc>
          <w:tcPr>
            <w:tcW w:w="3680" w:type="dxa"/>
            <w:vAlign w:val="bottom"/>
          </w:tcPr>
          <w:p>
            <w:pPr>
              <w:jc w:val="right"/>
              <w:ind w:right="15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9"/>
        </w:trPr>
        <w:tc>
          <w:tcPr>
            <w:tcW w:w="4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36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w:t>
            </w:r>
          </w:p>
        </w:tc>
        <w:tc>
          <w:tcPr>
            <w:tcW w:w="64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36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45.6</w:t>
            </w:r>
          </w:p>
        </w:tc>
        <w:tc>
          <w:tcPr>
            <w:tcW w:w="6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36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25.5</w:t>
            </w:r>
          </w:p>
        </w:tc>
        <w:tc>
          <w:tcPr>
            <w:tcW w:w="64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36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6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36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64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83"/>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lease cost</w:t>
            </w:r>
          </w:p>
        </w:tc>
        <w:tc>
          <w:tcPr>
            <w:tcW w:w="36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76.8</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incurred rental expense for all properties and equipment of $48.7 million for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remaining lease payments were as follows (in millions):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34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2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5340" w:type="dxa"/>
            <w:vAlign w:val="bottom"/>
          </w:tcPr>
          <w:p>
            <w:pPr>
              <w:spacing w:after="0"/>
              <w:rPr>
                <w:sz w:val="20"/>
                <w:szCs w:val="20"/>
                <w:color w:val="auto"/>
              </w:rPr>
            </w:pPr>
            <w:r>
              <w:rPr>
                <w:rFonts w:ascii="Arial" w:cs="Arial" w:eastAsia="Arial" w:hAnsi="Arial"/>
                <w:sz w:val="14"/>
                <w:szCs w:val="14"/>
                <w:color w:val="auto"/>
              </w:rPr>
              <w:t>2022</w:t>
            </w:r>
          </w:p>
        </w:tc>
        <w:tc>
          <w:tcPr>
            <w:tcW w:w="2500" w:type="dxa"/>
            <w:vAlign w:val="bottom"/>
          </w:tcPr>
          <w:p>
            <w:pPr>
              <w:spacing w:after="0"/>
              <w:rPr>
                <w:sz w:val="16"/>
                <w:szCs w:val="16"/>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25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5340" w:type="dxa"/>
            <w:vAlign w:val="bottom"/>
          </w:tcPr>
          <w:p>
            <w:pPr>
              <w:spacing w:after="0"/>
              <w:rPr>
                <w:sz w:val="20"/>
                <w:szCs w:val="20"/>
                <w:color w:val="auto"/>
              </w:rPr>
            </w:pPr>
            <w:r>
              <w:rPr>
                <w:rFonts w:ascii="Arial" w:cs="Arial" w:eastAsia="Arial" w:hAnsi="Arial"/>
                <w:sz w:val="14"/>
                <w:szCs w:val="14"/>
                <w:color w:val="auto"/>
              </w:rPr>
              <w:t>2024</w:t>
            </w:r>
          </w:p>
        </w:tc>
        <w:tc>
          <w:tcPr>
            <w:tcW w:w="2500" w:type="dxa"/>
            <w:vAlign w:val="bottom"/>
          </w:tcPr>
          <w:p>
            <w:pPr>
              <w:spacing w:after="0"/>
              <w:rPr>
                <w:sz w:val="16"/>
                <w:szCs w:val="16"/>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25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2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Total remaining lease payments (undiscounted)</w:t>
            </w: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192.5</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89"/>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imputed interest</w:t>
            </w:r>
          </w:p>
        </w:tc>
        <w:tc>
          <w:tcPr>
            <w:tcW w:w="2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34.9</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Present value of lease liabilities</w:t>
            </w:r>
          </w:p>
        </w:tc>
        <w:tc>
          <w:tcPr>
            <w:tcW w:w="2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Borders>
              <w:bottom w:val="single" w:sz="8" w:color="CCEEFF"/>
            </w:tcBorders>
          </w:tcPr>
          <w:p>
            <w:pPr>
              <w:spacing w:after="0"/>
              <w:rPr>
                <w:sz w:val="16"/>
                <w:szCs w:val="16"/>
                <w:color w:val="auto"/>
              </w:rPr>
            </w:pPr>
          </w:p>
        </w:tc>
        <w:tc>
          <w:tcPr>
            <w:tcW w:w="40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Classification</w:t>
            </w:r>
          </w:p>
        </w:tc>
        <w:tc>
          <w:tcPr>
            <w:tcW w:w="25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333333"/>
              </w:rPr>
              <w:t>As of December 31, 2020</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333333"/>
              </w:rPr>
              <w:t>As of December 31, 2019</w:t>
            </w:r>
          </w:p>
        </w:tc>
      </w:tr>
      <w:tr>
        <w:trPr>
          <w:trHeight w:val="169"/>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0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4020" w:type="dxa"/>
            <w:vAlign w:val="bottom"/>
          </w:tcPr>
          <w:p>
            <w:pPr>
              <w:ind w:left="20"/>
              <w:spacing w:after="0"/>
              <w:rPr>
                <w:sz w:val="20"/>
                <w:szCs w:val="20"/>
                <w:color w:val="auto"/>
              </w:rPr>
            </w:pPr>
            <w:r>
              <w:rPr>
                <w:rFonts w:ascii="Arial" w:cs="Arial" w:eastAsia="Arial" w:hAnsi="Arial"/>
                <w:sz w:val="14"/>
                <w:szCs w:val="14"/>
                <w:color w:val="auto"/>
              </w:rPr>
              <w:t>Identifiable intangible and other non-current assets</w:t>
            </w:r>
          </w:p>
        </w:tc>
        <w:tc>
          <w:tcPr>
            <w:tcW w:w="1480" w:type="dxa"/>
            <w:vAlign w:val="bottom"/>
          </w:tcPr>
          <w:p>
            <w:pPr>
              <w:ind w:left="7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780" w:type="dxa"/>
            <w:vAlign w:val="bottom"/>
          </w:tcPr>
          <w:p>
            <w:pPr>
              <w:ind w:lef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153.7</w:t>
            </w:r>
          </w:p>
        </w:tc>
      </w:tr>
      <w:tr>
        <w:trPr>
          <w:trHeight w:val="214"/>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Finance Lease Assets</w:t>
            </w:r>
          </w:p>
        </w:tc>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7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0"/>
        </w:trPr>
        <w:tc>
          <w:tcPr>
            <w:tcW w:w="284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8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40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Operating Lease Liability - Current</w:t>
            </w:r>
          </w:p>
        </w:tc>
        <w:tc>
          <w:tcPr>
            <w:tcW w:w="402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4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7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 Long Term</w:t>
            </w:r>
          </w:p>
        </w:tc>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c>
          <w:tcPr>
            <w:tcW w:w="7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Finance Lease Liability - Current</w:t>
            </w:r>
          </w:p>
        </w:tc>
        <w:tc>
          <w:tcPr>
            <w:tcW w:w="4020" w:type="dxa"/>
            <w:vAlign w:val="bottom"/>
          </w:tcPr>
          <w:p>
            <w:pPr>
              <w:ind w:left="20"/>
              <w:spacing w:after="0"/>
              <w:rPr>
                <w:sz w:val="20"/>
                <w:szCs w:val="20"/>
                <w:color w:val="auto"/>
              </w:rPr>
            </w:pPr>
            <w:r>
              <w:rPr>
                <w:rFonts w:ascii="Arial" w:cs="Arial" w:eastAsia="Arial" w:hAnsi="Arial"/>
                <w:sz w:val="14"/>
                <w:szCs w:val="14"/>
                <w:color w:val="auto"/>
              </w:rPr>
              <w:t>Current maturities of long-term debt</w:t>
            </w:r>
          </w:p>
        </w:tc>
        <w:tc>
          <w:tcPr>
            <w:tcW w:w="14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7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14"/>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Finance Lease Liability - Long Term</w:t>
            </w:r>
          </w:p>
        </w:tc>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4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7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20"/>
        </w:trPr>
        <w:tc>
          <w:tcPr>
            <w:tcW w:w="284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for the twelve months ended December 31, 2020 and 2019:</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8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 - finance leases</w:t>
            </w: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r>
      <w:tr>
        <w:trPr>
          <w:trHeight w:val="189"/>
        </w:trPr>
        <w:tc>
          <w:tcPr>
            <w:tcW w:w="6800" w:type="dxa"/>
            <w:vAlign w:val="bottom"/>
          </w:tcPr>
          <w:p>
            <w:pPr>
              <w:ind w:left="20"/>
              <w:spacing w:after="0"/>
              <w:rPr>
                <w:sz w:val="20"/>
                <w:szCs w:val="20"/>
                <w:color w:val="auto"/>
              </w:rPr>
            </w:pPr>
            <w:r>
              <w:rPr>
                <w:rFonts w:ascii="Arial" w:cs="Arial" w:eastAsia="Arial" w:hAnsi="Arial"/>
                <w:sz w:val="14"/>
                <w:szCs w:val="14"/>
                <w:color w:val="auto"/>
              </w:rPr>
              <w:t>Weighted-average remaining lease term (years) - operating leases</w:t>
            </w:r>
          </w:p>
        </w:tc>
        <w:tc>
          <w:tcPr>
            <w:tcW w:w="1980" w:type="dxa"/>
            <w:vAlign w:val="bottom"/>
          </w:tcPr>
          <w:p>
            <w:pPr>
              <w:spacing w:after="0"/>
              <w:rPr>
                <w:sz w:val="16"/>
                <w:szCs w:val="16"/>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46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6.5</w:t>
            </w:r>
          </w:p>
        </w:tc>
      </w:tr>
      <w:tr>
        <w:trPr>
          <w:trHeight w:val="189"/>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discount rate - finance leases</w:t>
            </w:r>
          </w:p>
        </w:tc>
        <w:tc>
          <w:tcPr>
            <w:tcW w:w="19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4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6800" w:type="dxa"/>
            <w:vAlign w:val="bottom"/>
          </w:tcPr>
          <w:p>
            <w:pPr>
              <w:ind w:left="20"/>
              <w:spacing w:after="0"/>
              <w:rPr>
                <w:sz w:val="20"/>
                <w:szCs w:val="20"/>
                <w:color w:val="auto"/>
              </w:rPr>
            </w:pPr>
            <w:r>
              <w:rPr>
                <w:rFonts w:ascii="Arial" w:cs="Arial" w:eastAsia="Arial" w:hAnsi="Arial"/>
                <w:sz w:val="14"/>
                <w:szCs w:val="14"/>
                <w:color w:val="auto"/>
              </w:rPr>
              <w:t>Weighted-average discount rate - operating leases</w:t>
            </w:r>
          </w:p>
        </w:tc>
        <w:tc>
          <w:tcPr>
            <w:tcW w:w="19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 (in millions):</w:t>
            </w:r>
          </w:p>
        </w:tc>
        <w:tc>
          <w:tcPr>
            <w:tcW w:w="1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6800" w:type="dxa"/>
            <w:vAlign w:val="bottom"/>
          </w:tcPr>
          <w:p>
            <w:pPr>
              <w:ind w:left="120"/>
              <w:spacing w:after="0"/>
              <w:rPr>
                <w:sz w:val="20"/>
                <w:szCs w:val="20"/>
                <w:color w:val="auto"/>
              </w:rPr>
            </w:pPr>
            <w:r>
              <w:rPr>
                <w:rFonts w:ascii="Arial" w:cs="Arial" w:eastAsia="Arial" w:hAnsi="Arial"/>
                <w:sz w:val="14"/>
                <w:szCs w:val="14"/>
                <w:color w:val="auto"/>
              </w:rPr>
              <w:t>Operating cash flows from finance leases</w:t>
            </w:r>
          </w:p>
        </w:tc>
        <w:tc>
          <w:tcPr>
            <w:tcW w:w="198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0.6</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0.5</w:t>
            </w:r>
          </w:p>
        </w:tc>
      </w:tr>
      <w:tr>
        <w:trPr>
          <w:trHeight w:val="189"/>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cash flows from operating leases</w:t>
            </w:r>
          </w:p>
        </w:tc>
        <w:tc>
          <w:tcPr>
            <w:tcW w:w="198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49.9</w:t>
            </w:r>
          </w:p>
        </w:tc>
        <w:tc>
          <w:tcPr>
            <w:tcW w:w="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52.9</w:t>
            </w:r>
          </w:p>
        </w:tc>
      </w:tr>
      <w:tr>
        <w:trPr>
          <w:trHeight w:val="189"/>
        </w:trPr>
        <w:tc>
          <w:tcPr>
            <w:tcW w:w="6800" w:type="dxa"/>
            <w:vAlign w:val="bottom"/>
          </w:tcPr>
          <w:p>
            <w:pPr>
              <w:ind w:left="120"/>
              <w:spacing w:after="0"/>
              <w:rPr>
                <w:sz w:val="20"/>
                <w:szCs w:val="20"/>
                <w:color w:val="auto"/>
              </w:rPr>
            </w:pPr>
            <w:r>
              <w:rPr>
                <w:rFonts w:ascii="Arial" w:cs="Arial" w:eastAsia="Arial" w:hAnsi="Arial"/>
                <w:sz w:val="14"/>
                <w:szCs w:val="14"/>
                <w:color w:val="auto"/>
              </w:rPr>
              <w:t>Financing cash flows from finance leases</w:t>
            </w:r>
          </w:p>
        </w:tc>
        <w:tc>
          <w:tcPr>
            <w:tcW w:w="198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4.0</w:t>
            </w:r>
          </w:p>
        </w:tc>
      </w:tr>
      <w:tr>
        <w:trPr>
          <w:trHeight w:val="189"/>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assets obtained in exchange for new operating lease liability (noncash in millions)</w:t>
            </w:r>
          </w:p>
        </w:tc>
        <w:tc>
          <w:tcPr>
            <w:tcW w:w="198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38.9</w:t>
            </w:r>
          </w:p>
        </w:tc>
        <w:tc>
          <w:tcPr>
            <w:tcW w:w="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30.2</w:t>
            </w:r>
          </w:p>
        </w:tc>
      </w:tr>
      <w:tr>
        <w:trPr>
          <w:trHeight w:val="18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Right of use assets obtained in exchange for new finance lease liability (noncash in millions)</w:t>
            </w:r>
          </w:p>
        </w:tc>
        <w:tc>
          <w:tcPr>
            <w:tcW w:w="19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Common Share</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178.9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4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2"/>
        </w:trPr>
        <w:tc>
          <w:tcPr>
            <w:tcW w:w="7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securities which are not included in the calculation of diluted earnings per</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5"/>
        </w:trPr>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 because their impact is anti-dilutive or their performance conditions have not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2"/>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been met</w:t>
            </w: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4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1.72</w:t>
            </w:r>
          </w:p>
        </w:tc>
        <w:tc>
          <w:tcPr>
            <w:tcW w:w="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2.71</w:t>
            </w:r>
          </w:p>
        </w:tc>
        <w:tc>
          <w:tcPr>
            <w:tcW w:w="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Summary Quarterly Information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2020 and 2019 (in millions, except earnings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tcPr>
          <w:p>
            <w:pPr>
              <w:jc w:val="center"/>
              <w:ind w:right="215"/>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6"/>
                <w:szCs w:val="16"/>
                <w:color w:val="auto"/>
              </w:rPr>
            </w:pPr>
          </w:p>
        </w:tc>
        <w:tc>
          <w:tcPr>
            <w:tcW w:w="1280" w:type="dxa"/>
            <w:vAlign w:val="bottom"/>
          </w:tcPr>
          <w:p>
            <w:pPr>
              <w:jc w:val="center"/>
              <w:ind w:right="25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8,015.2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4,482.7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4,702.1</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258.7</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213.9</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214.0</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165.2</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82.4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 (loss) attributable to World Fuel</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41.4</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82.0</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Basic earnings (loss) per common share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0.64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 xml:space="preserve">Diluted earnings (loss) per common share </w:t>
            </w:r>
            <w:r>
              <w:rPr>
                <w:rFonts w:ascii="Arial" w:cs="Arial" w:eastAsia="Arial" w:hAnsi="Arial"/>
                <w:sz w:val="23"/>
                <w:szCs w:val="23"/>
                <w:color w:val="auto"/>
                <w:vertAlign w:val="superscript"/>
              </w:rPr>
              <w:t>(1)</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0.63</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1.29</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center"/>
              <w:ind w:right="215"/>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8"/>
                <w:szCs w:val="18"/>
                <w:color w:val="auto"/>
              </w:rPr>
            </w:pPr>
          </w:p>
        </w:tc>
        <w:tc>
          <w:tcPr>
            <w:tcW w:w="1280" w:type="dxa"/>
            <w:vAlign w:val="bottom"/>
          </w:tcPr>
          <w:p>
            <w:pPr>
              <w:jc w:val="center"/>
              <w:ind w:right="25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8"/>
                <w:szCs w:val="18"/>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8"/>
                <w:szCs w:val="18"/>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2019</w:t>
            </w: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8,678.8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9,459.4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9,322.7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9,358.1</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251.1</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268.6</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305.7</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286.6</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9"/>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 attributable to World Fuel</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37.0</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48.2</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0.55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0.74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23"/>
                <w:szCs w:val="23"/>
                <w:color w:val="auto"/>
                <w:vertAlign w:val="superscript"/>
              </w:rPr>
              <w:t>(1)</w:t>
            </w: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0.55</w:t>
            </w:r>
          </w:p>
        </w:tc>
        <w:tc>
          <w:tcPr>
            <w:tcW w:w="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0.55</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0.73</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firstLine="71"/>
        <w:spacing w:after="0" w:line="228" w:lineRule="auto"/>
        <w:tabs>
          <w:tab w:leader="none" w:pos="23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Basic and diluted earnings (loss)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include the voluntary, summary information required by Form 10-K under this Item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26,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127"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26,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and Accounting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7"/>
                <w:szCs w:val="17"/>
                <w:color w:val="auto"/>
              </w:rPr>
            </w:pPr>
          </w:p>
        </w:tc>
      </w:tr>
      <w:tr>
        <w:trPr>
          <w:trHeight w:val="3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40"/>
          </w:cols>
          <w:pgMar w:left="320" w:top="14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STOCK-SETTLED STOCK APPRECIATION RIGHT AGREEMENT</w:t>
      </w:r>
    </w:p>
    <w:p>
      <w:pPr>
        <w:spacing w:after="0" w:line="202" w:lineRule="exact"/>
        <w:rPr>
          <w:sz w:val="20"/>
          <w:szCs w:val="20"/>
          <w:color w:val="auto"/>
        </w:rPr>
      </w:pPr>
    </w:p>
    <w:p>
      <w:pPr>
        <w:jc w:val="both"/>
        <w:ind w:firstLine="656"/>
        <w:spacing w:after="0" w:line="242" w:lineRule="auto"/>
        <w:tabs>
          <w:tab w:leader="none" w:pos="1232"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Grant of SSARs</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to [●]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 March [●], 20[●]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 performance-based stock settled stock appreciation rights (the “</w:t>
      </w:r>
      <w:r>
        <w:rPr>
          <w:rFonts w:ascii="Arial" w:cs="Arial" w:eastAsia="Arial" w:hAnsi="Arial"/>
          <w:sz w:val="20"/>
          <w:szCs w:val="20"/>
          <w:b w:val="1"/>
          <w:bCs w:val="1"/>
          <w:i w:val="1"/>
          <w:iCs w:val="1"/>
          <w:color w:val="auto"/>
        </w:rPr>
        <w:t>SSARs</w:t>
      </w:r>
      <w:r>
        <w:rPr>
          <w:rFonts w:ascii="Arial" w:cs="Arial" w:eastAsia="Arial" w:hAnsi="Arial"/>
          <w:sz w:val="20"/>
          <w:szCs w:val="20"/>
          <w:color w:val="auto"/>
        </w:rPr>
        <w:t>”). The SSARs have been granted under the Company’s 2016 Omnibus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the SSARs shall be subject to the terms, provisions and restrictions set forth in this Agreement and the Plan. The SSARs entitle the Participant to convert the SSARs into, and to receive, shares of common stock of the Company, $0.01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aggregate Fair Market Value of which is equal to the product of: (A) the number of SSARs granted pursuant to this Agreement and that become vested pursuant to Section 3 hereof, multiplied by (B) the excess of (i) the Fair Market Value of one share of the Common Stock on the date or dates upon which the Participant converts the vested SSARs to Common Stock, over (ii) the Conversion Price. As a condition to entering into this Agreement, and as a condition to the issuance of any shares of Common Stock (or any other securities of the Company), the Participant agrees to be bound by all of the terms and conditions set forth in this Agreement and in the Plan.</w:t>
      </w:r>
    </w:p>
    <w:p>
      <w:pPr>
        <w:spacing w:after="0" w:line="186" w:lineRule="exact"/>
        <w:rPr>
          <w:rFonts w:ascii="Arial" w:cs="Arial" w:eastAsia="Arial" w:hAnsi="Arial"/>
          <w:sz w:val="20"/>
          <w:szCs w:val="20"/>
          <w:color w:val="auto"/>
        </w:rPr>
      </w:pPr>
    </w:p>
    <w:p>
      <w:pPr>
        <w:jc w:val="both"/>
        <w:ind w:firstLine="656"/>
        <w:spacing w:after="0" w:line="241" w:lineRule="auto"/>
        <w:tabs>
          <w:tab w:leader="none" w:pos="1273"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 Notwithstanding the foregoing, the definitions of “Cause”, “Disability” and “Good Reason” shall have the meanings set forth in the Employment Arrangement (as defined below).</w:t>
      </w:r>
    </w:p>
    <w:p>
      <w:pPr>
        <w:spacing w:after="0" w:line="172" w:lineRule="exact"/>
        <w:rPr>
          <w:rFonts w:ascii="Arial" w:cs="Arial" w:eastAsia="Arial" w:hAnsi="Arial"/>
          <w:sz w:val="20"/>
          <w:szCs w:val="20"/>
          <w:color w:val="auto"/>
        </w:rPr>
      </w:pPr>
    </w:p>
    <w:p>
      <w:pPr>
        <w:ind w:left="1880" w:hanging="900"/>
        <w:spacing w:after="0"/>
        <w:tabs>
          <w:tab w:leader="none" w:pos="18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of Directors of the Company.</w:t>
      </w:r>
    </w:p>
    <w:p>
      <w:pPr>
        <w:spacing w:after="0" w:line="202" w:lineRule="exact"/>
        <w:rPr>
          <w:rFonts w:ascii="Arial" w:cs="Arial" w:eastAsia="Arial" w:hAnsi="Arial"/>
          <w:sz w:val="20"/>
          <w:szCs w:val="20"/>
          <w:color w:val="auto"/>
        </w:rPr>
      </w:pPr>
    </w:p>
    <w:p>
      <w:pPr>
        <w:ind w:left="1880" w:hanging="900"/>
        <w:spacing w:after="0"/>
        <w:tabs>
          <w:tab w:leader="none" w:pos="1880"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Conversion Price</w:t>
      </w:r>
      <w:r>
        <w:rPr>
          <w:rFonts w:ascii="Arial" w:cs="Arial" w:eastAsia="Arial" w:hAnsi="Arial"/>
          <w:sz w:val="19"/>
          <w:szCs w:val="19"/>
          <w:color w:val="auto"/>
        </w:rPr>
        <w:t>” means $[●], subject to adjustments as provided in Section 4 hereof or pursuant to the</w:t>
      </w:r>
    </w:p>
    <w:p>
      <w:pPr>
        <w:spacing w:after="0" w:line="3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Plan.</w:t>
      </w:r>
    </w:p>
    <w:p>
      <w:pPr>
        <w:spacing w:after="0" w:line="164" w:lineRule="exact"/>
        <w:rPr>
          <w:rFonts w:ascii="Arial" w:cs="Arial" w:eastAsia="Arial" w:hAnsi="Arial"/>
          <w:sz w:val="19"/>
          <w:szCs w:val="19"/>
          <w:color w:val="auto"/>
        </w:rPr>
      </w:pPr>
    </w:p>
    <w:p>
      <w:pPr>
        <w:jc w:val="both"/>
        <w:ind w:firstLine="980"/>
        <w:spacing w:after="0" w:line="247" w:lineRule="auto"/>
        <w:tabs>
          <w:tab w:leader="none" w:pos="1879"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means the date as soon as reasonably practicable following the date on which the Company’s audited financial statements with respect to fiscal year 20[ ● ] are available on which the Committee determines whether the Performance Goal has 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SSARs are converted to Acquirer SSARs in accordance with Section 3(b)(i)(B), the Determination Date shall mean December 31, 20[●].</w:t>
      </w:r>
    </w:p>
    <w:p>
      <w:pPr>
        <w:spacing w:after="0" w:line="166" w:lineRule="exact"/>
        <w:rPr>
          <w:rFonts w:ascii="Arial" w:cs="Arial" w:eastAsia="Arial" w:hAnsi="Arial"/>
          <w:sz w:val="20"/>
          <w:szCs w:val="20"/>
          <w:color w:val="auto"/>
        </w:rPr>
      </w:pPr>
    </w:p>
    <w:p>
      <w:pPr>
        <w:jc w:val="both"/>
        <w:ind w:firstLine="980"/>
        <w:spacing w:after="0" w:line="255" w:lineRule="auto"/>
        <w:tabs>
          <w:tab w:leader="none" w:pos="1890"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Arrangement</w:t>
      </w:r>
      <w:r>
        <w:rPr>
          <w:rFonts w:ascii="Arial" w:cs="Arial" w:eastAsia="Arial" w:hAnsi="Arial"/>
          <w:sz w:val="20"/>
          <w:szCs w:val="20"/>
          <w:color w:val="auto"/>
        </w:rPr>
        <w:t>” means any employment agreement or individual severance agreement by and between the Company and the Participant, or severance plan maintained by the Company in which the Participant participates as of the Grant Date, in each case, as in effect on the Grant Date.</w:t>
      </w:r>
    </w:p>
    <w:p>
      <w:pPr>
        <w:spacing w:after="0" w:line="157" w:lineRule="exact"/>
        <w:rPr>
          <w:rFonts w:ascii="Arial" w:cs="Arial" w:eastAsia="Arial" w:hAnsi="Arial"/>
          <w:sz w:val="20"/>
          <w:szCs w:val="20"/>
          <w:color w:val="auto"/>
        </w:rPr>
      </w:pPr>
    </w:p>
    <w:p>
      <w:pPr>
        <w:ind w:left="1880" w:hanging="900"/>
        <w:spacing w:after="0"/>
        <w:tabs>
          <w:tab w:leader="none" w:pos="18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means the fifth (5th) anniversary of the Grant Date.</w:t>
      </w:r>
    </w:p>
    <w:p>
      <w:pPr>
        <w:spacing w:after="0" w:line="188" w:lineRule="exact"/>
        <w:rPr>
          <w:rFonts w:ascii="Arial" w:cs="Arial" w:eastAsia="Arial" w:hAnsi="Arial"/>
          <w:sz w:val="20"/>
          <w:szCs w:val="20"/>
          <w:color w:val="auto"/>
        </w:rPr>
      </w:pPr>
    </w:p>
    <w:p>
      <w:pPr>
        <w:ind w:left="1240" w:hanging="260"/>
        <w:spacing w:after="0"/>
        <w:tabs>
          <w:tab w:leader="none" w:pos="12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 20[●] through December 31, 20[●].</w:t>
      </w:r>
    </w:p>
    <w:p>
      <w:pPr>
        <w:spacing w:after="0" w:line="202" w:lineRule="exact"/>
        <w:rPr>
          <w:rFonts w:ascii="Arial" w:cs="Arial" w:eastAsia="Arial" w:hAnsi="Arial"/>
          <w:sz w:val="20"/>
          <w:szCs w:val="20"/>
          <w:color w:val="auto"/>
        </w:rPr>
      </w:pPr>
    </w:p>
    <w:p>
      <w:pPr>
        <w:ind w:right="20" w:firstLine="980"/>
        <w:spacing w:after="0" w:line="271" w:lineRule="auto"/>
        <w:tabs>
          <w:tab w:leader="none" w:pos="1890"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the achievement of which determines the number of SSARs that shall become vested pursuant to this Agreement.</w:t>
      </w:r>
    </w:p>
    <w:p>
      <w:pPr>
        <w:sectPr>
          <w:pgSz w:w="11900" w:h="16838" w:orient="portrait"/>
          <w:cols w:equalWidth="0" w:num="1">
            <w:col w:w="11240"/>
          </w:cols>
          <w:pgMar w:left="320" w:top="135" w:right="339" w:bottom="1440" w:gutter="0" w:footer="0" w:header="0"/>
        </w:sectPr>
      </w:pPr>
    </w:p>
    <w:bookmarkStart w:id="97" w:name="page98"/>
    <w:bookmarkEnd w:id="97"/>
    <w:p>
      <w:pPr>
        <w:ind w:right="20" w:firstLine="980"/>
        <w:spacing w:after="0" w:line="271" w:lineRule="auto"/>
        <w:tabs>
          <w:tab w:leader="none" w:pos="1890" w:val="left"/>
        </w:tabs>
        <w:numPr>
          <w:ilvl w:val="1"/>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U.S. Internal Revenue Code of 1986, as amended, and the Treasury Regulations thereunder.</w:t>
      </w:r>
    </w:p>
    <w:p>
      <w:pPr>
        <w:spacing w:after="0" w:line="142" w:lineRule="exact"/>
        <w:rPr>
          <w:rFonts w:ascii="Arial" w:cs="Arial" w:eastAsia="Arial" w:hAnsi="Arial"/>
          <w:sz w:val="20"/>
          <w:szCs w:val="20"/>
          <w:color w:val="auto"/>
        </w:rPr>
      </w:pPr>
    </w:p>
    <w:p>
      <w:pPr>
        <w:ind w:left="1240" w:hanging="260"/>
        <w:spacing w:after="0"/>
        <w:tabs>
          <w:tab w:leader="none" w:pos="12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SSARs</w:t>
      </w:r>
      <w:r>
        <w:rPr>
          <w:rFonts w:ascii="Arial" w:cs="Arial" w:eastAsia="Arial" w:hAnsi="Arial"/>
          <w:sz w:val="20"/>
          <w:szCs w:val="20"/>
          <w:color w:val="auto"/>
        </w:rPr>
        <w:t>” means fifty percent (50%) of the SSARs.</w:t>
      </w:r>
    </w:p>
    <w:p>
      <w:pPr>
        <w:spacing w:after="0" w:line="188" w:lineRule="exact"/>
        <w:rPr>
          <w:rFonts w:ascii="Arial" w:cs="Arial" w:eastAsia="Arial" w:hAnsi="Arial"/>
          <w:sz w:val="20"/>
          <w:szCs w:val="20"/>
          <w:color w:val="auto"/>
        </w:rPr>
      </w:pPr>
    </w:p>
    <w:p>
      <w:pPr>
        <w:ind w:left="1260" w:hanging="280"/>
        <w:spacing w:after="0"/>
        <w:tabs>
          <w:tab w:leader="none" w:pos="1260" w:val="left"/>
        </w:tabs>
        <w:numPr>
          <w:ilvl w:val="1"/>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 or any</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Subsidiary.</w:t>
      </w:r>
    </w:p>
    <w:p>
      <w:pPr>
        <w:spacing w:after="0" w:line="202" w:lineRule="exact"/>
        <w:rPr>
          <w:rFonts w:ascii="Arial" w:cs="Arial" w:eastAsia="Arial" w:hAnsi="Arial"/>
          <w:sz w:val="20"/>
          <w:szCs w:val="20"/>
          <w:color w:val="auto"/>
        </w:rPr>
      </w:pPr>
    </w:p>
    <w:p>
      <w:pPr>
        <w:ind w:left="1240" w:hanging="584"/>
        <w:spacing w:after="0"/>
        <w:tabs>
          <w:tab w:leader="none" w:pos="12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 of Common Stock</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980"/>
        <w:spacing w:after="0"/>
        <w:tabs>
          <w:tab w:leader="none" w:pos="1890" w:val="left"/>
        </w:tabs>
        <w:numPr>
          <w:ilvl w:val="1"/>
          <w:numId w:val="28"/>
        </w:numPr>
        <w:rPr>
          <w:rFonts w:ascii="Arial" w:cs="Arial" w:eastAsia="Arial" w:hAnsi="Arial"/>
          <w:sz w:val="20"/>
          <w:szCs w:val="20"/>
          <w:color w:val="auto"/>
        </w:rPr>
      </w:pPr>
      <w:r>
        <w:rPr>
          <w:rFonts w:ascii="Arial" w:cs="Arial" w:eastAsia="Arial" w:hAnsi="Arial"/>
          <w:sz w:val="20"/>
          <w:szCs w:val="20"/>
          <w:color w:val="auto"/>
        </w:rPr>
        <w:t xml:space="preserve">On the Determination Date, the Company shall determine the extent to which the Performance Goal has been achieved. Subject to the provisions of this Section 3, the vesting of the SSARs is contingent on the attainment of the Performance Goal. Except as otherwise set forth in this Section 3, all outstanding SSARs will be immediately forfeited on the Determination Date unless the Company determines that the Performance Goal has been satisfied. Upon such determination by the Company and subject to the provisions of the Plan and this Agreement, the Participant shall vest in that percentage of the SSARs as corresponds to the level of the Performance Goal achieved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Except as otherwise provided in this Section 3, there shall be no proportionate or partial vesting of the SSARs prior to the Determination Date. The Committee retains the sole and plenary discretion to make any adjustment permitted by the Plan or to reduce or eliminate the number of SSARs in accordance with the terms of the Plan for any reason deemed appropriate by the Committee, even if the Performance Goal has been attained and without regard to the Employment Arrangement or any other similar agreement between the Company and the Participant.</w:t>
      </w:r>
    </w:p>
    <w:p>
      <w:pPr>
        <w:spacing w:after="0" w:line="183" w:lineRule="exact"/>
        <w:rPr>
          <w:rFonts w:ascii="Arial" w:cs="Arial" w:eastAsia="Arial" w:hAnsi="Arial"/>
          <w:sz w:val="20"/>
          <w:szCs w:val="20"/>
          <w:color w:val="auto"/>
        </w:rPr>
      </w:pPr>
    </w:p>
    <w:p>
      <w:pPr>
        <w:ind w:firstLine="980"/>
        <w:spacing w:after="0" w:line="246" w:lineRule="auto"/>
        <w:tabs>
          <w:tab w:leader="none" w:pos="1876"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vesting of the SSARs or Acquirer SSARs (as defined below), as applicable, shall be accelerated if and to the extent provided in this Section 3(b):</w:t>
      </w:r>
    </w:p>
    <w:p>
      <w:pPr>
        <w:spacing w:after="0" w:line="170" w:lineRule="exact"/>
        <w:rPr>
          <w:rFonts w:ascii="Arial" w:cs="Arial" w:eastAsia="Arial" w:hAnsi="Arial"/>
          <w:sz w:val="20"/>
          <w:szCs w:val="20"/>
          <w:color w:val="auto"/>
        </w:rPr>
      </w:pPr>
    </w:p>
    <w:p>
      <w:pPr>
        <w:jc w:val="both"/>
        <w:ind w:left="660" w:firstLine="358"/>
        <w:spacing w:after="0" w:line="245" w:lineRule="auto"/>
        <w:tabs>
          <w:tab w:leader="none" w:pos="1266" w:val="left"/>
        </w:tabs>
        <w:numPr>
          <w:ilvl w:val="2"/>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Except as otherwise determined by the Company as set forth in Section 3(b)(i)(B) hereof, in</w:t>
      </w:r>
      <w:r>
        <w:rPr>
          <w:rFonts w:ascii="Arial" w:cs="Arial" w:eastAsia="Arial" w:hAnsi="Arial"/>
          <w:sz w:val="20"/>
          <w:szCs w:val="20"/>
          <w:i w:val="1"/>
          <w:iCs w:val="1"/>
          <w:color w:val="auto"/>
        </w:rPr>
        <w:t xml:space="preserve"> </w:t>
      </w:r>
      <w:r>
        <w:rPr>
          <w:rFonts w:ascii="Arial" w:cs="Arial" w:eastAsia="Arial" w:hAnsi="Arial"/>
          <w:sz w:val="20"/>
          <w:szCs w:val="20"/>
          <w:color w:val="auto"/>
        </w:rPr>
        <w:t>the event that a Change of Control occurs while the Participant is employed by the Company or any Subsidiary, the Participant shall immediately become fully vested and nonforfeitable upon the Change of Control in the number of SSARs as corresponds to the greater of target performance (i.e., 100% of the Target SSARs) and actual performance as determined by the Committee in its reasonable discretion as of the most recent practicable date prior to the Change of Control.</w:t>
      </w:r>
    </w:p>
    <w:p>
      <w:pPr>
        <w:spacing w:after="0" w:line="190" w:lineRule="exact"/>
        <w:rPr>
          <w:rFonts w:ascii="Arial" w:cs="Arial" w:eastAsia="Arial" w:hAnsi="Arial"/>
          <w:sz w:val="20"/>
          <w:szCs w:val="20"/>
          <w:color w:val="auto"/>
        </w:rPr>
      </w:pPr>
    </w:p>
    <w:p>
      <w:pPr>
        <w:jc w:val="both"/>
        <w:ind w:left="660" w:firstLine="1045"/>
        <w:spacing w:after="0"/>
        <w:tabs>
          <w:tab w:leader="none" w:pos="2573" w:val="left"/>
        </w:tabs>
        <w:numPr>
          <w:ilvl w:val="3"/>
          <w:numId w:val="28"/>
        </w:numPr>
        <w:rPr>
          <w:rFonts w:ascii="Arial" w:cs="Arial" w:eastAsia="Arial" w:hAnsi="Arial"/>
          <w:sz w:val="20"/>
          <w:szCs w:val="20"/>
          <w:color w:val="auto"/>
        </w:rPr>
      </w:pPr>
      <w:r>
        <w:rPr>
          <w:rFonts w:ascii="Arial" w:cs="Arial" w:eastAsia="Arial" w:hAnsi="Arial"/>
          <w:sz w:val="20"/>
          <w:szCs w:val="20"/>
          <w:color w:val="auto"/>
        </w:rPr>
        <w:t xml:space="preserve">Notwithstanding Section 3(b)(i)(A) hereof, if in the event of a Change of Control the Company determines that the successor company shall assume or substitute the SSARs as of the date of the Change of Control, then the vesting of the SSARs that are assumed or substituted shall not be so accelerated as a result of the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SSARs that are so assumed or substituted shall no longer be subject to the Performance Goal and, instead a number of SSARs shall convert to service-based stock appreciation rights as of the Change of Control based on the greater of target performance (i.e., 100% of the Target SSARs) and actual performance as determined by the Committee in its reasonable discretion as of the most recent practicable date prior to the Change of Control. For this purpose, the SSARs shall be considered assumed or substituted only if (1) the SSARs that are assumed or substituted vest at the time that such SSARs would vest pursuant to this Agreement (based solely on continued service) and (2)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8" w:right="3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19"/>
          <w:szCs w:val="19"/>
          <w:color w:val="auto"/>
        </w:rPr>
        <w:t xml:space="preserve">Change of Control, the SSARs confer the right to receive for each unvested SSAR held immediately prior to the Change of Control, the consideration (whether stock, cash or other securities or property) received by holders of shares of Common Stock in the transaction constituting a Change of Control for each share of Common Stock held on the effective date of such transaction (and if holders were offered a choice of consideration, the type of consideration chosen by the holders of a majority of the 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 the successor company or its parent or subsidiary, the Company may provide that the consideration to be received upon the vesting of any SSARs will be solely common stock of the successor company or its parent or subsidiary substantially equal in fair market value to the per share consideration received by holders of shares of Common Stock in the transaction constituting a Change of Control. The determinations of (x) whether the SSARs shall be assumed or substituted in accordance with this Section 3(b)(i)(B) or shall accelerate vesting in accordance with Section 3(b)(i)(A) hereof and (y) in the event that this Section 3(b)(i)(B) is applicable, such substantial equality of value of consideration shall be made by the Committee in its sole discretion and its determinations shall be conclusive and binding. The award resulting from the assumption or substitution of the SSARs by the successor company shall, except as otherwise provided in this Section 3(b), continue to vest after the Change of Control based solely on the Participant’s continued employment with the successor company and its affiliates through the Determination Date, and shall be referred to hereafter as the “</w:t>
      </w:r>
      <w:r>
        <w:rPr>
          <w:rFonts w:ascii="Arial" w:cs="Arial" w:eastAsia="Arial" w:hAnsi="Arial"/>
          <w:sz w:val="19"/>
          <w:szCs w:val="19"/>
          <w:b w:val="1"/>
          <w:bCs w:val="1"/>
          <w:i w:val="1"/>
          <w:iCs w:val="1"/>
          <w:color w:val="auto"/>
        </w:rPr>
        <w:t>Acquirer SSARs</w:t>
      </w:r>
      <w:r>
        <w:rPr>
          <w:rFonts w:ascii="Arial" w:cs="Arial" w:eastAsia="Arial" w:hAnsi="Arial"/>
          <w:sz w:val="19"/>
          <w:szCs w:val="19"/>
          <w:color w:val="auto"/>
        </w:rPr>
        <w:t>”</w:t>
      </w:r>
      <w:r>
        <w:rPr>
          <w:rFonts w:ascii="Arial" w:cs="Arial" w:eastAsia="Arial" w:hAnsi="Arial"/>
          <w:sz w:val="19"/>
          <w:szCs w:val="19"/>
          <w:i w:val="1"/>
          <w:iCs w:val="1"/>
          <w:color w:val="auto"/>
        </w:rPr>
        <w:t>.</w:t>
      </w:r>
    </w:p>
    <w:p>
      <w:pPr>
        <w:spacing w:after="0" w:line="169" w:lineRule="exact"/>
        <w:rPr>
          <w:sz w:val="20"/>
          <w:szCs w:val="20"/>
          <w:color w:val="auto"/>
        </w:rPr>
      </w:pPr>
    </w:p>
    <w:p>
      <w:pPr>
        <w:jc w:val="both"/>
        <w:ind w:firstLine="315"/>
        <w:spacing w:after="0" w:line="241"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Death and Disability. </w:t>
      </w:r>
      <w:r>
        <w:rPr>
          <w:rFonts w:ascii="Arial" w:cs="Arial" w:eastAsia="Arial" w:hAnsi="Arial"/>
          <w:sz w:val="20"/>
          <w:szCs w:val="20"/>
          <w:color w:val="auto"/>
        </w:rPr>
        <w:t>In the event that the Participant’s employment with the Company and its Subsidiaries is</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terminated due to the Participant’s death or Disability (A) prior to a Change of Control and on or before the eighteen (18)-month anniversary of the Grant Date, the Participant shall become immediately vested in the number of Target SSARs pro rated in accordance with Section 3(e) hereof, (B) prior to a Change of Control and following the eighteen (18)-month anniversary of the Grant Date, the Participant shall become vested on the Determination Date in the number of SSARs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SSARs. Notwithstanding the foregoing sentence, in the event that a Change of Control occurs following the date that the Participant’s employment is terminated due to the Participant’s death or Disability following the eighteen (18)-month anniversary of the Grant Date in accordance with Section 3(b)(ii)(B), the number of SSARs shall be determined by the Committee in accordance with Section 3(b)(i) hereof and the Participant shall immediately vest upon the Change of Control in a pro rated portion of such SSARs determined in accordance with Section 3(e) hereof.</w:t>
      </w:r>
    </w:p>
    <w:p>
      <w:pPr>
        <w:spacing w:after="0" w:line="170" w:lineRule="exact"/>
        <w:rPr>
          <w:rFonts w:ascii="Arial" w:cs="Arial" w:eastAsia="Arial" w:hAnsi="Arial"/>
          <w:sz w:val="20"/>
          <w:szCs w:val="20"/>
          <w:color w:val="auto"/>
        </w:rPr>
      </w:pPr>
    </w:p>
    <w:p>
      <w:pPr>
        <w:jc w:val="both"/>
        <w:ind w:firstLine="271"/>
        <w:spacing w:after="0" w:line="246" w:lineRule="auto"/>
        <w:tabs>
          <w:tab w:leader="none" w:pos="593"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Termination without Cause or for Good Reason. </w:t>
      </w:r>
      <w:r>
        <w:rPr>
          <w:rFonts w:ascii="Arial" w:cs="Arial" w:eastAsia="Arial" w:hAnsi="Arial"/>
          <w:sz w:val="20"/>
          <w:szCs w:val="20"/>
          <w:color w:val="auto"/>
        </w:rPr>
        <w:t>In the event that the Participant’s employment with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and its Subsidiaries is terminated by the Company and its Subsidiaries without Cause or, if applicable, by the Participant for Good Reason (1) prior to a Change of Control and prior to the Determination Date, the Participant shall become vested on the Determination Date in the number of SSARs, if any, determined by the Committee following the end of the Measurement Period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0"/>
          </w:cols>
          <w:pgMar w:left="980" w:top="1432"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9"/>
          <w:szCs w:val="19"/>
          <w:color w:val="auto"/>
        </w:rPr>
        <w:t>on the extent to which the Performance Goal has been achieved and pro rated in accordance with Section 3(e) hereof or</w:t>
      </w:r>
    </w:p>
    <w:p>
      <w:pPr>
        <w:spacing w:after="0" w:line="11" w:lineRule="exact"/>
        <w:rPr>
          <w:sz w:val="20"/>
          <w:szCs w:val="20"/>
          <w:color w:val="auto"/>
        </w:rPr>
      </w:pPr>
    </w:p>
    <w:p>
      <w:pPr>
        <w:jc w:val="both"/>
        <w:ind w:left="660" w:hanging="4"/>
        <w:spacing w:after="0"/>
        <w:tabs>
          <w:tab w:leader="none" w:pos="1011" w:val="left"/>
        </w:tabs>
        <w:numPr>
          <w:ilvl w:val="0"/>
          <w:numId w:val="30"/>
        </w:numPr>
        <w:rPr>
          <w:rFonts w:ascii="Arial" w:cs="Arial" w:eastAsia="Arial" w:hAnsi="Arial"/>
          <w:sz w:val="20"/>
          <w:szCs w:val="20"/>
          <w:color w:val="auto"/>
        </w:rPr>
      </w:pPr>
      <w:r>
        <w:rPr>
          <w:rFonts w:ascii="Arial" w:cs="Arial" w:eastAsia="Arial" w:hAnsi="Arial"/>
          <w:sz w:val="20"/>
          <w:szCs w:val="20"/>
          <w:color w:val="auto"/>
        </w:rPr>
        <w:t>on or following a Change of Control, the Participant shall immediately vest upon the Termination Date in all outstanding Acquirer SSARs. Notwithstanding the foregoing sentence, in the event that a Change of Control occurs following the date that the Participant’s employment is terminated by the Company and its Subsidiaries without Cause or, if applicable, by the Participant for Good Reason prior to the Determination Date, the number of SSARs shall be determined by the Committee in accordance with Section 3(b)(i) hereof, and the Participant shall immediately vest upon the Change of Control in a pro-rated portion of such SSARs determined in accordance with Section 3(e) hereof.</w:t>
      </w:r>
    </w:p>
    <w:p>
      <w:pPr>
        <w:spacing w:after="0" w:line="199" w:lineRule="exact"/>
        <w:rPr>
          <w:rFonts w:ascii="Arial" w:cs="Arial" w:eastAsia="Arial" w:hAnsi="Arial"/>
          <w:sz w:val="20"/>
          <w:szCs w:val="20"/>
          <w:color w:val="auto"/>
        </w:rPr>
      </w:pPr>
    </w:p>
    <w:p>
      <w:pPr>
        <w:jc w:val="both"/>
        <w:ind w:left="660" w:firstLine="1049"/>
        <w:spacing w:after="0" w:line="239" w:lineRule="auto"/>
        <w:tabs>
          <w:tab w:leader="none" w:pos="2550" w:val="left"/>
        </w:tabs>
        <w:numPr>
          <w:ilvl w:val="2"/>
          <w:numId w:val="30"/>
        </w:numPr>
        <w:rPr>
          <w:rFonts w:ascii="Arial" w:cs="Arial" w:eastAsia="Arial" w:hAnsi="Arial"/>
          <w:sz w:val="20"/>
          <w:szCs w:val="20"/>
          <w:color w:val="auto"/>
        </w:rPr>
      </w:pPr>
      <w:r>
        <w:rPr>
          <w:rFonts w:ascii="Arial" w:cs="Arial" w:eastAsia="Arial" w:hAnsi="Arial"/>
          <w:sz w:val="20"/>
          <w:szCs w:val="20"/>
          <w:color w:val="auto"/>
        </w:rPr>
        <w:t xml:space="preserve">Notwithstanding the foregoing, the vesting set forth in Section 3(b)(iii)(A)(1) hereof shall not occur and the SSARs shall be forfeited if the Participant (1) engages in conduct prior to the Determination Date that constitutes a breach of the Participant’s covenants under the Employment Arrangement or under this Agreement with respect to unfair competition, non-competition, non-solicitation, non-disparagement or cooperation or (2) to the extent a release is contemplated by the Employment Arrangement, fails to execute a full general release of all claims in favor of the Company and its affiliates as contemplated by such Employment Arrangement. </w:t>
      </w:r>
      <w:r>
        <w:rPr>
          <w:rFonts w:ascii="Arial" w:cs="Arial" w:eastAsia="Arial" w:hAnsi="Arial"/>
          <w:sz w:val="20"/>
          <w:szCs w:val="20"/>
          <w:b w:val="1"/>
          <w:bCs w:val="1"/>
          <w:color w:val="auto"/>
        </w:rPr>
        <w:t>Nothing in this Section 3 or this</w:t>
      </w:r>
    </w:p>
    <w:p>
      <w:pPr>
        <w:spacing w:after="0" w:line="2" w:lineRule="exact"/>
        <w:rPr>
          <w:rFonts w:ascii="Arial" w:cs="Arial" w:eastAsia="Arial" w:hAnsi="Arial"/>
          <w:sz w:val="20"/>
          <w:szCs w:val="20"/>
          <w:color w:val="auto"/>
        </w:rPr>
      </w:pPr>
    </w:p>
    <w:p>
      <w:pPr>
        <w:jc w:val="both"/>
        <w:ind w:left="660"/>
        <w:spacing w:after="0" w:line="243" w:lineRule="auto"/>
        <w:rPr>
          <w:rFonts w:ascii="Arial" w:cs="Arial" w:eastAsia="Arial" w:hAnsi="Arial"/>
          <w:sz w:val="20"/>
          <w:szCs w:val="20"/>
          <w:color w:val="auto"/>
        </w:rPr>
      </w:pPr>
      <w:r>
        <w:rPr>
          <w:rFonts w:ascii="Arial" w:cs="Arial" w:eastAsia="Arial" w:hAnsi="Arial"/>
          <w:sz w:val="20"/>
          <w:szCs w:val="20"/>
          <w:b w:val="1"/>
          <w:bCs w:val="1"/>
          <w:color w:val="auto"/>
        </w:rPr>
        <w:t>Agreement shall be deemed to limit or modify the non-competition, confidentiality or non-solicitation restrictions to which the Participant is already subject, which restrictions shall continue to be separately enforceable in accordance with their terms.</w:t>
      </w:r>
    </w:p>
    <w:p>
      <w:pPr>
        <w:spacing w:after="0" w:line="185" w:lineRule="exact"/>
        <w:rPr>
          <w:rFonts w:ascii="Arial" w:cs="Arial" w:eastAsia="Arial" w:hAnsi="Arial"/>
          <w:sz w:val="20"/>
          <w:szCs w:val="20"/>
          <w:color w:val="auto"/>
        </w:rPr>
      </w:pPr>
    </w:p>
    <w:p>
      <w:pPr>
        <w:jc w:val="both"/>
        <w:ind w:right="20" w:firstLine="980"/>
        <w:spacing w:after="0" w:line="248" w:lineRule="auto"/>
        <w:tabs>
          <w:tab w:leader="none" w:pos="1879"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 xml:space="preserve">Other Terminations of Employment. </w:t>
      </w:r>
      <w:r>
        <w:rPr>
          <w:rFonts w:ascii="Arial" w:cs="Arial" w:eastAsia="Arial" w:hAnsi="Arial"/>
          <w:sz w:val="20"/>
          <w:szCs w:val="20"/>
          <w:color w:val="auto"/>
        </w:rPr>
        <w:t>In the event that the Participant’s employment with the Company and</w:t>
      </w:r>
      <w:r>
        <w:rPr>
          <w:rFonts w:ascii="Arial" w:cs="Arial" w:eastAsia="Arial" w:hAnsi="Arial"/>
          <w:sz w:val="20"/>
          <w:szCs w:val="20"/>
          <w:i w:val="1"/>
          <w:iCs w:val="1"/>
          <w:color w:val="auto"/>
        </w:rPr>
        <w:t xml:space="preserve"> </w:t>
      </w:r>
      <w:r>
        <w:rPr>
          <w:rFonts w:ascii="Arial" w:cs="Arial" w:eastAsia="Arial" w:hAnsi="Arial"/>
          <w:sz w:val="20"/>
          <w:szCs w:val="20"/>
          <w:color w:val="auto"/>
        </w:rPr>
        <w:t>its Subsidiaries is terminated prior to the Determination Date for any reason other than the Participant’s death or Disability, by the Company and its Subsidiaries without Cause or, if applicable, by the Participant for Good Reason, the Participant shall immediately forfeit all the SSARs or Acquirer SSARs (as applicable) on the Termination Date.</w:t>
      </w:r>
    </w:p>
    <w:p>
      <w:pPr>
        <w:spacing w:after="0" w:line="156" w:lineRule="exact"/>
        <w:rPr>
          <w:rFonts w:ascii="Arial" w:cs="Arial" w:eastAsia="Arial" w:hAnsi="Arial"/>
          <w:sz w:val="20"/>
          <w:szCs w:val="20"/>
          <w:color w:val="auto"/>
        </w:rPr>
      </w:pPr>
    </w:p>
    <w:p>
      <w:pPr>
        <w:jc w:val="both"/>
        <w:ind w:firstLine="980"/>
        <w:spacing w:after="0" w:line="248" w:lineRule="auto"/>
        <w:tabs>
          <w:tab w:leader="none" w:pos="1890"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 xml:space="preserve">Transfers of Employment. </w:t>
      </w:r>
      <w:r>
        <w:rPr>
          <w:rFonts w:ascii="Arial" w:cs="Arial" w:eastAsia="Arial" w:hAnsi="Arial"/>
          <w:sz w:val="20"/>
          <w:szCs w:val="20"/>
          <w:color w:val="auto"/>
        </w:rPr>
        <w:t>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69" w:lineRule="exact"/>
        <w:rPr>
          <w:rFonts w:ascii="Arial" w:cs="Arial" w:eastAsia="Arial" w:hAnsi="Arial"/>
          <w:sz w:val="20"/>
          <w:szCs w:val="20"/>
          <w:color w:val="auto"/>
        </w:rPr>
      </w:pPr>
    </w:p>
    <w:p>
      <w:pPr>
        <w:jc w:val="both"/>
        <w:ind w:firstLine="980"/>
        <w:spacing w:after="0" w:line="245" w:lineRule="auto"/>
        <w:tabs>
          <w:tab w:leader="none" w:pos="1876"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 xml:space="preserve">Pro-Ration of SSARs. </w:t>
      </w:r>
      <w:r>
        <w:rPr>
          <w:rFonts w:ascii="Arial" w:cs="Arial" w:eastAsia="Arial" w:hAnsi="Arial"/>
          <w:sz w:val="20"/>
          <w:szCs w:val="20"/>
          <w:color w:val="auto"/>
        </w:rPr>
        <w:t>For purposes of clauses (b)(ii) and (b)(iii), the pro-rated portion of the SSARs shall</w:t>
      </w:r>
      <w:r>
        <w:rPr>
          <w:rFonts w:ascii="Arial" w:cs="Arial" w:eastAsia="Arial" w:hAnsi="Arial"/>
          <w:sz w:val="20"/>
          <w:szCs w:val="20"/>
          <w:i w:val="1"/>
          <w:iCs w:val="1"/>
          <w:color w:val="auto"/>
        </w:rPr>
        <w:t xml:space="preserve"> </w:t>
      </w:r>
      <w:r>
        <w:rPr>
          <w:rFonts w:ascii="Arial" w:cs="Arial" w:eastAsia="Arial" w:hAnsi="Arial"/>
          <w:sz w:val="20"/>
          <w:szCs w:val="20"/>
          <w:color w:val="auto"/>
        </w:rPr>
        <w:t>be calculated by multiplying the number of SSARs determined by the Committee based on the extent to which the Performance Goal has been achieved, or the number of Target SSARs in the case of clause (b)(ii)(A), by a fraction, the numerator of which shall be the number of days that have elapsed between the Grant Date and the Termination Date and the denominator of which shall be the total number of days between the Grant Date and the Determination Date, which for this purpose shall 1096, and the remaining portion of such SSARs, if any, shall be forfeited.</w:t>
      </w:r>
    </w:p>
    <w:p>
      <w:pPr>
        <w:spacing w:after="0" w:line="190" w:lineRule="exact"/>
        <w:rPr>
          <w:rFonts w:ascii="Arial" w:cs="Arial" w:eastAsia="Arial" w:hAnsi="Arial"/>
          <w:sz w:val="20"/>
          <w:szCs w:val="20"/>
          <w:color w:val="auto"/>
        </w:rPr>
      </w:pPr>
    </w:p>
    <w:p>
      <w:pPr>
        <w:jc w:val="both"/>
        <w:ind w:firstLine="980"/>
        <w:spacing w:after="0" w:line="243" w:lineRule="auto"/>
        <w:tabs>
          <w:tab w:leader="none" w:pos="1295"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provisions in the Employment Arrangement or any similar agreement between the Participant and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32" w:right="339" w:bottom="1440" w:gutter="0" w:footer="0" w:header="0"/>
        </w:sectPr>
      </w:pPr>
    </w:p>
    <w:bookmarkStart w:id="100" w:name="page101"/>
    <w:bookmarkEnd w:id="100"/>
    <w:p>
      <w:pPr>
        <w:jc w:val="both"/>
        <w:ind w:firstLine="656"/>
        <w:spacing w:after="0" w:line="241" w:lineRule="auto"/>
        <w:tabs>
          <w:tab w:leader="none" w:pos="124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SSARs and/or the Conversion Price are subject to adjustment by the Committee in the event of any increase or decrease in the number of issued shares of Common Stock resulting from a subdivision or consolidation of the Common Stock or the payment of a stock dividend on Common Stock, or any other increase or decrease in the number of shares of Common Stock effected without receipt or payment of consideration by the Company.</w:t>
      </w:r>
    </w:p>
    <w:p>
      <w:pPr>
        <w:spacing w:after="0" w:line="196" w:lineRule="exact"/>
        <w:rPr>
          <w:rFonts w:ascii="Arial" w:cs="Arial" w:eastAsia="Arial" w:hAnsi="Arial"/>
          <w:sz w:val="20"/>
          <w:szCs w:val="20"/>
          <w:color w:val="auto"/>
        </w:rPr>
      </w:pPr>
    </w:p>
    <w:p>
      <w:pPr>
        <w:jc w:val="both"/>
        <w:ind w:firstLine="656"/>
        <w:spacing w:after="0"/>
        <w:tabs>
          <w:tab w:leader="none" w:pos="124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Substitution of SSARs</w:t>
      </w:r>
      <w:r>
        <w:rPr>
          <w:rFonts w:ascii="Arial" w:cs="Arial" w:eastAsia="Arial" w:hAnsi="Arial"/>
          <w:sz w:val="20"/>
          <w:szCs w:val="20"/>
          <w:color w:val="auto"/>
        </w:rPr>
        <w:t xml:space="preserve">. The Committee shall have the authority to substitute, without receiving the Participant’s permission, options to purchase Common Stock for the SSARs in the event that the Committee determines, in its sole discretion, that such substitution is necessary or desirable based on legal, tax and/or accounting requirements applicable to the Company or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the vesting and expiration terms of any such substituted option shall be the same as set forth in this Agreement, (b) the exercise price of any such substituted option shall be equal to the Conversion Price (as may be adjusted in accordance with Section 4 hereof), and (c) the exercisability and transferability of any such substituted option shall be consistent with the Plan and this Agreement and in compliance with applicable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Committee also shall have the ability to revert, without receiving the Participant’s permission, any unvested substituted options to purchase Common Stock back to equivalent SSARs, in the event that the Committee determines, in its sole discretion, that such reversion is necessary or desirable based on legal, tax and/or accounting requirements applicable to the Company or the Participant.</w:t>
      </w:r>
    </w:p>
    <w:p>
      <w:pPr>
        <w:spacing w:after="0" w:line="183" w:lineRule="exact"/>
        <w:rPr>
          <w:rFonts w:ascii="Arial" w:cs="Arial" w:eastAsia="Arial" w:hAnsi="Arial"/>
          <w:sz w:val="20"/>
          <w:szCs w:val="20"/>
          <w:color w:val="auto"/>
        </w:rPr>
      </w:pPr>
    </w:p>
    <w:p>
      <w:pPr>
        <w:ind w:left="1240" w:hanging="584"/>
        <w:spacing w:after="0"/>
        <w:tabs>
          <w:tab w:leader="none" w:pos="12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Termination of SSARs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980"/>
        <w:spacing w:after="0" w:line="246" w:lineRule="auto"/>
        <w:tabs>
          <w:tab w:leader="none" w:pos="189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SSARs or Acquirer SSARs (as applicable) that have not previously been exercised or forfeited shall immediately terminate on the Expiration Date and be of no further force or effect.</w:t>
      </w:r>
    </w:p>
    <w:p>
      <w:pPr>
        <w:spacing w:after="0" w:line="190" w:lineRule="exact"/>
        <w:rPr>
          <w:rFonts w:ascii="Arial" w:cs="Arial" w:eastAsia="Arial" w:hAnsi="Arial"/>
          <w:sz w:val="20"/>
          <w:szCs w:val="20"/>
          <w:color w:val="auto"/>
        </w:rPr>
      </w:pPr>
    </w:p>
    <w:p>
      <w:pPr>
        <w:jc w:val="both"/>
        <w:ind w:firstLine="980"/>
        <w:spacing w:after="0" w:line="255" w:lineRule="auto"/>
        <w:tabs>
          <w:tab w:leader="none" w:pos="189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the event that the Participant’s employment with the Company or any Subsidiary is terminated by the Company or a Subsidiary for Cause or, if applicable, by the Participant without Good Reason, (i) the Participant immediately shall forfeit all rights to convert any SSARs or Acquirer SSARs (as applicable) (or exercise any substituted options), which have not vested prior to the Termination Date, and (ii) the Participant’s SSARs or Acquirer SSARs (as applicable) (and any substituted options) which vested prior to the Termination Date shall continue to be convertible into Common Stock (or exercisable if substituted options) until the earlier of: (x) three (3) months after the Termination Date, or (y) the Expiration Date. Any vested SSARs or Acquirer SSARs (as applicable) (or substituted options) that are not converted or exercised during the period set forth in the preceding sentence shall immediately terminate and be of no further force or effect as of the end of that period.</w:t>
      </w:r>
    </w:p>
    <w:p>
      <w:pPr>
        <w:spacing w:after="0" w:line="167" w:lineRule="exact"/>
        <w:rPr>
          <w:rFonts w:ascii="Arial" w:cs="Arial" w:eastAsia="Arial" w:hAnsi="Arial"/>
          <w:sz w:val="19"/>
          <w:szCs w:val="19"/>
          <w:color w:val="auto"/>
        </w:rPr>
      </w:pPr>
    </w:p>
    <w:p>
      <w:pPr>
        <w:jc w:val="both"/>
        <w:ind w:firstLine="980"/>
        <w:spacing w:after="0"/>
        <w:tabs>
          <w:tab w:leader="none" w:pos="1879"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for any reason other than (i) by the Company or a Subsidiary for Cause or (ii) if applicable, by the Participant without Good Reason, the SSARs or Acquirer SSARs (as applicable) (or any substituted options), if any, that then are or subsequently become vested shall be convertible into Common Stock (or exercisable if substituted options) until the earlier of: (x) one (1) year after the Termination Date, or (y) the Expiration Date. Any vested SSARs or Acquirer SSARs (as applicable) (or substituted options) that are not converted or exercised during the period set forth in the preceding sentence automatically shall immediately terminate and be of no further force or effect as of the end of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32" w:right="339" w:bottom="1440" w:gutter="0" w:footer="0" w:header="0"/>
        </w:sectPr>
      </w:pPr>
    </w:p>
    <w:bookmarkStart w:id="101" w:name="page102"/>
    <w:bookmarkEnd w:id="101"/>
    <w:p>
      <w:pPr>
        <w:jc w:val="both"/>
        <w:ind w:firstLine="656"/>
        <w:spacing w:after="0" w:line="241" w:lineRule="auto"/>
        <w:tabs>
          <w:tab w:leader="none" w:pos="1246"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Persons Eligible to Convert SSARs</w:t>
      </w:r>
      <w:r>
        <w:rPr>
          <w:rFonts w:ascii="Arial" w:cs="Arial" w:eastAsia="Arial" w:hAnsi="Arial"/>
          <w:sz w:val="20"/>
          <w:szCs w:val="20"/>
          <w:color w:val="auto"/>
        </w:rPr>
        <w:t>. The vested SSARs or Acquirer SSARs (as applicable) shall be convertible into Common Stock during the Participant’s lifetime by the Participant or upon the death of the Participant by a transferee to whom the vested SSARs or Acquirer SSARs (as applicable) or the right to convert the vested SSARs or Acquirer SSARs (as applicable) into Common Stock has been transferred pursuant to Section 8 below.</w:t>
      </w:r>
    </w:p>
    <w:p>
      <w:pPr>
        <w:spacing w:after="0" w:line="196" w:lineRule="exact"/>
        <w:rPr>
          <w:rFonts w:ascii="Arial" w:cs="Arial" w:eastAsia="Arial" w:hAnsi="Arial"/>
          <w:sz w:val="20"/>
          <w:szCs w:val="20"/>
          <w:color w:val="auto"/>
        </w:rPr>
      </w:pPr>
    </w:p>
    <w:p>
      <w:pPr>
        <w:jc w:val="both"/>
        <w:ind w:firstLine="656"/>
        <w:spacing w:after="0"/>
        <w:tabs>
          <w:tab w:leader="none" w:pos="1246"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The Participant may designate, by written notice to the Company’s Secretary, a beneficiary or beneficiaries to whom any vested but unconverted portion of the SSARs or Acquirer SSARs (as applicable) shall be transferred upon the death of the Participant. In the absence of such designation, such vested but unconverted portion will be transferred to the Participant’s estate. No such transfer of the vested SSARs or Acquirer SSARs (as applicable), or the right to convert the vested SSARs or Acquirer SSARs (as applicable)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184" w:lineRule="exact"/>
        <w:rPr>
          <w:rFonts w:ascii="Arial" w:cs="Arial" w:eastAsia="Arial" w:hAnsi="Arial"/>
          <w:sz w:val="20"/>
          <w:szCs w:val="20"/>
          <w:color w:val="auto"/>
        </w:rPr>
      </w:pPr>
    </w:p>
    <w:p>
      <w:pPr>
        <w:jc w:val="both"/>
        <w:ind w:firstLine="656"/>
        <w:spacing w:after="0"/>
        <w:tabs>
          <w:tab w:leader="none" w:pos="1259"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Conversion of SSARs</w:t>
      </w:r>
      <w:r>
        <w:rPr>
          <w:rFonts w:ascii="Arial" w:cs="Arial" w:eastAsia="Arial" w:hAnsi="Arial"/>
          <w:sz w:val="20"/>
          <w:szCs w:val="20"/>
          <w:color w:val="auto"/>
        </w:rPr>
        <w:t>. Subject to Section 21 hereof, the SSARs or Acquirer SSARs (as applicable) may be converted into shares of Common Stock, in whole or in part, by the person then entitled to do so as to any vested portion by giving written notice of conversion to the attention of the Company’s Secretary and specifying the number of full shares of Common Stock with respect to which the vested SSARs or Acquirer SSARs (as applicable) are being converted. No partial conversion of the vested SSARs or Acquirer SSARs (as applicable) may be for less than ten (10) shares or multiples thereof. No fractional shares of Common Stock shall be issued by the Company in connection with the conversion of the vested SSARs or Acquirer SSARs (as applicable). In lieu of issuing fractional shares, the Company shall pay the Participant cash in an amount equal to the Fair Market Value of any fractional shares that the Participant may be entitled to receive upon the conversion hereof.</w:t>
      </w:r>
    </w:p>
    <w:p>
      <w:pPr>
        <w:spacing w:after="0" w:line="198" w:lineRule="exact"/>
        <w:rPr>
          <w:rFonts w:ascii="Arial" w:cs="Arial" w:eastAsia="Arial" w:hAnsi="Arial"/>
          <w:sz w:val="20"/>
          <w:szCs w:val="20"/>
          <w:color w:val="auto"/>
        </w:rPr>
      </w:pPr>
    </w:p>
    <w:p>
      <w:pPr>
        <w:jc w:val="both"/>
        <w:ind w:firstLine="656"/>
        <w:spacing w:after="0"/>
        <w:tabs>
          <w:tab w:leader="none" w:pos="1248"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Neither the Participant (nor any beneficiary or transferee) shall be or have any of the rights or privileges of a stockholder of the Company in respect of any of the shares of Common Stock issuable upon the conversion of the vested SSARs or Acquirer SSARs (as applicable), unless and until the shares of Common Stock are issued to the Participant. Except as expressly provided in Section 4 above or in the Plan, no adjustment to the SSARs or Acquirer SSARs (as applicable) shall be made for dividends or other rights for which the record date occurs prior to the date the certificates representing such shares of Common Stock are issued.</w:t>
      </w:r>
    </w:p>
    <w:p>
      <w:pPr>
        <w:spacing w:after="0" w:line="199" w:lineRule="exact"/>
        <w:rPr>
          <w:rFonts w:ascii="Arial" w:cs="Arial" w:eastAsia="Arial" w:hAnsi="Arial"/>
          <w:sz w:val="20"/>
          <w:szCs w:val="20"/>
          <w:color w:val="auto"/>
        </w:rPr>
      </w:pPr>
    </w:p>
    <w:p>
      <w:pPr>
        <w:jc w:val="both"/>
        <w:ind w:firstLine="656"/>
        <w:spacing w:after="0"/>
        <w:tabs>
          <w:tab w:leader="none" w:pos="1275"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Employment Arrangement, the Participant’s employment with the Company and any Subsidiary is on an at-will basis only. Accordingly, subject to the terms of the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2" w:right="339" w:bottom="1440" w:gutter="0" w:footer="0" w:header="0"/>
        </w:sectPr>
      </w:pPr>
    </w:p>
    <w:bookmarkStart w:id="102" w:name="page103"/>
    <w:bookmarkEnd w:id="102"/>
    <w:p>
      <w:pPr>
        <w:spacing w:after="0" w:line="246" w:lineRule="auto"/>
        <w:rPr>
          <w:sz w:val="20"/>
          <w:szCs w:val="20"/>
          <w:color w:val="auto"/>
        </w:rPr>
      </w:pPr>
      <w:r>
        <w:rPr>
          <w:rFonts w:ascii="Arial" w:cs="Arial" w:eastAsia="Arial" w:hAnsi="Arial"/>
          <w:sz w:val="20"/>
          <w:szCs w:val="20"/>
          <w:color w:val="auto"/>
        </w:rPr>
        <w:t>Cause and with or without notice. Such reservation of rights can be modified only in an express written contract executed by a duly authorized officer of the Company.</w:t>
      </w:r>
    </w:p>
    <w:p>
      <w:pPr>
        <w:spacing w:after="0" w:line="190" w:lineRule="exact"/>
        <w:rPr>
          <w:sz w:val="20"/>
          <w:szCs w:val="20"/>
          <w:color w:val="auto"/>
        </w:rPr>
      </w:pPr>
    </w:p>
    <w:p>
      <w:pPr>
        <w:ind w:right="20" w:firstLine="656"/>
        <w:spacing w:after="0" w:line="246" w:lineRule="auto"/>
        <w:tabs>
          <w:tab w:leader="none" w:pos="123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Except as provided in Section 8 above or as otherwise permitted by the Plan, none of the SSARs or Acquirer SSARs (as applicable) may be transferred, directly or indirectly.</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24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192" w:lineRule="exact"/>
        <w:rPr>
          <w:rFonts w:ascii="Arial" w:cs="Arial" w:eastAsia="Arial" w:hAnsi="Arial"/>
          <w:sz w:val="20"/>
          <w:szCs w:val="20"/>
          <w:color w:val="auto"/>
        </w:rPr>
      </w:pPr>
    </w:p>
    <w:p>
      <w:pPr>
        <w:ind w:firstLine="656"/>
        <w:spacing w:after="0" w:line="246" w:lineRule="auto"/>
        <w:tabs>
          <w:tab w:leader="none" w:pos="123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Maximum Term of SSARs</w:t>
      </w:r>
      <w:r>
        <w:rPr>
          <w:rFonts w:ascii="Arial" w:cs="Arial" w:eastAsia="Arial" w:hAnsi="Arial"/>
          <w:sz w:val="20"/>
          <w:szCs w:val="20"/>
          <w:color w:val="auto"/>
        </w:rPr>
        <w:t>. Notwithstanding any other provision of this Agreement, none of the SSARs or Acquirer SSARs (as applicable) are convertible into Common Stock after the Expiration Date.</w:t>
      </w:r>
    </w:p>
    <w:p>
      <w:pPr>
        <w:spacing w:after="0" w:line="190" w:lineRule="exact"/>
        <w:rPr>
          <w:rFonts w:ascii="Arial" w:cs="Arial" w:eastAsia="Arial" w:hAnsi="Arial"/>
          <w:sz w:val="20"/>
          <w:szCs w:val="20"/>
          <w:color w:val="auto"/>
        </w:rPr>
      </w:pPr>
    </w:p>
    <w:p>
      <w:pPr>
        <w:jc w:val="both"/>
        <w:ind w:firstLine="656"/>
        <w:spacing w:after="0" w:line="243" w:lineRule="auto"/>
        <w:tabs>
          <w:tab w:leader="none" w:pos="123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limitation on the transferability of the SSARs or Acquirer SSARs (as applicable) contained herein, this Agreement shall be binding upon and inure to the benefit of the heirs, legatees, legal representatives, successors and assigns of the parties hereto.</w:t>
      </w:r>
    </w:p>
    <w:p>
      <w:pPr>
        <w:spacing w:after="0" w:line="178" w:lineRule="exact"/>
        <w:rPr>
          <w:rFonts w:ascii="Arial" w:cs="Arial" w:eastAsia="Arial" w:hAnsi="Arial"/>
          <w:sz w:val="20"/>
          <w:szCs w:val="20"/>
          <w:color w:val="auto"/>
        </w:rPr>
      </w:pPr>
    </w:p>
    <w:p>
      <w:pPr>
        <w:jc w:val="both"/>
        <w:ind w:right="20" w:firstLine="656"/>
        <w:spacing w:after="0" w:line="243" w:lineRule="auto"/>
        <w:tabs>
          <w:tab w:leader="none" w:pos="124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92" w:lineRule="exact"/>
        <w:rPr>
          <w:rFonts w:ascii="Arial" w:cs="Arial" w:eastAsia="Arial" w:hAnsi="Arial"/>
          <w:sz w:val="20"/>
          <w:szCs w:val="20"/>
          <w:color w:val="auto"/>
        </w:rPr>
      </w:pPr>
    </w:p>
    <w:p>
      <w:pPr>
        <w:jc w:val="both"/>
        <w:ind w:firstLine="656"/>
        <w:spacing w:after="0"/>
        <w:tabs>
          <w:tab w:leader="none" w:pos="124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98" w:lineRule="exact"/>
        <w:rPr>
          <w:rFonts w:ascii="Arial" w:cs="Arial" w:eastAsia="Arial" w:hAnsi="Arial"/>
          <w:sz w:val="20"/>
          <w:szCs w:val="20"/>
          <w:color w:val="auto"/>
        </w:rPr>
      </w:pPr>
    </w:p>
    <w:p>
      <w:pPr>
        <w:jc w:val="both"/>
        <w:ind w:firstLine="656"/>
        <w:spacing w:after="0"/>
        <w:tabs>
          <w:tab w:leader="none" w:pos="124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86" w:lineRule="exact"/>
        <w:rPr>
          <w:rFonts w:ascii="Arial" w:cs="Arial" w:eastAsia="Arial" w:hAnsi="Arial"/>
          <w:sz w:val="20"/>
          <w:szCs w:val="20"/>
          <w:color w:val="auto"/>
        </w:rPr>
      </w:pPr>
    </w:p>
    <w:p>
      <w:pPr>
        <w:ind w:firstLine="656"/>
        <w:spacing w:after="0" w:line="246" w:lineRule="auto"/>
        <w:tabs>
          <w:tab w:leader="none" w:pos="127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190" w:lineRule="exact"/>
        <w:rPr>
          <w:rFonts w:ascii="Arial" w:cs="Arial" w:eastAsia="Arial" w:hAnsi="Arial"/>
          <w:sz w:val="20"/>
          <w:szCs w:val="20"/>
          <w:color w:val="auto"/>
        </w:rPr>
      </w:pPr>
    </w:p>
    <w:p>
      <w:pPr>
        <w:ind w:right="20" w:firstLine="656"/>
        <w:spacing w:after="0" w:line="246" w:lineRule="auto"/>
        <w:tabs>
          <w:tab w:leader="none" w:pos="124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32"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unenforceability shall not be construed to have any effect on, the remaining provisions of this Agreement.</w:t>
      </w:r>
    </w:p>
    <w:p>
      <w:pPr>
        <w:spacing w:after="0" w:line="202" w:lineRule="exact"/>
        <w:rPr>
          <w:sz w:val="20"/>
          <w:szCs w:val="20"/>
          <w:color w:val="auto"/>
        </w:rPr>
      </w:pPr>
    </w:p>
    <w:p>
      <w:pPr>
        <w:jc w:val="both"/>
        <w:ind w:firstLine="656"/>
        <w:spacing w:after="0"/>
        <w:tabs>
          <w:tab w:leader="none" w:pos="1234"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Taxes; Exercise Price</w:t>
      </w:r>
      <w:r>
        <w:rPr>
          <w:rFonts w:ascii="Arial" w:cs="Arial" w:eastAsia="Arial" w:hAnsi="Arial"/>
          <w:sz w:val="20"/>
          <w:szCs w:val="20"/>
          <w:color w:val="auto"/>
        </w:rPr>
        <w:t xml:space="preserve">. Prior to converting any vested SSARs or Acquirer SSARs (as applicable) or exercising any vested substituted options, the Participant shall pay to the Company an amount determined by the Company to be sufficient to satisfy any applicable federal, state, local and foreign withholding or other taxes and, in the case of substituted options, the applicable exercise price. The Company or Participant may, at his or her option, permit the Participant or other person converting the vested SSARs or Acquirer SSARs (as applicable) or exercising the vested options to satisfy his or her obligations by surrendering to the Company a portion of the shares of Common Stock that the Participant or such person would otherwise be entitled to receive upon such conversion or exercise;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elects to satisfy his or her obligations by surrendering a portion of such shares, such election shall be binding on the Company. Any acquisition of shares of Common Stock by the Company as contemplated hereby is expressly approved by the Committee as part of the approval of the SSARs. Until such time as the Participant has satisfied the requirements of this Section 21, the Company shall have no obligation to effect a conversion of SSARs or Acquirer SSARs (as applicable) or exercise of substituted options hereunder.</w:t>
      </w:r>
    </w:p>
    <w:p>
      <w:pPr>
        <w:spacing w:after="0" w:line="183" w:lineRule="exact"/>
        <w:rPr>
          <w:rFonts w:ascii="Arial" w:cs="Arial" w:eastAsia="Arial" w:hAnsi="Arial"/>
          <w:sz w:val="20"/>
          <w:szCs w:val="20"/>
          <w:color w:val="auto"/>
        </w:rPr>
      </w:pPr>
    </w:p>
    <w:p>
      <w:pPr>
        <w:jc w:val="both"/>
        <w:ind w:firstLine="656"/>
        <w:spacing w:after="0"/>
        <w:tabs>
          <w:tab w:leader="none" w:pos="126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of Common Stock under the 1933 Act. The Participant acknowledges receipt of the Prospectus prepared by the Company in connection with the Registration Statement. Prior to conversion of the vested SSARs into shares of Common Stock, or exercise of any substituted option, the Participant shall execute and deliver to the Company such representations in writing as may be requested by the Company in order for it to comply with the applicable requirements of federal and state securities law.</w:t>
      </w:r>
    </w:p>
    <w:p>
      <w:pPr>
        <w:spacing w:after="0" w:line="199" w:lineRule="exact"/>
        <w:rPr>
          <w:rFonts w:ascii="Arial" w:cs="Arial" w:eastAsia="Arial" w:hAnsi="Arial"/>
          <w:sz w:val="20"/>
          <w:szCs w:val="20"/>
          <w:color w:val="auto"/>
        </w:rPr>
      </w:pPr>
    </w:p>
    <w:p>
      <w:pPr>
        <w:jc w:val="both"/>
        <w:ind w:firstLine="656"/>
        <w:spacing w:after="0"/>
        <w:tabs>
          <w:tab w:leader="none" w:pos="124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and the Plan constitute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the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197" w:lineRule="exact"/>
        <w:rPr>
          <w:rFonts w:ascii="Arial" w:cs="Arial" w:eastAsia="Arial" w:hAnsi="Arial"/>
          <w:sz w:val="20"/>
          <w:szCs w:val="20"/>
          <w:color w:val="auto"/>
        </w:rPr>
      </w:pPr>
    </w:p>
    <w:p>
      <w:pPr>
        <w:ind w:left="1240" w:hanging="584"/>
        <w:spacing w:after="0"/>
        <w:tabs>
          <w:tab w:leader="none" w:pos="124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409A</w:t>
      </w:r>
    </w:p>
    <w:p>
      <w:pPr>
        <w:spacing w:after="0" w:line="188" w:lineRule="exact"/>
        <w:rPr>
          <w:rFonts w:ascii="Arial" w:cs="Arial" w:eastAsia="Arial" w:hAnsi="Arial"/>
          <w:sz w:val="20"/>
          <w:szCs w:val="20"/>
          <w:color w:val="auto"/>
        </w:rPr>
      </w:pPr>
    </w:p>
    <w:p>
      <w:pPr>
        <w:jc w:val="both"/>
        <w:ind w:firstLine="980"/>
        <w:spacing w:after="0" w:line="243" w:lineRule="auto"/>
        <w:tabs>
          <w:tab w:leader="none" w:pos="1876" w:val="left"/>
        </w:tabs>
        <w:numPr>
          <w:ilvl w:val="1"/>
          <w:numId w:val="34"/>
        </w:numPr>
        <w:rPr>
          <w:rFonts w:ascii="Arial" w:cs="Arial" w:eastAsia="Arial" w:hAnsi="Arial"/>
          <w:sz w:val="20"/>
          <w:szCs w:val="20"/>
          <w:color w:val="auto"/>
        </w:rPr>
      </w:pPr>
      <w:r>
        <w:rPr>
          <w:rFonts w:ascii="Arial" w:cs="Arial" w:eastAsia="Arial" w:hAnsi="Arial"/>
          <w:sz w:val="20"/>
          <w:szCs w:val="20"/>
          <w:color w:val="auto"/>
        </w:rPr>
        <w:t>It is intended that the SSARs (including, for all purposes of this Section 24, the Acquirer SSARs) awarded pursuant to this Agreement be exempt from Section 409A because it is believed that (i) the compensation payable under each SSAR cannot be greater than the excess of the Fair Market Value of a share of Common Stock on the date the SSAR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32" w:right="339" w:bottom="1440" w:gutter="0" w:footer="0" w:header="0"/>
        </w:sectPr>
      </w:pPr>
    </w:p>
    <w:bookmarkStart w:id="104" w:name="page105"/>
    <w:bookmarkEnd w:id="104"/>
    <w:p>
      <w:pPr>
        <w:jc w:val="both"/>
        <w:spacing w:after="0" w:line="253" w:lineRule="auto"/>
        <w:rPr>
          <w:sz w:val="20"/>
          <w:szCs w:val="20"/>
          <w:color w:val="auto"/>
        </w:rPr>
      </w:pPr>
      <w:r>
        <w:rPr>
          <w:rFonts w:ascii="Arial" w:cs="Arial" w:eastAsia="Arial" w:hAnsi="Arial"/>
          <w:sz w:val="19"/>
          <w:szCs w:val="19"/>
          <w:color w:val="auto"/>
        </w:rPr>
        <w:t>exercised over the Conversion Price specified on the Grant Date, (ii) except as would not adversely affect the ability of the SSARs to be exempt from Section 409A, the Conversion Price for each SSAR can never be less than the Fair Market Value of a share of Common Stock on the Grant Date, and (iii) each SSAR does not include any feature for the deferral of compensation other than the deferral of recognition of income until the exercise of the SSAR.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 cause the award to violate the requirements of Section 409A. In the event that either the Company or the Participant believes, at any time, that any benefit or right under this Agreement is subject to Section 409A, and does not comply with the requirements of Section 409A, it shall promptly advise the other and the Company and the Participant shall negotiate reasonably and in good faith to amend the terms of such benefits and rights, if such an amendment may be made in a commercially reasonable manner, such that they comply with Section 409A with the most limited possible economic affect on the Participant and on the Company.</w:t>
      </w:r>
    </w:p>
    <w:p>
      <w:pPr>
        <w:spacing w:after="0" w:line="193" w:lineRule="exact"/>
        <w:rPr>
          <w:sz w:val="20"/>
          <w:szCs w:val="20"/>
          <w:color w:val="auto"/>
        </w:rPr>
      </w:pPr>
    </w:p>
    <w:p>
      <w:pPr>
        <w:jc w:val="both"/>
        <w:ind w:firstLine="980"/>
        <w:spacing w:after="0"/>
        <w:tabs>
          <w:tab w:leader="none" w:pos="1876" w:val="left"/>
        </w:tabs>
        <w:numPr>
          <w:ilvl w:val="1"/>
          <w:numId w:val="35"/>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the SSARs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85" w:lineRule="exact"/>
        <w:rPr>
          <w:rFonts w:ascii="Arial" w:cs="Arial" w:eastAsia="Arial" w:hAnsi="Arial"/>
          <w:sz w:val="20"/>
          <w:szCs w:val="20"/>
          <w:color w:val="auto"/>
        </w:rPr>
      </w:pPr>
    </w:p>
    <w:p>
      <w:pPr>
        <w:jc w:val="both"/>
        <w:ind w:firstLine="656"/>
        <w:spacing w:after="0"/>
        <w:tabs>
          <w:tab w:leader="none" w:pos="124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half (50%) of the shares of Common Stock acquired by Participant hereunder (net of the number of shares of Common Stock which would need to be sold to satisfy any applicable taxes owed upon conversion), for a period of three (3) years after issuance of such shares of Common Stock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Common Stock acquired by the Participant hereunder.</w:t>
      </w:r>
    </w:p>
    <w:p>
      <w:pPr>
        <w:spacing w:after="0" w:line="199" w:lineRule="exact"/>
        <w:rPr>
          <w:rFonts w:ascii="Arial" w:cs="Arial" w:eastAsia="Arial" w:hAnsi="Arial"/>
          <w:sz w:val="20"/>
          <w:szCs w:val="20"/>
          <w:color w:val="auto"/>
        </w:rPr>
      </w:pPr>
    </w:p>
    <w:p>
      <w:pPr>
        <w:jc w:val="both"/>
        <w:ind w:firstLine="656"/>
        <w:spacing w:after="0" w:line="241" w:lineRule="auto"/>
        <w:tabs>
          <w:tab w:leader="none" w:pos="124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 Notwithstanding the foregoing, such policy shall not apply following a Change of Control to any Common Stock acquired by the Participant 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32" w:right="3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Agreement as of the Grant Date.</w:t>
      </w:r>
    </w:p>
    <w:p>
      <w:pPr>
        <w:sectPr>
          <w:pgSz w:w="11900" w:h="16838" w:orient="portrait"/>
          <w:cols w:equalWidth="0" w:num="1">
            <w:col w:w="9479"/>
          </w:cols>
          <w:pgMar w:left="980" w:top="1408" w:right="1440" w:bottom="1440" w:gutter="0" w:footer="0" w:header="0"/>
        </w:sect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WORLD FUEL SERVICES CORPORATION</w:t>
      </w:r>
    </w:p>
    <w:p>
      <w:pPr>
        <w:spacing w:after="0" w:line="200" w:lineRule="exact"/>
        <w:rPr>
          <w:sz w:val="20"/>
          <w:szCs w:val="20"/>
          <w:color w:val="auto"/>
        </w:rPr>
      </w:pPr>
    </w:p>
    <w:p>
      <w:pPr>
        <w:spacing w:after="0" w:line="267"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-22860</wp:posOffset>
            </wp:positionV>
            <wp:extent cx="9772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2920"/>
        <w:spacing w:after="0"/>
        <w:tabs>
          <w:tab w:leader="none" w:pos="3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u w:val="single" w:color="auto"/>
          <w:color w:val="auto"/>
        </w:rPr>
        <w:t>____________________</w:t>
      </w:r>
    </w:p>
    <w:p>
      <w:pPr>
        <w:ind w:left="2920"/>
        <w:spacing w:after="0"/>
        <w:tabs>
          <w:tab w:leader="none" w:pos="35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____________________</w:t>
      </w: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55"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-22860</wp:posOffset>
            </wp:positionV>
            <wp:extent cx="837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ind w:left="2920"/>
        <w:spacing w:after="0"/>
        <w:tabs>
          <w:tab w:leader="none" w:pos="3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u w:val="single" w:color="auto"/>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479"/>
          </w:cols>
          <w:pgMar w:left="980" w:top="1408" w:right="1440"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Goal</w:t>
      </w:r>
    </w:p>
    <w:p>
      <w:pPr>
        <w:spacing w:after="0" w:line="24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Subject to the terms and conditions set forth in this Agreement (of which this Schedule constitutes a part), the Participant will be eligible to earn a number of SSARs that is between [●]% and [●]% of the number of Target SSARs set forth in this Agreement, such number of earned SSARs shall be determined as set forth in this Schedule.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Measurement Period is the three (3)-year period that begins on January 1, 20[●] and ends on December 31, 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 is based on the following performance criterion: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CAGR in EPS</w:t>
      </w:r>
      <w:r>
        <w:rPr>
          <w:rFonts w:ascii="Arial" w:cs="Arial" w:eastAsia="Arial" w:hAnsi="Arial"/>
          <w:sz w:val="20"/>
          <w:szCs w:val="20"/>
          <w:color w:val="auto"/>
        </w:rPr>
        <w:t>” means the compound average annual rate of growth in cumulative EPS.</w:t>
      </w:r>
    </w:p>
    <w:p>
      <w:pPr>
        <w:spacing w:after="0" w:line="216"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EPS</w:t>
      </w:r>
      <w:r>
        <w:rPr>
          <w:rFonts w:ascii="Arial" w:cs="Arial" w:eastAsia="Arial" w:hAnsi="Arial"/>
          <w:sz w:val="20"/>
          <w:szCs w:val="20"/>
          <w:color w:val="auto"/>
        </w:rPr>
        <w:t>” means earnings per share calculated in accordance with generally accepted accounting principles, with such adjustments as may be determined by the Committee.</w:t>
      </w:r>
    </w:p>
    <w:p>
      <w:pPr>
        <w:spacing w:after="0" w:line="18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Achievement of the Performance Goal is measured based on the cumulative EPS at the end of the three (3)-year Measurement Period at the levels set forth in the table below.</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61"/>
        </w:trPr>
        <w:tc>
          <w:tcPr>
            <w:tcW w:w="15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80" w:type="dxa"/>
            <w:vAlign w:val="bottom"/>
            <w:gridSpan w:val="2"/>
          </w:tcPr>
          <w:p>
            <w:pPr>
              <w:ind w:left="600"/>
              <w:spacing w:after="0"/>
              <w:rPr>
                <w:sz w:val="20"/>
                <w:szCs w:val="20"/>
                <w:color w:val="auto"/>
              </w:rPr>
            </w:pPr>
            <w:r>
              <w:rPr>
                <w:rFonts w:ascii="Arial" w:cs="Arial" w:eastAsia="Arial" w:hAnsi="Arial"/>
                <w:sz w:val="20"/>
                <w:szCs w:val="20"/>
                <w:b w:val="1"/>
                <w:bCs w:val="1"/>
                <w:color w:val="auto"/>
              </w:rPr>
              <w:t>EPS for the Measurement Period</w:t>
            </w:r>
          </w:p>
        </w:tc>
        <w:tc>
          <w:tcPr>
            <w:tcW w:w="19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492"/>
        </w:trPr>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780" w:type="dxa"/>
            <w:vAlign w:val="bottom"/>
            <w:gridSpan w:val="3"/>
          </w:tcPr>
          <w:p>
            <w:pPr>
              <w:jc w:val="center"/>
              <w:spacing w:after="0"/>
              <w:rPr>
                <w:sz w:val="20"/>
                <w:szCs w:val="20"/>
                <w:color w:val="auto"/>
              </w:rPr>
            </w:pPr>
            <w:r>
              <w:rPr>
                <w:rFonts w:ascii="Arial" w:cs="Arial" w:eastAsia="Arial" w:hAnsi="Arial"/>
                <w:sz w:val="20"/>
                <w:szCs w:val="20"/>
                <w:color w:val="auto"/>
                <w:w w:val="98"/>
              </w:rPr>
              <w:t>At least $[●] but less At least $[●] but less At least $[●] but less</w:t>
            </w:r>
          </w:p>
        </w:tc>
        <w:tc>
          <w:tcPr>
            <w:tcW w:w="1700" w:type="dxa"/>
            <w:vAlign w:val="bottom"/>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1720" w:type="dxa"/>
            <w:vAlign w:val="bottom"/>
          </w:tcPr>
          <w:p>
            <w:pPr>
              <w:jc w:val="center"/>
              <w:ind w:left="41"/>
              <w:spacing w:after="0"/>
              <w:rPr>
                <w:sz w:val="20"/>
                <w:szCs w:val="20"/>
                <w:color w:val="auto"/>
              </w:rPr>
            </w:pPr>
            <w:r>
              <w:rPr>
                <w:rFonts w:ascii="Arial" w:cs="Arial" w:eastAsia="Arial" w:hAnsi="Arial"/>
                <w:sz w:val="20"/>
                <w:szCs w:val="20"/>
                <w:color w:val="auto"/>
                <w:w w:val="99"/>
              </w:rPr>
              <w:t>Less than $[●]</w:t>
            </w:r>
          </w:p>
        </w:tc>
        <w:tc>
          <w:tcPr>
            <w:tcW w:w="1960" w:type="dxa"/>
            <w:vAlign w:val="bottom"/>
          </w:tcPr>
          <w:p>
            <w:pPr>
              <w:jc w:val="center"/>
              <w:ind w:left="41"/>
              <w:spacing w:after="0"/>
              <w:rPr>
                <w:sz w:val="20"/>
                <w:szCs w:val="20"/>
                <w:color w:val="auto"/>
              </w:rPr>
            </w:pPr>
            <w:r>
              <w:rPr>
                <w:rFonts w:ascii="Arial" w:cs="Arial" w:eastAsia="Arial" w:hAnsi="Arial"/>
                <w:sz w:val="20"/>
                <w:szCs w:val="20"/>
                <w:color w:val="auto"/>
                <w:w w:val="98"/>
              </w:rPr>
              <w:t>than $[●]</w:t>
            </w:r>
          </w:p>
        </w:tc>
        <w:tc>
          <w:tcPr>
            <w:tcW w:w="1920" w:type="dxa"/>
            <w:vAlign w:val="bottom"/>
          </w:tcPr>
          <w:p>
            <w:pPr>
              <w:jc w:val="center"/>
              <w:spacing w:after="0"/>
              <w:rPr>
                <w:sz w:val="20"/>
                <w:szCs w:val="20"/>
                <w:color w:val="auto"/>
              </w:rPr>
            </w:pPr>
            <w:r>
              <w:rPr>
                <w:rFonts w:ascii="Arial" w:cs="Arial" w:eastAsia="Arial" w:hAnsi="Arial"/>
                <w:sz w:val="20"/>
                <w:szCs w:val="20"/>
                <w:color w:val="auto"/>
                <w:w w:val="96"/>
              </w:rPr>
              <w:t>than $[●]</w:t>
            </w:r>
          </w:p>
        </w:tc>
        <w:tc>
          <w:tcPr>
            <w:tcW w:w="1900" w:type="dxa"/>
            <w:vAlign w:val="bottom"/>
          </w:tcPr>
          <w:p>
            <w:pPr>
              <w:jc w:val="center"/>
              <w:ind w:right="141"/>
              <w:spacing w:after="0"/>
              <w:rPr>
                <w:sz w:val="20"/>
                <w:szCs w:val="20"/>
                <w:color w:val="auto"/>
              </w:rPr>
            </w:pPr>
            <w:r>
              <w:rPr>
                <w:rFonts w:ascii="Arial" w:cs="Arial" w:eastAsia="Arial" w:hAnsi="Arial"/>
                <w:sz w:val="20"/>
                <w:szCs w:val="20"/>
                <w:color w:val="auto"/>
                <w:w w:val="98"/>
              </w:rPr>
              <w:t>than $[●]</w:t>
            </w:r>
          </w:p>
        </w:tc>
        <w:tc>
          <w:tcPr>
            <w:tcW w:w="1700" w:type="dxa"/>
            <w:vAlign w:val="bottom"/>
          </w:tcPr>
          <w:p>
            <w:pPr>
              <w:jc w:val="center"/>
              <w:ind w:right="41"/>
              <w:spacing w:after="0"/>
              <w:rPr>
                <w:sz w:val="20"/>
                <w:szCs w:val="20"/>
                <w:color w:val="auto"/>
              </w:rPr>
            </w:pPr>
            <w:r>
              <w:rPr>
                <w:rFonts w:ascii="Arial" w:cs="Arial" w:eastAsia="Arial" w:hAnsi="Arial"/>
                <w:sz w:val="20"/>
                <w:szCs w:val="20"/>
                <w:color w:val="auto"/>
                <w:w w:val="99"/>
              </w:rPr>
              <w:t>$[●] or more</w:t>
            </w:r>
          </w:p>
        </w:tc>
      </w:tr>
      <w:tr>
        <w:trPr>
          <w:trHeight w:val="23"/>
        </w:trPr>
        <w:tc>
          <w:tcPr>
            <w:tcW w:w="15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6"/>
        </w:trPr>
        <w:tc>
          <w:tcPr>
            <w:tcW w:w="1540" w:type="dxa"/>
            <w:vAlign w:val="bottom"/>
          </w:tcPr>
          <w:p>
            <w:pPr>
              <w:spacing w:after="0"/>
              <w:rPr>
                <w:sz w:val="21"/>
                <w:szCs w:val="21"/>
                <w:color w:val="auto"/>
              </w:rPr>
            </w:pPr>
          </w:p>
        </w:tc>
        <w:tc>
          <w:tcPr>
            <w:tcW w:w="1720" w:type="dxa"/>
            <w:vAlign w:val="bottom"/>
          </w:tcPr>
          <w:p>
            <w:pPr>
              <w:jc w:val="center"/>
              <w:ind w:left="41"/>
              <w:spacing w:after="0"/>
              <w:rPr>
                <w:sz w:val="20"/>
                <w:szCs w:val="20"/>
                <w:color w:val="auto"/>
              </w:rPr>
            </w:pPr>
            <w:r>
              <w:rPr>
                <w:rFonts w:ascii="Arial" w:cs="Arial" w:eastAsia="Arial" w:hAnsi="Arial"/>
                <w:sz w:val="20"/>
                <w:szCs w:val="20"/>
                <w:color w:val="auto"/>
                <w:w w:val="96"/>
              </w:rPr>
              <w:t>0% of Target</w:t>
            </w:r>
          </w:p>
        </w:tc>
        <w:tc>
          <w:tcPr>
            <w:tcW w:w="1960" w:type="dxa"/>
            <w:vAlign w:val="bottom"/>
          </w:tcPr>
          <w:p>
            <w:pPr>
              <w:jc w:val="center"/>
              <w:ind w:left="21"/>
              <w:spacing w:after="0"/>
              <w:rPr>
                <w:sz w:val="20"/>
                <w:szCs w:val="20"/>
                <w:color w:val="auto"/>
              </w:rPr>
            </w:pPr>
            <w:r>
              <w:rPr>
                <w:rFonts w:ascii="Arial" w:cs="Arial" w:eastAsia="Arial" w:hAnsi="Arial"/>
                <w:sz w:val="20"/>
                <w:szCs w:val="20"/>
                <w:color w:val="auto"/>
                <w:w w:val="97"/>
              </w:rPr>
              <w:t>[●]% of Target</w:t>
            </w:r>
          </w:p>
        </w:tc>
        <w:tc>
          <w:tcPr>
            <w:tcW w:w="1920" w:type="dxa"/>
            <w:vAlign w:val="bottom"/>
          </w:tcPr>
          <w:p>
            <w:pPr>
              <w:jc w:val="center"/>
              <w:spacing w:after="0"/>
              <w:rPr>
                <w:sz w:val="20"/>
                <w:szCs w:val="20"/>
                <w:color w:val="auto"/>
              </w:rPr>
            </w:pPr>
            <w:r>
              <w:rPr>
                <w:rFonts w:ascii="Arial" w:cs="Arial" w:eastAsia="Arial" w:hAnsi="Arial"/>
                <w:sz w:val="20"/>
                <w:szCs w:val="20"/>
                <w:color w:val="auto"/>
                <w:w w:val="97"/>
              </w:rPr>
              <w:t>[●]% of Target</w:t>
            </w:r>
          </w:p>
        </w:tc>
        <w:tc>
          <w:tcPr>
            <w:tcW w:w="1900" w:type="dxa"/>
            <w:vAlign w:val="bottom"/>
          </w:tcPr>
          <w:p>
            <w:pPr>
              <w:jc w:val="center"/>
              <w:ind w:right="121"/>
              <w:spacing w:after="0"/>
              <w:rPr>
                <w:sz w:val="20"/>
                <w:szCs w:val="20"/>
                <w:color w:val="auto"/>
              </w:rPr>
            </w:pPr>
            <w:r>
              <w:rPr>
                <w:rFonts w:ascii="Arial" w:cs="Arial" w:eastAsia="Arial" w:hAnsi="Arial"/>
                <w:sz w:val="20"/>
                <w:szCs w:val="20"/>
                <w:color w:val="auto"/>
                <w:w w:val="97"/>
              </w:rPr>
              <w:t>[●]% of Target</w:t>
            </w:r>
          </w:p>
        </w:tc>
        <w:tc>
          <w:tcPr>
            <w:tcW w:w="1700" w:type="dxa"/>
            <w:vAlign w:val="bottom"/>
          </w:tcPr>
          <w:p>
            <w:pPr>
              <w:jc w:val="center"/>
              <w:ind w:right="41"/>
              <w:spacing w:after="0"/>
              <w:rPr>
                <w:sz w:val="20"/>
                <w:szCs w:val="20"/>
                <w:color w:val="auto"/>
              </w:rPr>
            </w:pPr>
            <w:r>
              <w:rPr>
                <w:rFonts w:ascii="Arial" w:cs="Arial" w:eastAsia="Arial" w:hAnsi="Arial"/>
                <w:sz w:val="20"/>
                <w:szCs w:val="20"/>
                <w:color w:val="auto"/>
                <w:w w:val="97"/>
              </w:rPr>
              <w:t>[●]% of Target</w:t>
            </w:r>
          </w:p>
        </w:tc>
      </w:tr>
      <w:tr>
        <w:trPr>
          <w:trHeight w:val="237"/>
        </w:trPr>
        <w:tc>
          <w:tcPr>
            <w:tcW w:w="1540" w:type="dxa"/>
            <w:vAlign w:val="bottom"/>
          </w:tcPr>
          <w:p>
            <w:pPr>
              <w:spacing w:after="0"/>
              <w:rPr>
                <w:sz w:val="20"/>
                <w:szCs w:val="20"/>
                <w:color w:val="auto"/>
              </w:rPr>
            </w:pPr>
            <w:r>
              <w:rPr>
                <w:rFonts w:ascii="Arial" w:cs="Arial" w:eastAsia="Arial" w:hAnsi="Arial"/>
                <w:sz w:val="20"/>
                <w:szCs w:val="20"/>
                <w:color w:val="auto"/>
              </w:rPr>
              <w:t>Earned SSARs</w:t>
            </w:r>
          </w:p>
        </w:tc>
        <w:tc>
          <w:tcPr>
            <w:tcW w:w="1720" w:type="dxa"/>
            <w:vAlign w:val="bottom"/>
          </w:tcPr>
          <w:p>
            <w:pPr>
              <w:jc w:val="center"/>
              <w:ind w:left="21"/>
              <w:spacing w:after="0"/>
              <w:rPr>
                <w:sz w:val="20"/>
                <w:szCs w:val="20"/>
                <w:color w:val="auto"/>
              </w:rPr>
            </w:pPr>
            <w:r>
              <w:rPr>
                <w:rFonts w:ascii="Arial" w:cs="Arial" w:eastAsia="Arial" w:hAnsi="Arial"/>
                <w:sz w:val="20"/>
                <w:szCs w:val="20"/>
                <w:color w:val="auto"/>
                <w:w w:val="99"/>
              </w:rPr>
              <w:t>SSARs</w:t>
            </w:r>
          </w:p>
        </w:tc>
        <w:tc>
          <w:tcPr>
            <w:tcW w:w="1960" w:type="dxa"/>
            <w:vAlign w:val="bottom"/>
          </w:tcPr>
          <w:p>
            <w:pPr>
              <w:jc w:val="center"/>
              <w:ind w:left="21"/>
              <w:spacing w:after="0"/>
              <w:rPr>
                <w:sz w:val="20"/>
                <w:szCs w:val="20"/>
                <w:color w:val="auto"/>
              </w:rPr>
            </w:pPr>
            <w:r>
              <w:rPr>
                <w:rFonts w:ascii="Arial" w:cs="Arial" w:eastAsia="Arial" w:hAnsi="Arial"/>
                <w:sz w:val="20"/>
                <w:szCs w:val="20"/>
                <w:color w:val="auto"/>
                <w:w w:val="99"/>
              </w:rPr>
              <w:t>SSARs</w:t>
            </w:r>
          </w:p>
        </w:tc>
        <w:tc>
          <w:tcPr>
            <w:tcW w:w="1920" w:type="dxa"/>
            <w:vAlign w:val="bottom"/>
          </w:tcPr>
          <w:p>
            <w:pPr>
              <w:jc w:val="center"/>
              <w:spacing w:after="0"/>
              <w:rPr>
                <w:sz w:val="20"/>
                <w:szCs w:val="20"/>
                <w:color w:val="auto"/>
              </w:rPr>
            </w:pPr>
            <w:r>
              <w:rPr>
                <w:rFonts w:ascii="Arial" w:cs="Arial" w:eastAsia="Arial" w:hAnsi="Arial"/>
                <w:sz w:val="20"/>
                <w:szCs w:val="20"/>
                <w:color w:val="auto"/>
                <w:w w:val="99"/>
              </w:rPr>
              <w:t>SSARs</w:t>
            </w:r>
          </w:p>
        </w:tc>
        <w:tc>
          <w:tcPr>
            <w:tcW w:w="1900" w:type="dxa"/>
            <w:vAlign w:val="bottom"/>
          </w:tcPr>
          <w:p>
            <w:pPr>
              <w:jc w:val="center"/>
              <w:ind w:right="121"/>
              <w:spacing w:after="0"/>
              <w:rPr>
                <w:sz w:val="20"/>
                <w:szCs w:val="20"/>
                <w:color w:val="auto"/>
              </w:rPr>
            </w:pPr>
            <w:r>
              <w:rPr>
                <w:rFonts w:ascii="Arial" w:cs="Arial" w:eastAsia="Arial" w:hAnsi="Arial"/>
                <w:sz w:val="20"/>
                <w:szCs w:val="20"/>
                <w:color w:val="auto"/>
                <w:w w:val="99"/>
              </w:rPr>
              <w:t>SSARs</w:t>
            </w:r>
          </w:p>
        </w:tc>
        <w:tc>
          <w:tcPr>
            <w:tcW w:w="1700" w:type="dxa"/>
            <w:vAlign w:val="bottom"/>
          </w:tcPr>
          <w:p>
            <w:pPr>
              <w:jc w:val="center"/>
              <w:ind w:right="41"/>
              <w:spacing w:after="0"/>
              <w:rPr>
                <w:sz w:val="20"/>
                <w:szCs w:val="20"/>
                <w:color w:val="auto"/>
              </w:rPr>
            </w:pPr>
            <w:r>
              <w:rPr>
                <w:rFonts w:ascii="Arial" w:cs="Arial" w:eastAsia="Arial" w:hAnsi="Arial"/>
                <w:sz w:val="20"/>
                <w:szCs w:val="20"/>
                <w:color w:val="auto"/>
                <w:w w:val="99"/>
              </w:rPr>
              <w:t>SSARs</w:t>
            </w:r>
          </w:p>
        </w:tc>
      </w:tr>
    </w:tbl>
    <w:p>
      <w:pPr>
        <w:spacing w:after="0" w:line="200" w:lineRule="exact"/>
        <w:rPr>
          <w:sz w:val="20"/>
          <w:szCs w:val="20"/>
          <w:color w:val="auto"/>
        </w:rPr>
      </w:pPr>
    </w:p>
    <w:p>
      <w:pPr>
        <w:spacing w:after="0" w:line="265"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The Company shall apply linear interpolation if the performance criterion achieved is between the levels specified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32" w:right="339" w:bottom="1440" w:gutter="0" w:footer="0" w:header="0"/>
        </w:sectPr>
      </w:pPr>
    </w:p>
    <w:bookmarkStart w:id="107" w:name="page108"/>
    <w:bookmarkEnd w:id="107"/>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3420" w:type="dxa"/>
            <w:vAlign w:val="bottom"/>
            <w:gridSpan w:val="3"/>
          </w:tcPr>
          <w:p>
            <w:pPr>
              <w:ind w:left="1780"/>
              <w:spacing w:after="0"/>
              <w:rPr>
                <w:sz w:val="20"/>
                <w:szCs w:val="20"/>
                <w:color w:val="auto"/>
              </w:rPr>
            </w:pPr>
            <w:r>
              <w:rPr>
                <w:rFonts w:ascii="Arial" w:cs="Arial" w:eastAsia="Arial" w:hAnsi="Arial"/>
                <w:sz w:val="18"/>
                <w:szCs w:val="18"/>
                <w:b w:val="1"/>
                <w:bCs w:val="1"/>
                <w:color w:val="auto"/>
              </w:rPr>
              <w:t>Country</w:t>
            </w:r>
          </w:p>
        </w:tc>
      </w:tr>
      <w:tr>
        <w:trPr>
          <w:trHeight w:val="20"/>
        </w:trPr>
        <w:tc>
          <w:tcPr>
            <w:tcW w:w="13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644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Air Petro Corp.</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Alta Fuels,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Alta Transportation,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Altitude Ventures Holding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Amelia Holding AB</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Amsterdam Software B.V.</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Netherlands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Ascent Aviation Group,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Associated Petroleum Products,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AVCARD Holding Company (BVI) Ltd.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w w:val="99"/>
              </w:rPr>
              <w:t>British Virgin Islands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AVCARD Services (BVI), Ltd.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w w:val="99"/>
              </w:rPr>
              <w:t>British Virgin Islands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Avinode Aktiebolag</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Avinode Group AB</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Avinode,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Baseops International,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Casa Petro, S.R.L.</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Costa Rica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Chrome Club,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Colt Aviation Holdings,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Colt International das Américas Serviços de Aviação Ltda.</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Brazil</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Colt International Europe SARL</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Switzerland</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Colt International,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Colt Risk Management Services,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Ecuacentair Cia. Ltda.</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Ecuador</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Energie-Tankdienstgesellschaft Bremen mbH</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Falmouth Oil Services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Falmouth Petroleum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Gib Oil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Gibraltar</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Hellenic Aviation Fuel Company S.A.</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Greece</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Henty Oil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Henty Shipping Services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Consulting, LLC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AS</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Norway</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Denmark A/S</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France Sarl</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Germany GmbH</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Green Services AS</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Norway</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Hungary Kft</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Hungary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Markets AS</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Norway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Netherlands B.V.</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Netherlands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Pty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Australia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Spot AS</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Norway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Sweden AB</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UK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Kinect Energy, Inc.</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LFO Holdings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Linton Fuel Oils Limited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MH Aviation Services (Pty) Ltd.</w:t>
            </w:r>
          </w:p>
        </w:tc>
        <w:tc>
          <w:tcPr>
            <w:tcW w:w="3420" w:type="dxa"/>
            <w:vAlign w:val="bottom"/>
            <w:gridSpan w:val="3"/>
          </w:tcPr>
          <w:p>
            <w:pPr>
              <w:ind w:left="1780"/>
              <w:spacing w:after="0"/>
              <w:rPr>
                <w:sz w:val="20"/>
                <w:szCs w:val="20"/>
                <w:color w:val="auto"/>
              </w:rPr>
            </w:pPr>
            <w:r>
              <w:rPr>
                <w:rFonts w:ascii="Arial" w:cs="Arial" w:eastAsia="Arial" w:hAnsi="Arial"/>
                <w:sz w:val="18"/>
                <w:szCs w:val="18"/>
                <w:color w:val="auto"/>
              </w:rPr>
              <w:t>South Africa</w:t>
            </w:r>
          </w:p>
        </w:tc>
      </w:tr>
    </w:tbl>
    <w:p>
      <w:pPr>
        <w:sectPr>
          <w:pgSz w:w="11900" w:h="16838" w:orient="portrait"/>
          <w:cols w:equalWidth="0" w:num="1">
            <w:col w:w="10139"/>
          </w:cols>
          <w:pgMar w:left="320" w:top="1440" w:right="1440"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3220" w:type="dxa"/>
            <w:vAlign w:val="bottom"/>
            <w:gridSpan w:val="3"/>
          </w:tcPr>
          <w:p>
            <w:pPr>
              <w:ind w:left="1780"/>
              <w:spacing w:after="0"/>
              <w:rPr>
                <w:sz w:val="20"/>
                <w:szCs w:val="20"/>
                <w:color w:val="auto"/>
              </w:rPr>
            </w:pPr>
            <w:r>
              <w:rPr>
                <w:rFonts w:ascii="Arial" w:cs="Arial" w:eastAsia="Arial" w:hAnsi="Arial"/>
                <w:sz w:val="18"/>
                <w:szCs w:val="18"/>
                <w:b w:val="1"/>
                <w:bCs w:val="1"/>
                <w:color w:val="auto"/>
              </w:rPr>
              <w:t>Country</w:t>
            </w:r>
          </w:p>
        </w:tc>
      </w:tr>
      <w:tr>
        <w:trPr>
          <w:trHeight w:val="20"/>
        </w:trPr>
        <w:tc>
          <w:tcPr>
            <w:tcW w:w="13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6440" w:type="dxa"/>
            <w:vAlign w:val="bottom"/>
            <w:gridSpan w:val="2"/>
          </w:tcPr>
          <w:p>
            <w:pPr>
              <w:spacing w:after="0"/>
              <w:rPr>
                <w:sz w:val="20"/>
                <w:szCs w:val="20"/>
                <w:color w:val="auto"/>
              </w:rPr>
            </w:pPr>
            <w:r>
              <w:rPr>
                <w:rFonts w:ascii="Arial" w:cs="Arial" w:eastAsia="Arial" w:hAnsi="Arial"/>
                <w:sz w:val="18"/>
                <w:szCs w:val="18"/>
                <w:color w:val="auto"/>
              </w:rPr>
              <w:t>Nature Port Reception Facilities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Gibraltar</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NCS Fuel IQ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NCS UK Holding Co.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NCS US, Inc.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Nordic Camp Supply ApS</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Nordic Camp Supply B.V.</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Netherlands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Nordic Camp Supply Estonia OÜ</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Estonia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Norse Bunker AS</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Norway</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Netherlands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Oil Shipping Korea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w w:val="99"/>
              </w:rPr>
              <w:t>Republic of Korea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Orchard (Holdings) UK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Orchard Energy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PAPCO, Inc.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PAX Distribution, LLC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PayNode AB</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Petro Air, Corp.</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Petromundo Internacional, S.R.L.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Costa Rica</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PetroServicios de Costa Rica, S.R.L.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Costa Rica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PT Oil Shipping Trans Indonesia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Indonesia</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PT Servicios de Guatemala, Limitada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Guatemala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Redline Oil Services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Resource Recovery of America, Inc.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Schedaero AB</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Sweden</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SchedAero, Inc.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Servicios Auxiliares de México, S. de R.L. de C.V.</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Mexico</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Servicios de Combustible Atlanticos, S.R.L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Costa Rica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Servicios Ecuatorianos de Energia-Secsa CIA. LTDA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Ecuador</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Servicios WFSE Ecuador C.L.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Ecuador</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Tamlyn Shipping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Tank and Marine Engineering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The Hiller Group Incorporated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The Lubricant Company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Tobras Distribuidora de Combustíveis Ltda.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Brazil</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Group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Holdings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Tramp Oil &amp; Marine (Argentina) S.R.L.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Argentina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Oil &amp; Marine (Chile) Limitada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Chile</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Oil &amp; Marine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Oil (Brasil) Ltda.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Brazil</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Tramp Oil Germany GmbH</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Tramp Oil-Schiffahrts-und Handelsgesellschaft mbH &amp; Co.</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Trans-Tec Mundial S.R.L.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Costa Rica</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U.S. Energy Engineering, Inc.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UVAIR European Fuelling Services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Ireland</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Western Aviation Products LLC</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Western Petroleum Company</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States</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WF Lubricants S.L.</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Spain</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WFL (UK) II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WFL (UK)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WFL Mozambique, LDA</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Mozambique</w:t>
            </w:r>
          </w:p>
        </w:tc>
      </w:tr>
      <w:tr>
        <w:trPr>
          <w:trHeight w:val="229"/>
        </w:trPr>
        <w:tc>
          <w:tcPr>
            <w:tcW w:w="6440" w:type="dxa"/>
            <w:vAlign w:val="bottom"/>
            <w:gridSpan w:val="2"/>
          </w:tcPr>
          <w:p>
            <w:pPr>
              <w:spacing w:after="0"/>
              <w:rPr>
                <w:sz w:val="20"/>
                <w:szCs w:val="20"/>
                <w:color w:val="auto"/>
              </w:rPr>
            </w:pPr>
            <w:r>
              <w:rPr>
                <w:rFonts w:ascii="Arial" w:cs="Arial" w:eastAsia="Arial" w:hAnsi="Arial"/>
                <w:sz w:val="18"/>
                <w:szCs w:val="18"/>
                <w:color w:val="auto"/>
              </w:rPr>
              <w:t>WFS &amp; J Company Limited</w:t>
            </w:r>
          </w:p>
        </w:tc>
        <w:tc>
          <w:tcPr>
            <w:tcW w:w="3220" w:type="dxa"/>
            <w:vAlign w:val="bottom"/>
            <w:gridSpan w:val="3"/>
          </w:tcPr>
          <w:p>
            <w:pPr>
              <w:ind w:left="178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0139"/>
          </w:cols>
          <w:pgMar w:left="320" w:top="863" w:right="1440"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1520" w:type="dxa"/>
            <w:vAlign w:val="bottom"/>
            <w:gridSpan w:val="3"/>
          </w:tcPr>
          <w:p>
            <w:pPr>
              <w:ind w:left="220"/>
              <w:spacing w:after="0"/>
              <w:rPr>
                <w:sz w:val="20"/>
                <w:szCs w:val="20"/>
                <w:color w:val="auto"/>
              </w:rPr>
            </w:pPr>
            <w:r>
              <w:rPr>
                <w:rFonts w:ascii="Arial" w:cs="Arial" w:eastAsia="Arial" w:hAnsi="Arial"/>
                <w:sz w:val="18"/>
                <w:szCs w:val="18"/>
                <w:b w:val="1"/>
                <w:bCs w:val="1"/>
                <w:color w:val="auto"/>
              </w:rPr>
              <w:t>Country</w:t>
            </w:r>
          </w:p>
        </w:tc>
      </w:tr>
      <w:tr>
        <w:trPr>
          <w:trHeight w:val="20"/>
        </w:trPr>
        <w:tc>
          <w:tcPr>
            <w:tcW w:w="136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8000" w:type="dxa"/>
            <w:vAlign w:val="bottom"/>
            <w:gridSpan w:val="2"/>
          </w:tcPr>
          <w:p>
            <w:pPr>
              <w:spacing w:after="0"/>
              <w:rPr>
                <w:sz w:val="20"/>
                <w:szCs w:val="20"/>
                <w:color w:val="auto"/>
              </w:rPr>
            </w:pPr>
            <w:r>
              <w:rPr>
                <w:rFonts w:ascii="Arial" w:cs="Arial" w:eastAsia="Arial" w:hAnsi="Arial"/>
                <w:sz w:val="18"/>
                <w:szCs w:val="18"/>
                <w:color w:val="auto"/>
              </w:rPr>
              <w:t>WFS (Guam)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Guam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Agencia de Naves, Limitada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Chile</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Commercial Consulting (Shanghai) Co., Ltd.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China</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Danish Holding Company I ApS</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Denmark</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Danish Holding Partnership K/S</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Denmark</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Company II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Company III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Company IV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Partnership II LP</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Partnership III LP</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UK Holding Partnership LP</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I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II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III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IV,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IX,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V,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VII,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VIII,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WFS US Holding Company X,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Capital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Cayman Holding Company I</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Cayman Islands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Cayman Holding Company III</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Cayman Islands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Cayman Holding Company IV</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Cayman Islands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Cayman Holding Company V</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Cayman Islands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Commodities Services (Ireland)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Ireland</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CX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Gas and Power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PG Trading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(Australia) Pty Ltd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Australia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(Bahamas)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Bahamas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(Costa Rica) Limitada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Costa Rica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(Denmark) ApS</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Denmark</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(Hong Kong)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(KG)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Kyrgyzstan</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(New Zealand)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New Zealand</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(Panama) Limited Liability Company, Sociedad De Responsabilidad Limitada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Panama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(Singapore) II Pte. Ltd.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Singapore</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(Singapore) Pte Ltd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Singapore</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(South Africa) (Pty) Ltd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South Africa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(Taiwan)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Taiwan</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(Uruguay) S.A.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Uruguay</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Argentina S.R.L.</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Argentina</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Aviation Limited</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w w:val="99"/>
              </w:rPr>
              <w:t>United Kingdom</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Belgium BVBA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Belgium</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Canada, ULC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Canada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Chile, Limitada</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Chile</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Company, LLC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Corporate Aviation Support Services, Inc.</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World Fuel Services CZ s.r.o.</w:t>
            </w:r>
          </w:p>
        </w:tc>
        <w:tc>
          <w:tcPr>
            <w:tcW w:w="1520" w:type="dxa"/>
            <w:vAlign w:val="bottom"/>
            <w:gridSpan w:val="3"/>
          </w:tcPr>
          <w:p>
            <w:pPr>
              <w:ind w:left="220"/>
              <w:spacing w:after="0"/>
              <w:rPr>
                <w:sz w:val="20"/>
                <w:szCs w:val="20"/>
                <w:color w:val="auto"/>
              </w:rPr>
            </w:pPr>
            <w:r>
              <w:rPr>
                <w:rFonts w:ascii="Arial" w:cs="Arial" w:eastAsia="Arial" w:hAnsi="Arial"/>
                <w:sz w:val="18"/>
                <w:szCs w:val="18"/>
                <w:color w:val="auto"/>
              </w:rPr>
              <w:t>Czech Republic</w:t>
            </w:r>
          </w:p>
        </w:tc>
      </w:tr>
    </w:tbl>
    <w:p>
      <w:pPr>
        <w:sectPr>
          <w:pgSz w:w="11900" w:h="16838" w:orient="portrait"/>
          <w:cols w:equalWidth="0" w:num="1">
            <w:col w:w="10139"/>
          </w:cols>
          <w:pgMar w:left="320" w:top="863" w:right="1440"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2780" w:type="dxa"/>
            <w:vAlign w:val="bottom"/>
            <w:gridSpan w:val="3"/>
          </w:tcPr>
          <w:p>
            <w:pPr>
              <w:ind w:left="1060"/>
              <w:spacing w:after="0"/>
              <w:rPr>
                <w:sz w:val="20"/>
                <w:szCs w:val="20"/>
                <w:color w:val="auto"/>
              </w:rPr>
            </w:pPr>
            <w:r>
              <w:rPr>
                <w:rFonts w:ascii="Arial" w:cs="Arial" w:eastAsia="Arial" w:hAnsi="Arial"/>
                <w:sz w:val="18"/>
                <w:szCs w:val="18"/>
                <w:b w:val="1"/>
                <w:bCs w:val="1"/>
                <w:color w:val="auto"/>
              </w:rPr>
              <w:t>Country</w:t>
            </w:r>
          </w:p>
        </w:tc>
      </w:tr>
      <w:tr>
        <w:trPr>
          <w:trHeight w:val="20"/>
        </w:trPr>
        <w:tc>
          <w:tcPr>
            <w:tcW w:w="1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Europe, Ltd.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United Kingdom</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European Holding Company I, Ltd.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United Kingdom</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Finance Company S.à.r.L.</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Luxembourg</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France SAS</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France</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International (Panama) LLC</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Panama</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Italy S.r.L.</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Italy</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Japan G.K.</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Japan</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Kenya Limited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Kenya</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México, S. de R.L. de C.V.</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Mexico</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Pakistan (Pvt.) Limited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Pakistan</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Peru S.R.L.</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Peru</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Private Limited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India</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Regulatory Holdings, LLC</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United States</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Trading DMCC</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w w:val="99"/>
              </w:rPr>
              <w:t>United Arab Emirates</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Turkey Petrol Urunleri Dagitim Ve Ticaret Limited Sirketi</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Turkey</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Services, Inc.</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United States</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 Pte Ltd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Singapore</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II Pte Ltd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Singapore</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Yacht Fuel Services Limited</w:t>
            </w:r>
          </w:p>
        </w:tc>
        <w:tc>
          <w:tcPr>
            <w:tcW w:w="2780" w:type="dxa"/>
            <w:vAlign w:val="bottom"/>
            <w:gridSpan w:val="3"/>
          </w:tcPr>
          <w:p>
            <w:pPr>
              <w:ind w:left="10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139"/>
          </w:cols>
          <w:pgMar w:left="320" w:top="863" w:right="1440"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Exhibit 23.1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333-242250, No. 333-212927, No. 333-161099, No. 333-144379, No. 333-130528 and No. 333-68276) of World Fuel Services Corporation of our report dated February 26, 2021 relating to the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916"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2020;</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2021</w:t>
      </w:r>
    </w:p>
    <w:p>
      <w:pPr>
        <w:spacing w:after="0" w:line="33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2020;</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26, 2021</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9" w:lineRule="exact"/>
        <w:rPr>
          <w:sz w:val="20"/>
          <w:szCs w:val="20"/>
          <w:color w:val="auto"/>
        </w:rPr>
      </w:pPr>
    </w:p>
    <w:p>
      <w:pPr>
        <w:ind w:left="660" w:right="60" w:hanging="328"/>
        <w:spacing w:after="0" w:line="277" w:lineRule="auto"/>
        <w:tabs>
          <w:tab w:leader="none" w:pos="6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2020 (the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2021</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187325</wp:posOffset>
            </wp:positionV>
            <wp:extent cx="69265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1)"/>
      <w:numFmt w:val="lowerRoman"/>
      <w:start w:val="1"/>
    </w:lvl>
  </w:abstractNum>
  <w:abstractNum w:abstractNumId="13">
    <w:nsid w:val="189A769B"/>
    <w:multiLevelType w:val="hybridMultilevel"/>
    <w:lvl w:ilvl="0">
      <w:lvlJc w:val="left"/>
      <w:lvlText w:val="(%1)"/>
      <w:numFmt w:val="lowerLetter"/>
      <w:start w:val="2"/>
    </w:lvl>
  </w:abstractNum>
  <w:abstractNum w:abstractNumId="14">
    <w:nsid w:val="54E49EB4"/>
    <w:multiLevelType w:val="hybridMultilevel"/>
    <w:lvl w:ilvl="0">
      <w:lvlJc w:val="left"/>
      <w:lvlText w:val="%1"/>
      <w:numFmt w:val="decimal"/>
      <w:start w:val="10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9"/>
    </w:lvl>
  </w:abstractNum>
  <w:abstractNum w:abstractNumId="19">
    <w:nsid w:val="3A95F874"/>
    <w:multiLevelType w:val="hybridMultilevel"/>
    <w:lvl w:ilvl="0">
      <w:lvlJc w:val="left"/>
      <w:lvlText w:val="%1."/>
      <w:numFmt w:val="decimal"/>
      <w:start w:val="10"/>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3"/>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27">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30">
    <w:nsid w:val="5577F8E1"/>
    <w:multiLevelType w:val="hybridMultilevel"/>
    <w:lvl w:ilvl="0">
      <w:lvlJc w:val="left"/>
      <w:lvlText w:val="%1."/>
      <w:numFmt w:val="decimal"/>
      <w:start w:val="4"/>
    </w:lvl>
    <w:lvl w:ilvl="1">
      <w:lvlJc w:val="left"/>
      <w:lvlText w:val="(%2)"/>
      <w:numFmt w:val="lowerLetter"/>
      <w:start w:val="1"/>
    </w:lvl>
  </w:abstractNum>
  <w:abstractNum w:abstractNumId="31">
    <w:nsid w:val="440BADFC"/>
    <w:multiLevelType w:val="hybridMultilevel"/>
    <w:lvl w:ilvl="0">
      <w:lvlJc w:val="left"/>
      <w:lvlText w:val="%1."/>
      <w:numFmt w:val="decimal"/>
      <w:start w:val="7"/>
    </w:lvl>
  </w:abstractNum>
  <w:abstractNum w:abstractNumId="32">
    <w:nsid w:val="5072367"/>
    <w:multiLevelType w:val="hybridMultilevel"/>
    <w:lvl w:ilvl="0">
      <w:lvlJc w:val="left"/>
      <w:lvlText w:val="%1."/>
      <w:numFmt w:val="decimal"/>
      <w:start w:val="12"/>
    </w:lvl>
  </w:abstractNum>
  <w:abstractNum w:abstractNumId="33">
    <w:nsid w:val="3804823E"/>
    <w:multiLevelType w:val="hybridMultilevel"/>
    <w:lvl w:ilvl="0">
      <w:lvlJc w:val="left"/>
      <w:lvlText w:val="%1."/>
      <w:numFmt w:val="decimal"/>
      <w:start w:val="2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2"/>
    </w:lvl>
  </w:abstractNum>
  <w:abstractNum w:abstractNumId="35">
    <w:nsid w:val="7724C67E"/>
    <w:multiLevelType w:val="hybridMultilevel"/>
    <w:lvl w:ilvl="0">
      <w:lvlJc w:val="left"/>
      <w:lvlText w:val="%1."/>
      <w:numFmt w:val="decimal"/>
      <w:start w:val="25"/>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59" Type="http://schemas.openxmlformats.org/officeDocument/2006/relationships/hyperlink" Target="http://www.sec.gov/Archives/edgar/data/789460/000119312505018689/dex992.htm" TargetMode="External"/><Relationship Id="rId60" Type="http://schemas.openxmlformats.org/officeDocument/2006/relationships/hyperlink" Target="http://www.sec.gov/Archives/edgar/data/789460/000115752309008255/a6106663ex3_1.txt" TargetMode="External"/><Relationship Id="rId61" Type="http://schemas.openxmlformats.org/officeDocument/2006/relationships/hyperlink" Target="http://www.sec.gov/Archives/edgar/data/789460/000115752311005202/a6842908_ex31.htm" TargetMode="External"/><Relationship Id="rId62" Type="http://schemas.openxmlformats.org/officeDocument/2006/relationships/hyperlink" Target="http://www.sec.gov/Archives/edgar/data/789460/000162828020002590/a2019q410kex41.htm" TargetMode="External"/><Relationship Id="rId63" Type="http://schemas.openxmlformats.org/officeDocument/2006/relationships/hyperlink" Target="http://www.sec.gov/Archives/edgar/data/789460/000119312508061911/dex102.htm" TargetMode="External"/><Relationship Id="rId64" Type="http://schemas.openxmlformats.org/officeDocument/2006/relationships/hyperlink" Target="http://www.sec.gov/Archives/edgar/data/789460/000115752311005202/a6842908_ex101.htm" TargetMode="External"/><Relationship Id="rId65" Type="http://schemas.openxmlformats.org/officeDocument/2006/relationships/hyperlink" Target="http://www.sec.gov/Archives/edgar/data/789460/000115752312001808/a50230904ex10_1.htm" TargetMode="External"/><Relationship Id="rId66" Type="http://schemas.openxmlformats.org/officeDocument/2006/relationships/hyperlink" Target="http://www.sec.gov/Archives/edgar/data/789460/000110465914027167/a14-10353_1ex10d2.htm" TargetMode="External"/><Relationship Id="rId67" Type="http://schemas.openxmlformats.org/officeDocument/2006/relationships/hyperlink" Target="http://www.sec.gov/Archives/edgar/data/789460/000119312507081302/dex102.htm" TargetMode="External"/><Relationship Id="rId68" Type="http://schemas.openxmlformats.org/officeDocument/2006/relationships/hyperlink" Target="http://www.sec.gov/Archives/edgar/data/789460/000162828017007371/a2017q2ex101.htm" TargetMode="External"/><Relationship Id="rId69" Type="http://schemas.openxmlformats.org/officeDocument/2006/relationships/hyperlink" Target="http://www.sec.gov/Archives/edgar/data/789460/000110465916125102/a16-12742_1ex10d1.htm" TargetMode="External"/><Relationship Id="rId70" Type="http://schemas.openxmlformats.org/officeDocument/2006/relationships/hyperlink" Target="http://www.sec.gov/Archives/edgar/data/789460/000110465920066201/tm2020851d1_ex10-1.htm" TargetMode="External"/><Relationship Id="rId71" Type="http://schemas.openxmlformats.org/officeDocument/2006/relationships/hyperlink" Target="http://www.sec.gov/Archives/edgar/data/789460/000155837016003246/int-20151231ex1024bff55.htm" TargetMode="External"/><Relationship Id="rId72" Type="http://schemas.openxmlformats.org/officeDocument/2006/relationships/hyperlink" Target="http://www.sec.gov/Archives/edgar/data/789460/000162828019002382/a2018q4ex1010.htm" TargetMode="External"/><Relationship Id="rId73" Type="http://schemas.openxmlformats.org/officeDocument/2006/relationships/hyperlink" Target="http://www.sec.gov/Archives/edgar/data/789460/000162828018002457/a2017q4ex1010.htm" TargetMode="External"/><Relationship Id="rId74" Type="http://schemas.openxmlformats.org/officeDocument/2006/relationships/hyperlink" Target="http://www.sec.gov/Archives/edgar/data/789460/000155837015001275/int-20150630ex1015b0497.htm" TargetMode="External"/><Relationship Id="rId75" Type="http://schemas.openxmlformats.org/officeDocument/2006/relationships/hyperlink" Target="http://www.sec.gov/Archives/edgar/data/789460/000162828018002457/a2017q4ex1012.htm" TargetMode="External"/><Relationship Id="rId76" Type="http://schemas.openxmlformats.org/officeDocument/2006/relationships/hyperlink" Target="http://www.sec.gov/Archives/edgar/data/789460/000162828018002457/a2017q4ex1014.htm" TargetMode="External"/><Relationship Id="rId77" Type="http://schemas.openxmlformats.org/officeDocument/2006/relationships/hyperlink" Target="http://www.sec.gov/Archives/edgar/data/789460/000110465914054975/a14-13976_1ex10d1.htm" TargetMode="External"/><Relationship Id="rId78" Type="http://schemas.openxmlformats.org/officeDocument/2006/relationships/hyperlink" Target="http://www.sec.gov/Archives/edgar/data/789460/000162828017001482/a2016q4ex1015.htm" TargetMode="External"/><Relationship Id="rId79" Type="http://schemas.openxmlformats.org/officeDocument/2006/relationships/hyperlink" Target="http://www.sec.gov/Archives/edgar/data/789460/000162828018002457/a2017q4ex1017.htm" TargetMode="External"/><Relationship Id="rId80" Type="http://schemas.openxmlformats.org/officeDocument/2006/relationships/hyperlink" Target="http://www.sec.gov/Archives/edgar/data/789460/000110465914054975/a14-13976_1ex10d2.htm" TargetMode="External"/><Relationship Id="rId83" Type="http://schemas.openxmlformats.org/officeDocument/2006/relationships/hyperlink" Target="http://www.sec.gov/Archives/edgar/data/789460/000162828018002457/a2017q4ex1021.htm" TargetMode="External"/><Relationship Id="rId84" Type="http://schemas.openxmlformats.org/officeDocument/2006/relationships/hyperlink" Target="http://www.sec.gov/Archives/edgar/data/789460/000162828017007371/a2017q2ex104.htm" TargetMode="External"/><Relationship Id="rId85" Type="http://schemas.openxmlformats.org/officeDocument/2006/relationships/hyperlink" Target="http://www.sec.gov/Archives/edgar/data/789460/000162828017007371/a2017q2ex105.htm" TargetMode="External"/><Relationship Id="rId86" Type="http://schemas.openxmlformats.org/officeDocument/2006/relationships/hyperlink" Target="http://www.sec.gov/Archives/edgar/data/789460/000162828018002457/a2017q4ex1024.htm" TargetMode="External"/><Relationship Id="rId87" Type="http://schemas.openxmlformats.org/officeDocument/2006/relationships/hyperlink" Target="http://www.sec.gov/Archives/edgar/data/789460/000162828018002457/a2017q4ex1025.htm" TargetMode="External"/><Relationship Id="rId88" Type="http://schemas.openxmlformats.org/officeDocument/2006/relationships/hyperlink" Target="http://www.sec.gov/Archives/edgar/data/789460/000110465913075419/a13-22173_1ex10d1.htm" TargetMode="External"/><Relationship Id="rId89" Type="http://schemas.openxmlformats.org/officeDocument/2006/relationships/hyperlink" Target="http://www.sec.gov/Archives/edgar/data/789460/000155837015000030/int-20150130ex10147ad65.htm" TargetMode="External"/><Relationship Id="rId90" Type="http://schemas.openxmlformats.org/officeDocument/2006/relationships/hyperlink" Target="http://www.sec.gov/Archives/edgar/data/789460/000162828016020385/amendmentno2.htm" TargetMode="External"/><Relationship Id="rId91" Type="http://schemas.openxmlformats.org/officeDocument/2006/relationships/hyperlink" Target="http://www.sec.gov/Archives/edgar/data/789460/000162828017007371/a2017q2ex102.htm" TargetMode="External"/><Relationship Id="rId92" Type="http://schemas.openxmlformats.org/officeDocument/2006/relationships/hyperlink" Target="http://www.sec.gov/Archives/edgar/data/789460/000162828018002457/a2017q4ex1030.htm" TargetMode="External"/><Relationship Id="rId93" Type="http://schemas.openxmlformats.org/officeDocument/2006/relationships/hyperlink" Target="http://www.sec.gov/Archives/edgar/data/789460/000162828019008923/annexitoamendmentno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2021-03-01T06:33:10Z</dcterms:created>
  <dcterms:modified xsi:type="dcterms:W3CDTF">2021-03-01T06:33:10Z</dcterms:modified>
</cp:coreProperties>
</file>