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19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(Amendment No. 2</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INTERNATIONAL RECOVERY CORPORATION</w:t>
      </w:r>
    </w:p>
    <w:p>
      <w:pPr>
        <w:ind w:left="29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w:t>
      </w:r>
    </w:p>
    <w:p>
      <w:pPr>
        <w:ind w:left="22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460242 10 0</w:t>
      </w:r>
    </w:p>
    <w:p>
      <w:pPr>
        <w:ind w:left="30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960"/>
        <w:spacing w:after="0"/>
        <w:tabs>
          <w:tab w:leader="none" w:pos="2100" w:val="left"/>
          <w:tab w:leader="none" w:pos="4620" w:val="left"/>
          <w:tab w:leader="none" w:pos="588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ind w:left="640"/>
        <w:spacing w:after="0" w:line="238" w:lineRule="auto"/>
        <w:rPr>
          <w:sz w:val="20"/>
          <w:szCs w:val="20"/>
          <w:color w:val="auto"/>
        </w:rPr>
      </w:pPr>
      <w:r>
        <w:rPr>
          <w:rFonts w:ascii="Courier New" w:cs="Courier New" w:eastAsia="Courier New" w:hAnsi="Courier New"/>
          <w:sz w:val="18"/>
          <w:szCs w:val="18"/>
          <w:color w:val="auto"/>
        </w:rPr>
        <w:t>13-2670991</w:t>
      </w:r>
    </w:p>
    <w:p>
      <w:pPr>
        <w:spacing w:after="0" w:line="202"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470"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277,500</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ectPr>
          <w:pgSz w:w="11900" w:h="16838" w:orient="portrait"/>
          <w:cols w:equalWidth="0" w:num="1">
            <w:col w:w="10219"/>
          </w:cols>
          <w:pgMar w:left="240" w:top="244" w:right="1440" w:bottom="0" w:gutter="0" w:footer="0" w:header="0"/>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57,000</w:t>
      </w:r>
    </w:p>
    <w:p>
      <w:pPr>
        <w:spacing w:after="0" w:line="201" w:lineRule="exact"/>
        <w:rPr>
          <w:sz w:val="20"/>
          <w:szCs w:val="20"/>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6"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334,500</w:t>
      </w:r>
    </w:p>
    <w:p>
      <w:pPr>
        <w:spacing w:after="0" w:line="11" w:lineRule="exact"/>
        <w:rPr>
          <w:rFonts w:ascii="Courier New" w:cs="Courier New" w:eastAsia="Courier New" w:hAnsi="Courier New"/>
          <w:sz w:val="18"/>
          <w:szCs w:val="18"/>
          <w:color w:val="auto"/>
        </w:rPr>
      </w:pPr>
    </w:p>
    <w:p>
      <w:pPr>
        <w:ind w:left="1800" w:right="3259" w:hanging="1792"/>
        <w:spacing w:after="0" w:line="470" w:lineRule="auto"/>
        <w:tabs>
          <w:tab w:leader="none" w:pos="64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334,500</w:t>
      </w:r>
    </w:p>
    <w:p>
      <w:pPr>
        <w:spacing w:after="0" w:line="11" w:lineRule="exact"/>
        <w:rPr>
          <w:rFonts w:ascii="Courier New" w:cs="Courier New" w:eastAsia="Courier New" w:hAnsi="Courier New"/>
          <w:sz w:val="18"/>
          <w:szCs w:val="18"/>
          <w:color w:val="auto"/>
        </w:rPr>
      </w:pPr>
    </w:p>
    <w:p>
      <w:pPr>
        <w:ind w:left="640" w:right="25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 CERTAIN SHARES Not Applicable</w:t>
      </w:r>
    </w:p>
    <w:p>
      <w:pPr>
        <w:spacing w:after="0" w:line="11"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7.1 %</w:t>
      </w:r>
    </w:p>
    <w:p>
      <w:pPr>
        <w:spacing w:after="0" w:line="12" w:lineRule="exact"/>
        <w:rPr>
          <w:sz w:val="20"/>
          <w:szCs w:val="20"/>
          <w:color w:val="auto"/>
        </w:rPr>
      </w:pPr>
    </w:p>
    <w:p>
      <w:pPr>
        <w:ind w:left="640" w:right="70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IV, HC</w:t>
      </w:r>
    </w:p>
    <w:p>
      <w:pPr>
        <w:spacing w:after="0" w:line="209" w:lineRule="exact"/>
        <w:rPr>
          <w:sz w:val="20"/>
          <w:szCs w:val="20"/>
          <w:color w:val="auto"/>
        </w:rPr>
      </w:pPr>
    </w:p>
    <w:p>
      <w:pPr>
        <w:ind w:left="540"/>
        <w:spacing w:after="0"/>
        <w:tabs>
          <w:tab w:leader="none" w:pos="1680" w:val="left"/>
          <w:tab w:leader="none" w:pos="4000" w:val="left"/>
          <w:tab w:leader="none" w:pos="526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280" w:hanging="640"/>
        <w:spacing w:after="0" w:line="238"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Recovery Corporation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700 South Royal Poinciana Blvd., Suite 800</w:t>
      </w:r>
    </w:p>
    <w:p>
      <w:pPr>
        <w:ind w:left="1280"/>
        <w:spacing w:after="0" w:line="238" w:lineRule="auto"/>
        <w:rPr>
          <w:sz w:val="20"/>
          <w:szCs w:val="20"/>
          <w:color w:val="auto"/>
        </w:rPr>
      </w:pPr>
      <w:r>
        <w:rPr>
          <w:rFonts w:ascii="Courier New" w:cs="Courier New" w:eastAsia="Courier New" w:hAnsi="Courier New"/>
          <w:sz w:val="18"/>
          <w:szCs w:val="18"/>
          <w:color w:val="auto"/>
        </w:rPr>
        <w:t>Miami Springs, FL 33166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1280" w:right="6419" w:hanging="640"/>
        <w:spacing w:after="0" w:line="536"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Franklin Resources, Inc.</w:t>
      </w: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Blvd. San Mateo, California 94404</w:t>
      </w:r>
    </w:p>
    <w:p>
      <w:pPr>
        <w:spacing w:after="0" w:line="169" w:lineRule="exact"/>
        <w:rPr>
          <w:rFonts w:ascii="Courier New" w:cs="Courier New" w:eastAsia="Courier New" w:hAnsi="Courier New"/>
          <w:sz w:val="18"/>
          <w:szCs w:val="18"/>
          <w:color w:val="auto"/>
        </w:rPr>
      </w:pPr>
    </w:p>
    <w:p>
      <w:pPr>
        <w:ind w:left="1280" w:right="6739" w:hanging="640"/>
        <w:spacing w:after="0" w:line="536"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Delaware</w:t>
      </w:r>
    </w:p>
    <w:p>
      <w:pPr>
        <w:ind w:left="1280" w:right="5999" w:hanging="640"/>
        <w:spacing w:after="0" w:line="470"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354613 10 1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ind w:left="1280" w:hanging="640"/>
        <w:spacing w:after="0" w:line="238"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1"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 (Note: See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0"/>
        <w:spacing w:after="0"/>
        <w:tabs>
          <w:tab w:leader="none" w:pos="1680" w:val="left"/>
          <w:tab w:leader="none" w:pos="4000" w:val="left"/>
          <w:tab w:leader="none" w:pos="5260" w:val="left"/>
        </w:tabs>
        <w:rPr>
          <w:sz w:val="20"/>
          <w:szCs w:val="20"/>
          <w:color w:val="auto"/>
        </w:rPr>
      </w:pPr>
      <w:r>
        <w:rPr>
          <w:rFonts w:ascii="Courier New" w:cs="Courier New" w:eastAsia="Courier New" w:hAnsi="Courier New"/>
          <w:sz w:val="18"/>
          <w:szCs w:val="18"/>
          <w:color w:val="auto"/>
        </w:rPr>
        <w:t>CUSIP NO.</w:t>
        <w:tab/>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ectPr>
          <w:pgSz w:w="11900" w:h="16838" w:orient="portrait"/>
          <w:cols w:equalWidth="0" w:num="1">
            <w:col w:w="10219"/>
          </w:cols>
          <w:pgMar w:left="240" w:top="136" w:right="1440" w:bottom="132"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280" w:right="6319" w:hanging="640"/>
        <w:spacing w:after="0" w:line="470"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334,500</w:t>
      </w:r>
    </w:p>
    <w:p>
      <w:pPr>
        <w:spacing w:after="0" w:line="11" w:lineRule="exact"/>
        <w:rPr>
          <w:rFonts w:ascii="Courier New" w:cs="Courier New" w:eastAsia="Courier New" w:hAnsi="Courier New"/>
          <w:sz w:val="18"/>
          <w:szCs w:val="18"/>
          <w:color w:val="auto"/>
        </w:rPr>
      </w:pPr>
    </w:p>
    <w:p>
      <w:pPr>
        <w:ind w:left="1280" w:right="7259" w:hanging="640"/>
        <w:spacing w:after="0" w:line="470"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7.1 %</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277,500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57,000</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1900" w:right="2519" w:hanging="628"/>
        <w:spacing w:after="0" w:line="470" w:lineRule="auto"/>
        <w:tabs>
          <w:tab w:leader="none" w:pos="19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334,500</w:t>
      </w:r>
    </w:p>
    <w:p>
      <w:pPr>
        <w:spacing w:after="0" w:line="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Attached Exhibit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 w:leader="none" w:pos="3460" w:val="left"/>
          <w:tab w:leader="none" w:pos="47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460242 10 0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 filing the report (Franklin Resources, Inc.) that it is the beneficial owner of any securities covered by this report.***</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January</w:t>
        <w:tab/>
        <w:t>28, 1994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Deborah R. Gatzek</w:t>
      </w:r>
    </w:p>
    <w:p>
      <w:pPr>
        <w:spacing w:after="0" w:line="238" w:lineRule="auto"/>
        <w:rPr>
          <w:sz w:val="20"/>
          <w:szCs w:val="20"/>
          <w:color w:val="auto"/>
        </w:rPr>
      </w:pPr>
      <w:r>
        <w:rPr>
          <w:rFonts w:ascii="Courier New" w:cs="Courier New" w:eastAsia="Courier New" w:hAnsi="Courier New"/>
          <w:sz w:val="18"/>
          <w:szCs w:val="18"/>
          <w:color w:val="auto"/>
        </w:rPr>
        <w:t>Senior Vice President-Legal</w:t>
      </w:r>
    </w:p>
    <w:p>
      <w:pPr>
        <w:spacing w:after="0" w:line="5" w:lineRule="exact"/>
        <w:rPr>
          <w:sz w:val="20"/>
          <w:szCs w:val="20"/>
          <w:color w:val="auto"/>
        </w:rPr>
      </w:pPr>
    </w:p>
    <w:p>
      <w:pPr>
        <w:ind w:right="7999" w:firstLine="8"/>
        <w:spacing w:after="0" w:line="235"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Secretary Name/Title</w:t>
      </w:r>
    </w:p>
    <w:p>
      <w:pPr>
        <w:spacing w:after="0" w:line="200" w:lineRule="exact"/>
        <w:rPr>
          <w:sz w:val="20"/>
          <w:szCs w:val="20"/>
          <w:color w:val="auto"/>
        </w:rPr>
      </w:pPr>
    </w:p>
    <w:p>
      <w:pPr>
        <w:spacing w:after="0" w:line="211" w:lineRule="exact"/>
        <w:rPr>
          <w:sz w:val="20"/>
          <w:szCs w:val="20"/>
          <w:color w:val="auto"/>
        </w:rPr>
      </w:pPr>
    </w:p>
    <w:p>
      <w:pPr>
        <w:ind w:right="1999" w:firstLine="8"/>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 and its subsidiaries and companies under control with them with respect to the exercise of investment discretion are of the view that they are not active as a "group" for purposes of Section 13(d) under the Securities Exchange Act of 1934 ("1934 Act") and that they are not otherwise required to attribute to each other the "beneficial ownership" of securities under Rule 13(d) 3 promulgated under the 1934 Act. Therefore, they are of the view that the shares held by Franklin Resources, Inc., and its subsidiaries and companies under common control with them need not be aggregated for purposes of Section 13(d). However, Franklin Resources, Inc. is making this filing on a voluntary basis as if all the shares are beneficially owned by Franklin Resources, Inc. and its subsidiaries and companies under common control with respect to the exercise of investment discretion.</w:t>
      </w:r>
    </w:p>
    <w:p>
      <w:pPr>
        <w:sectPr>
          <w:pgSz w:w="11900" w:h="16838" w:orient="portrait"/>
          <w:cols w:equalWidth="0" w:num="1">
            <w:col w:w="10219"/>
          </w:cols>
          <w:pgMar w:left="240" w:top="13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RESOURCES,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EXHIBIT TO SCHEDULE 13G</w:t>
            </w:r>
          </w:p>
        </w:tc>
        <w:tc>
          <w:tcPr>
            <w:tcW w:w="1580" w:type="dxa"/>
            <w:vAlign w:val="bottom"/>
          </w:tcPr>
          <w:p>
            <w:pPr>
              <w:spacing w:after="0"/>
              <w:rPr>
                <w:sz w:val="17"/>
                <w:szCs w:val="17"/>
                <w:color w:val="auto"/>
              </w:rPr>
            </w:pPr>
          </w:p>
        </w:tc>
      </w:tr>
      <w:tr>
        <w:trPr>
          <w:trHeight w:val="810"/>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ITEM 3</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CLASSIFICATION OF SUBSIDIARIES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CLASSIFICATION</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ASSET MANAGEMENT SYSTEMS</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RESOURCES,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CONTINENTAL PROPERTY MANAGEMENT COMPANY</w:t>
            </w: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FS CAPITAL GROUP</w:t>
            </w: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FS PROPERTIES, INC.</w:t>
            </w: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PROPERTIES,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REAL ESTATE MANAGEMENT,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 SERVICES,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ADVISERS,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DISTRIBUTORS,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3(a)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TRUST COMPANY</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3(b)</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ENERGY CORPORATION</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ILA FINANCIAL SERVICES,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ARIZONA LIFE INSURANCE COMPANY OF AMERICA</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INSTITUTIONAL SERVICES CORP.</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AGENCY,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PARTNERS INC.</w:t>
            </w:r>
          </w:p>
        </w:tc>
        <w:tc>
          <w:tcPr>
            <w:tcW w:w="1580" w:type="dxa"/>
            <w:vAlign w:val="bottom"/>
          </w:tcPr>
          <w:p>
            <w:pPr>
              <w:spacing w:after="0"/>
              <w:rPr>
                <w:sz w:val="17"/>
                <w:szCs w:val="17"/>
                <w:color w:val="auto"/>
              </w:rPr>
            </w:pPr>
          </w:p>
        </w:tc>
      </w:tr>
      <w:tr>
        <w:trPr>
          <w:trHeight w:val="810"/>
        </w:trPr>
        <w:tc>
          <w:tcPr>
            <w:tcW w:w="6540" w:type="dxa"/>
            <w:vAlign w:val="bottom"/>
            <w:gridSpan w:val="3"/>
          </w:tcPr>
          <w:p>
            <w:pPr>
              <w:spacing w:after="0"/>
              <w:rPr>
                <w:sz w:val="20"/>
                <w:szCs w:val="20"/>
                <w:color w:val="auto"/>
              </w:rPr>
            </w:pPr>
            <w:r>
              <w:rPr>
                <w:rFonts w:ascii="Courier New" w:cs="Courier New" w:eastAsia="Courier New" w:hAnsi="Courier New"/>
                <w:sz w:val="18"/>
                <w:szCs w:val="18"/>
                <w:color w:val="auto"/>
              </w:rPr>
              <w:t>HAMPTON UTILITIES TRUST</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UNIVERSAL</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MULTI-INCOME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GOLD FUND</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PREMIER RETURN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EQUITY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 HIGH</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CUSTODIAN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GROWTH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UTILITIES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DYNATECH</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INCOME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U.S. GOVERNMENT SECURITIES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MONEY FUND</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CALIFORNIA TAX-FREE 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MONEY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TAX-EXEMPT MONEY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TAX-FREE 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608"/>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40" w:type="dxa"/>
            <w:vAlign w:val="bottom"/>
          </w:tcPr>
          <w:p>
            <w:pPr>
              <w:ind w:left="860"/>
              <w:spacing w:after="0"/>
              <w:rPr>
                <w:sz w:val="20"/>
                <w:szCs w:val="20"/>
                <w:color w:val="auto"/>
              </w:rPr>
            </w:pPr>
            <w:r>
              <w:rPr>
                <w:rFonts w:ascii="Courier New" w:cs="Courier New" w:eastAsia="Courier New" w:hAnsi="Courier New"/>
                <w:sz w:val="18"/>
                <w:szCs w:val="18"/>
                <w:color w:val="auto"/>
              </w:rPr>
              <w:t>Page 1 of 6</w:t>
            </w:r>
          </w:p>
        </w:tc>
        <w:tc>
          <w:tcPr>
            <w:tcW w:w="158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TAX-FREE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MASSACHUSETTS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MICHIGAN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MINNESOTA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OHIO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PUERTO RICO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ARIZONA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COLORADO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PENNSYLVANIA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HIGH YIELD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MISSOURI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OREGON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VIRGINIA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ALABAMA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FRANKLIN FLORIDA TAX-FREE INCOME FUND</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CONNECTICUT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INDIANA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LOUISIANA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MARYLAND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CAROLINA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JERSEY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KENTUCKY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INTERMEDIATE-TERM</w:t>
            </w:r>
          </w:p>
        </w:tc>
        <w:tc>
          <w:tcPr>
            <w:tcW w:w="158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TAX-FREE INCOME FUND</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ARIZONA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FLORIDA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CALIFORNIA TAX-FREE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TAX-EXEMPT MONEY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INTERMEDIATE-TERM</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NEW YORK TAX-FREE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TAX-EXEMPT MONEY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INTERMEDIATE-TERM TAX-FREE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INVESTORS</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GOVERNMENT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SHORT-INTERMEDIATE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CONVERTIBLE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ADJUSTABLE 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ADJUSTABLE RATE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INSTITUTIONAL FIDUCIARY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LATE DAY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GOVERNMENT SECURITIES MONEY</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405"/>
        </w:trPr>
        <w:tc>
          <w:tcPr>
            <w:tcW w:w="1900" w:type="dxa"/>
            <w:vAlign w:val="bottom"/>
          </w:tcPr>
          <w:p>
            <w:pPr>
              <w:spacing w:after="0"/>
              <w:rPr>
                <w:sz w:val="24"/>
                <w:szCs w:val="24"/>
                <w:color w:val="auto"/>
              </w:rPr>
            </w:pPr>
          </w:p>
        </w:tc>
        <w:tc>
          <w:tcPr>
            <w:tcW w:w="4640" w:type="dxa"/>
            <w:vAlign w:val="bottom"/>
          </w:tcPr>
          <w:p>
            <w:pPr>
              <w:ind w:left="960"/>
              <w:spacing w:after="0"/>
              <w:rPr>
                <w:sz w:val="20"/>
                <w:szCs w:val="20"/>
                <w:color w:val="auto"/>
              </w:rPr>
            </w:pPr>
            <w:r>
              <w:rPr>
                <w:rFonts w:ascii="Courier New" w:cs="Courier New" w:eastAsia="Courier New" w:hAnsi="Courier New"/>
                <w:sz w:val="18"/>
                <w:szCs w:val="18"/>
                <w:color w:val="auto"/>
              </w:rPr>
              <w:t>Page 2 of 6</w:t>
            </w:r>
          </w:p>
        </w:tc>
        <w:tc>
          <w:tcPr>
            <w:tcW w:w="520" w:type="dxa"/>
            <w:vAlign w:val="bottom"/>
          </w:tcPr>
          <w:p>
            <w:pPr>
              <w:spacing w:after="0"/>
              <w:rPr>
                <w:sz w:val="24"/>
                <w:szCs w:val="24"/>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TREASURY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ADJUSTABLE U.S. GOVERNMENT</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ADJUSTABLE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BALANCE SHEET INVESTMENT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INTERNATIONAL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HIGH YIELD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MANAGED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CORPORATE QUALIFIED DIVIDEND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RISING DIVIDENDS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GRADE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STRATEGIC</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MORTGAGE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MUNICIPAL</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HAWAII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HIGH YIELD MUNICIPAL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WASHINGTON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STRATEGIC</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MIDCAP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FISCO MIDCAP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UTILITIES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SMALL 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HEALTH CARE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ADJUSTABLE RATE SECURITIES PORTFOLIOS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U.S. GOVERNMENT ADJUSTABLE RATE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ADJUSTABLE RATE SECURITIES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MONEY MARKET PORTFOLIOS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U.S. GOVERNMENT SECURITIES</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MIDCAP GROWTH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INTERNATIONAL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PACIFIC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 EQUITY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REAL ESTATE SECURITIES 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FRANKLIN/TEMPLETON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GERMAN GOVERNMENT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GLOBAL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HARD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FRANKLIN/TEMPLETON HIGH INCOME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VALUEMARK</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FUNDS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MONEY MARKET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EQUITY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PRECIOUS</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METALS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REAL ESTATE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UTILITY EQUITY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HIGH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GLOBAL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INVESTMENT GRADE INTERMEDIATE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ind w:left="2860"/>
              <w:spacing w:after="0"/>
              <w:rPr>
                <w:sz w:val="20"/>
                <w:szCs w:val="20"/>
                <w:color w:val="auto"/>
              </w:rPr>
            </w:pPr>
            <w:r>
              <w:rPr>
                <w:rFonts w:ascii="Courier New" w:cs="Courier New" w:eastAsia="Courier New" w:hAnsi="Courier New"/>
                <w:sz w:val="18"/>
                <w:szCs w:val="18"/>
                <w:color w:val="auto"/>
              </w:rPr>
              <w:t>Page 3 of 6</w:t>
            </w:r>
          </w:p>
        </w:tc>
        <w:tc>
          <w:tcPr>
            <w:tcW w:w="1060" w:type="dxa"/>
            <w:vAlign w:val="bottom"/>
          </w:tcPr>
          <w:p>
            <w:pPr>
              <w:spacing w:after="0"/>
              <w:rPr>
                <w:sz w:val="17"/>
                <w:szCs w:val="17"/>
                <w:color w:val="auto"/>
              </w:rPr>
            </w:pP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SECURITIES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U.S. GOVERNMENT SECURITIES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- 1995</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- 2000</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- 2005</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- 2010</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ADJUSTABLE U.S. GOVERNMENT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RISING DIVIDENDS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PACIFIC GROWTH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EQUITY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GOVERNMENT SECURITIES TRUST</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TEMPLETON WORLDWIDE, INC.</w:t>
            </w:r>
          </w:p>
        </w:tc>
        <w:tc>
          <w:tcPr>
            <w:tcW w:w="1060" w:type="dxa"/>
            <w:vAlign w:val="bottom"/>
          </w:tcPr>
          <w:p>
            <w:pPr>
              <w:spacing w:after="0"/>
              <w:rPr>
                <w:sz w:val="24"/>
                <w:szCs w:val="24"/>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INVESTORS, INC.</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QUANTITATIVE ADVISORS,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TEMPLETON/FRANKLIN INVESTMENT SERVICES,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3(e),3(a)</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MANAGEMENT, INC.</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TRUST COMPANY</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DISTRIBUTORS,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3(a)</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ANNUITY COMPANY</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COUNSEL,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MANAGEMENT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HERITAGE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INC.</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(Hong Kong) LIMITED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(Singapore) PTE. LTD.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(Australia)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INVESTORS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UNIT TRUST MANAGERS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HOLDINGS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LIFE ASSURANCE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STRATEGIC SERVICES S.A.</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STRATEGIC SERVICES (Deutschland) GMBH</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MANAGEMENT (Lux.) S.A.</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T.G.H. HOLDINGS LTD.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GALBRAITH AND HANSBERGER LTD.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810"/>
        </w:trPr>
        <w:tc>
          <w:tcPr>
            <w:tcW w:w="6540" w:type="dxa"/>
            <w:vAlign w:val="bottom"/>
          </w:tcPr>
          <w:p>
            <w:pPr>
              <w:spacing w:after="0"/>
              <w:rPr>
                <w:sz w:val="20"/>
                <w:szCs w:val="20"/>
                <w:color w:val="auto"/>
              </w:rPr>
            </w:pPr>
            <w:r>
              <w:rPr>
                <w:rFonts w:ascii="Courier New" w:cs="Courier New" w:eastAsia="Courier New" w:hAnsi="Courier New"/>
                <w:sz w:val="18"/>
                <w:szCs w:val="18"/>
                <w:color w:val="auto"/>
              </w:rPr>
              <w:t>TEMPLETON SMALLER COMPANIES GROWTH FUND, INC.</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WORLD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FOREIGN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INCOME TRUST</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INCOME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MONEY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GROWTH FUND,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FUND,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FUND,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VARIABLE ANNUITY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VARIABLE PRODUCTS SERIES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405"/>
        </w:trPr>
        <w:tc>
          <w:tcPr>
            <w:tcW w:w="6540" w:type="dxa"/>
            <w:vAlign w:val="bottom"/>
          </w:tcPr>
          <w:p>
            <w:pPr>
              <w:ind w:left="2860"/>
              <w:spacing w:after="0"/>
              <w:rPr>
                <w:sz w:val="20"/>
                <w:szCs w:val="20"/>
                <w:color w:val="auto"/>
              </w:rPr>
            </w:pPr>
            <w:r>
              <w:rPr>
                <w:rFonts w:ascii="Courier New" w:cs="Courier New" w:eastAsia="Courier New" w:hAnsi="Courier New"/>
                <w:sz w:val="18"/>
                <w:szCs w:val="18"/>
                <w:color w:val="auto"/>
              </w:rPr>
              <w:t>Page 4 of 6</w:t>
            </w:r>
          </w:p>
        </w:tc>
        <w:tc>
          <w:tcPr>
            <w:tcW w:w="1060" w:type="dxa"/>
            <w:vAlign w:val="bottom"/>
          </w:tcPr>
          <w:p>
            <w:pPr>
              <w:spacing w:after="0"/>
              <w:rPr>
                <w:sz w:val="24"/>
                <w:szCs w:val="24"/>
                <w:color w:val="auto"/>
              </w:rPr>
            </w:pP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MONEY MARKET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BOND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STOCK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ASSET ALLOCATION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VALUE FUND,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GOVERNMENTS INCOME TRUST</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REAL ESTATE SECURITIES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OPPORTUNITIES TRUST</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UTILITIES,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WORLDWIDE INVESTMENTS SICAV</w:t>
            </w:r>
          </w:p>
        </w:tc>
        <w:tc>
          <w:tcPr>
            <w:tcW w:w="1060" w:type="dxa"/>
            <w:vAlign w:val="bottom"/>
          </w:tcPr>
          <w:p>
            <w:pPr>
              <w:spacing w:after="0"/>
              <w:rPr>
                <w:sz w:val="17"/>
                <w:szCs w:val="17"/>
                <w:color w:val="auto"/>
              </w:rPr>
            </w:pP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GROWTH PORTFOLIO</w:t>
            </w:r>
          </w:p>
        </w:tc>
        <w:tc>
          <w:tcPr>
            <w:tcW w:w="1060" w:type="dxa"/>
            <w:vAlign w:val="bottom"/>
          </w:tcPr>
          <w:p>
            <w:pPr>
              <w:spacing w:after="0"/>
              <w:rPr>
                <w:sz w:val="17"/>
                <w:szCs w:val="17"/>
                <w:color w:val="auto"/>
              </w:rPr>
            </w:pP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PORTFOLIO</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INDONESIA DEVELOPMENT FUND LIMITED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FUND LTD.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PORTFOLIO LTD.</w:t>
            </w:r>
          </w:p>
        </w:tc>
        <w:tc>
          <w:tcPr>
            <w:tcW w:w="1060" w:type="dxa"/>
            <w:vAlign w:val="bottom"/>
          </w:tcPr>
          <w:p>
            <w:pPr>
              <w:spacing w:after="0"/>
              <w:rPr>
                <w:sz w:val="17"/>
                <w:szCs w:val="17"/>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EMERGING MARKETS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GROWTH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FOREIGN FUND</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INSTITUTIONAL FUNDS, INC.</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GROWTH SERIES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FOREIGN EQUITY SERIES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EMERGING MARKETS SERIES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SMALLER COMPANIES SERIES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FIXED INCOME SERIES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TEMPLETON FOREIGN EQUITY (SOUTH AFRICA FREE) SERIES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bl>
    <w:p>
      <w:pPr>
        <w:sectPr>
          <w:pgSz w:w="11900" w:h="16838" w:orient="portrait"/>
          <w:cols w:equalWidth="0" w:num="1">
            <w:col w:w="10219"/>
          </w:cols>
          <w:pgMar w:left="240" w:top="136"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rPr>
              <w:t>TEMPLETON AMERICAN TRUST, INC.</w:t>
            </w:r>
          </w:p>
        </w:tc>
        <w:tc>
          <w:tcPr>
            <w:tcW w:w="880" w:type="dxa"/>
            <w:vAlign w:val="bottom"/>
          </w:tcPr>
          <w:p>
            <w:pPr>
              <w:ind w:left="46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CAPITAL ACCUMULATOR FUND, INC.</w:t>
            </w:r>
          </w:p>
        </w:tc>
        <w:tc>
          <w:tcPr>
            <w:tcW w:w="8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DEVELOPING MARKETS TRUST</w:t>
            </w:r>
          </w:p>
        </w:tc>
        <w:tc>
          <w:tcPr>
            <w:tcW w:w="8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GROWTH FUND, LTD.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FUND (AUSTRALIA)</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ASIAN DEVELOPMENT EQUITY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TREASURY BILL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TRUST</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BALANCED TRUST</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FUND (III)</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SMALLER COMPANIES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HERITAGE RETIREMENT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STOCK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INVESTMENT TRUST PLC</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VALUE TRUST</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GROWTH STOCK PORTFOLIO N.V.</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ASIA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HERITAGE BOND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POOLED INVESTMENT TRUST</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EQUITY TRUST</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STOCK TRUST</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EQUITY TRUST</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STRATEGY SICAV</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EMERGING MARKETS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GROWTH FUND</w:t>
            </w:r>
          </w:p>
        </w:tc>
        <w:tc>
          <w:tcPr>
            <w:tcW w:w="880" w:type="dxa"/>
            <w:vAlign w:val="bottom"/>
          </w:tcPr>
          <w:p>
            <w:pPr>
              <w:spacing w:after="0"/>
              <w:rPr>
                <w:sz w:val="17"/>
                <w:szCs w:val="17"/>
                <w:color w:val="auto"/>
              </w:rPr>
            </w:pPr>
          </w:p>
        </w:tc>
      </w:tr>
      <w:tr>
        <w:trPr>
          <w:trHeight w:val="405"/>
        </w:trPr>
        <w:tc>
          <w:tcPr>
            <w:tcW w:w="6180" w:type="dxa"/>
            <w:vAlign w:val="bottom"/>
          </w:tcPr>
          <w:p>
            <w:pPr>
              <w:ind w:left="2860"/>
              <w:spacing w:after="0"/>
              <w:rPr>
                <w:sz w:val="20"/>
                <w:szCs w:val="20"/>
                <w:color w:val="auto"/>
              </w:rPr>
            </w:pPr>
            <w:r>
              <w:rPr>
                <w:rFonts w:ascii="Courier New" w:cs="Courier New" w:eastAsia="Courier New" w:hAnsi="Courier New"/>
                <w:sz w:val="18"/>
                <w:szCs w:val="18"/>
                <w:color w:val="auto"/>
              </w:rPr>
              <w:t>Page 5 of 6</w:t>
            </w:r>
          </w:p>
        </w:tc>
        <w:tc>
          <w:tcPr>
            <w:tcW w:w="880" w:type="dxa"/>
            <w:vAlign w:val="bottom"/>
          </w:tcPr>
          <w:p>
            <w:pPr>
              <w:spacing w:after="0"/>
              <w:rPr>
                <w:sz w:val="24"/>
                <w:szCs w:val="24"/>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AMERICAN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INCOME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DEUTSCHEMARK GLOBAL GROWTH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SMALLER COMPANIES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FAR EAST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INDONESIA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DEVELOPING GROWTH STOCK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EUROPEAN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DEUTSCHEMARK GLOBAL BOND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U.S. GOVERNMENT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EMERGING MARKETS FIXED INCOME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INCOME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HAVEN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BALANCED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TEMPLETON/NATIONAL BANK OF GREECE TRANS-EUROPEAN FUND</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GROWTH</w:t>
            </w:r>
          </w:p>
        </w:tc>
        <w:tc>
          <w:tcPr>
            <w:tcW w:w="880" w:type="dxa"/>
            <w:vAlign w:val="bottom"/>
          </w:tcPr>
          <w:p>
            <w:pPr>
              <w:spacing w:after="0"/>
              <w:rPr>
                <w:sz w:val="17"/>
                <w:szCs w:val="17"/>
                <w:color w:val="auto"/>
              </w:rPr>
            </w:pPr>
          </w:p>
        </w:tc>
      </w:tr>
      <w:tr>
        <w:trPr>
          <w:trHeight w:val="203"/>
        </w:trPr>
        <w:tc>
          <w:tcPr>
            <w:tcW w:w="6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FUND (CANADA)</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ASIA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CHINA WORLD FUND, INC.</w:t>
            </w:r>
          </w:p>
        </w:tc>
        <w:tc>
          <w:tcPr>
            <w:tcW w:w="8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FUND</w:t>
            </w:r>
          </w:p>
        </w:tc>
        <w:tc>
          <w:tcPr>
            <w:tcW w:w="880" w:type="dxa"/>
            <w:vAlign w:val="bottom"/>
          </w:tcPr>
          <w:p>
            <w:pPr>
              <w:spacing w:after="0"/>
              <w:rPr>
                <w:sz w:val="17"/>
                <w:szCs w:val="17"/>
                <w:color w:val="auto"/>
              </w:rPr>
            </w:pP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OFFSHORE</w:t>
            </w:r>
          </w:p>
        </w:tc>
        <w:tc>
          <w:tcPr>
            <w:tcW w:w="880" w:type="dxa"/>
            <w:vAlign w:val="bottom"/>
          </w:tcPr>
          <w:p>
            <w:pPr>
              <w:spacing w:after="0"/>
              <w:rPr>
                <w:sz w:val="17"/>
                <w:szCs w:val="17"/>
                <w:color w:val="auto"/>
              </w:rPr>
            </w:pPr>
          </w:p>
        </w:tc>
      </w:tr>
      <w:tr>
        <w:trPr>
          <w:trHeight w:val="203"/>
        </w:trPr>
        <w:tc>
          <w:tcPr>
            <w:tcW w:w="61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DOMESTIC</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31 WEST FUND L. P.</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STRUCTURED ASSET MANAGEMENT FUND L.P.</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GLOBAL DERIVATIVES FUND</w:t>
            </w:r>
          </w:p>
        </w:tc>
        <w:tc>
          <w:tcPr>
            <w:tcW w:w="88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INCOME FUND, INC.</w:t>
            </w:r>
          </w:p>
        </w:tc>
        <w:tc>
          <w:tcPr>
            <w:tcW w:w="8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2"/>
              </w:rPr>
              <w:t>3(d)</w:t>
            </w:r>
          </w:p>
        </w:tc>
      </w:tr>
    </w:tbl>
    <w:p>
      <w:pPr>
        <w:sectPr>
          <w:pgSz w:w="11900" w:h="16838" w:orient="portrait"/>
          <w:cols w:equalWidth="0" w:num="1">
            <w:col w:w="10219"/>
          </w:cols>
          <w:pgMar w:left="240" w:top="136" w:right="1440" w:bottom="1440" w:gutter="0" w:footer="0" w:header="0"/>
        </w:sectPr>
      </w:pPr>
    </w:p>
    <w:bookmarkStart w:id="8" w:name="page9"/>
    <w:bookmarkEnd w:id="8"/>
    <w:p>
      <w:pPr>
        <w:ind w:left="1660"/>
        <w:spacing w:after="0"/>
        <w:rPr>
          <w:sz w:val="20"/>
          <w:szCs w:val="20"/>
          <w:color w:val="auto"/>
        </w:rPr>
      </w:pPr>
      <w:r>
        <w:rPr>
          <w:rFonts w:ascii="Courier New" w:cs="Courier New" w:eastAsia="Courier New" w:hAnsi="Courier New"/>
          <w:sz w:val="16"/>
          <w:szCs w:val="16"/>
          <w:color w:val="auto"/>
        </w:rPr>
        <w:t>Page 6 of 6</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1"/>
    </w:lvl>
    <w:lvl w:ilvl="1">
      <w:lvlJc w:val="left"/>
      <w:lvlText w:val="(%2)"/>
      <w:numFmt w:val="lowerLetter"/>
      <w:start w:val="2"/>
    </w:lvl>
  </w:abstractNum>
  <w:abstractNum w:abstractNumId="3">
    <w:nsid w:val="12200854"/>
    <w:multiLevelType w:val="hybridMultilevel"/>
    <w:lvl w:ilvl="0">
      <w:lvlJc w:val="left"/>
      <w:lvlText w:val="%1."/>
      <w:numFmt w:val="decimal"/>
      <w:start w:val="3"/>
    </w:lvl>
    <w:lvl w:ilvl="1">
      <w:lvlJc w:val="left"/>
      <w:lvlText w:val="%2"/>
      <w:numFmt w:val="lowerLetter"/>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
    </w:lvl>
    <w:lvl w:ilvl="1">
      <w:lvlJc w:val="left"/>
      <w:lvlText w:val="%2."/>
      <w:numFmt w:val="decimal"/>
      <w:start w:val="7"/>
    </w:lvl>
  </w:abstractNum>
  <w:abstractNum w:abstractNumId="6">
    <w:nsid w:val="1F16E9E8"/>
    <w:multiLevelType w:val="hybridMultilevel"/>
    <w:lvl w:ilvl="0">
      <w:lvlJc w:val="left"/>
      <w:lvlText w:val="%1."/>
      <w:numFmt w:val="decimal"/>
      <w:start w:val="9"/>
    </w:lvl>
    <w:lvl w:ilvl="1">
      <w:lvlJc w:val="left"/>
      <w:lvlText w:val="%2"/>
      <w:numFmt w:val="decimal"/>
      <w:start w:val="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7"/>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amp;"/>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2019-12-13T16:26:38Z</dcterms:created>
  <dcterms:modified xsi:type="dcterms:W3CDTF">2019-12-13T16:26:38Z</dcterms:modified>
</cp:coreProperties>
</file>