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415"/>
        <w:spacing w:after="0" w:line="236"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445"/>
        <w:spacing w:after="0"/>
        <w:rPr>
          <w:sz w:val="20"/>
          <w:szCs w:val="20"/>
          <w:color w:val="auto"/>
        </w:rPr>
      </w:pPr>
      <w:r>
        <w:rPr>
          <w:rFonts w:ascii="Courier New" w:cs="Courier New" w:eastAsia="Courier New" w:hAnsi="Courier New"/>
          <w:sz w:val="16"/>
          <w:szCs w:val="16"/>
          <w:color w:val="auto"/>
        </w:rPr>
        <w:t>FORM 10-K</w:t>
      </w:r>
    </w:p>
    <w:p>
      <w:pPr>
        <w:ind w:left="5"/>
        <w:spacing w:after="0" w:line="236" w:lineRule="auto"/>
        <w:rPr>
          <w:sz w:val="20"/>
          <w:szCs w:val="20"/>
          <w:color w:val="auto"/>
        </w:rPr>
      </w:pPr>
      <w:r>
        <w:rPr>
          <w:rFonts w:ascii="Courier New" w:cs="Courier New" w:eastAsia="Courier New" w:hAnsi="Courier New"/>
          <w:sz w:val="16"/>
          <w:szCs w:val="16"/>
          <w:color w:val="auto"/>
        </w:rPr>
        <w:t>(Mark One)</w:t>
      </w:r>
    </w:p>
    <w:p>
      <w:pPr>
        <w:spacing w:after="0" w:line="183" w:lineRule="exact"/>
        <w:rPr>
          <w:sz w:val="24"/>
          <w:szCs w:val="24"/>
          <w:color w:val="auto"/>
        </w:rPr>
      </w:pPr>
    </w:p>
    <w:p>
      <w:pPr>
        <w:ind w:left="365" w:right="2779" w:hanging="365"/>
        <w:spacing w:after="0" w:line="234" w:lineRule="auto"/>
        <w:tabs>
          <w:tab w:leader="none" w:pos="3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 [FEE REQUIRED]</w:t>
      </w:r>
    </w:p>
    <w:p>
      <w:pPr>
        <w:spacing w:after="0" w:line="177"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FISCAL YEAR ENDED MARCH 31, 1995</w:t>
      </w:r>
    </w:p>
    <w:p>
      <w:pPr>
        <w:spacing w:after="0" w:line="183" w:lineRule="exact"/>
        <w:rPr>
          <w:sz w:val="24"/>
          <w:szCs w:val="24"/>
          <w:color w:val="auto"/>
        </w:rPr>
      </w:pPr>
    </w:p>
    <w:p>
      <w:pPr>
        <w:ind w:left="365" w:right="2779" w:hanging="365"/>
        <w:spacing w:after="0" w:line="234" w:lineRule="auto"/>
        <w:tabs>
          <w:tab w:leader="none" w:pos="17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[NO FEE REQUIRED]</w:t>
      </w:r>
    </w:p>
    <w:p>
      <w:pPr>
        <w:spacing w:after="0" w:line="177" w:lineRule="exact"/>
        <w:rPr>
          <w:sz w:val="24"/>
          <w:szCs w:val="24"/>
          <w:color w:val="auto"/>
        </w:rPr>
      </w:pPr>
    </w:p>
    <w:p>
      <w:pPr>
        <w:ind w:left="365"/>
        <w:spacing w:after="0"/>
        <w:tabs>
          <w:tab w:leader="none" w:pos="4624"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6"/>
          <w:szCs w:val="16"/>
          <w:color w:val="auto"/>
        </w:rPr>
        <w:t>TO</w:t>
      </w:r>
    </w:p>
    <w:p>
      <w:pPr>
        <w:ind w:left="3165"/>
        <w:spacing w:after="0"/>
        <w:tabs>
          <w:tab w:leader="none" w:pos="48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ind w:left="2505"/>
        <w:spacing w:after="0" w:line="237" w:lineRule="auto"/>
        <w:rPr>
          <w:sz w:val="20"/>
          <w:szCs w:val="20"/>
          <w:color w:val="auto"/>
        </w:rPr>
      </w:pPr>
      <w:r>
        <w:rPr>
          <w:rFonts w:ascii="Courier New" w:cs="Courier New" w:eastAsia="Courier New" w:hAnsi="Courier New"/>
          <w:sz w:val="16"/>
          <w:szCs w:val="16"/>
          <w:color w:val="auto"/>
        </w:rPr>
        <w:t>COMMISSION FILE NUMBER 1-9533</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INTERNATIONAL RECOVERY CORP.</w:t>
      </w:r>
    </w:p>
    <w:p>
      <w:pPr>
        <w:ind w:left="158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4"/>
          </w:cols>
          <w:pgMar w:left="235" w:top="589" w:right="1440" w:bottom="1440" w:gutter="0" w:footer="0" w:header="0"/>
        </w:sectPr>
      </w:pPr>
    </w:p>
    <w:p>
      <w:pPr>
        <w:spacing w:after="0" w:line="177" w:lineRule="exact"/>
        <w:rPr>
          <w:sz w:val="24"/>
          <w:szCs w:val="24"/>
          <w:color w:val="auto"/>
        </w:rPr>
      </w:pPr>
    </w:p>
    <w:p>
      <w:pPr>
        <w:ind w:left="1125"/>
        <w:spacing w:after="0"/>
        <w:rPr>
          <w:sz w:val="20"/>
          <w:szCs w:val="20"/>
          <w:color w:val="auto"/>
        </w:rPr>
      </w:pPr>
      <w:r>
        <w:rPr>
          <w:rFonts w:ascii="Courier New" w:cs="Courier New" w:eastAsia="Courier New" w:hAnsi="Courier New"/>
          <w:sz w:val="16"/>
          <w:szCs w:val="16"/>
          <w:color w:val="auto"/>
        </w:rPr>
        <w:t>Florida</w:t>
      </w:r>
    </w:p>
    <w:p>
      <w:pPr>
        <w:ind w:left="365"/>
        <w:spacing w:after="0" w:line="236" w:lineRule="auto"/>
        <w:rPr>
          <w:sz w:val="20"/>
          <w:szCs w:val="20"/>
          <w:color w:val="auto"/>
        </w:rPr>
      </w:pPr>
      <w:r>
        <w:rPr>
          <w:rFonts w:ascii="Courier New" w:cs="Courier New" w:eastAsia="Courier New" w:hAnsi="Courier New"/>
          <w:sz w:val="16"/>
          <w:szCs w:val="16"/>
          <w:color w:val="auto"/>
        </w:rPr>
        <w:t>(State or other jurisdiction</w:t>
      </w:r>
    </w:p>
    <w:p>
      <w:pPr>
        <w:spacing w:after="0" w:line="4" w:lineRule="exact"/>
        <w:rPr>
          <w:sz w:val="24"/>
          <w:szCs w:val="24"/>
          <w:color w:val="auto"/>
        </w:rPr>
      </w:pPr>
    </w:p>
    <w:p>
      <w:pPr>
        <w:ind w:left="185"/>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59-2459427</w:t>
      </w:r>
    </w:p>
    <w:p>
      <w:pPr>
        <w:ind w:left="8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93" w:lineRule="exact"/>
        <w:rPr>
          <w:sz w:val="24"/>
          <w:szCs w:val="24"/>
          <w:color w:val="auto"/>
        </w:rPr>
      </w:pPr>
    </w:p>
    <w:p>
      <w:pPr>
        <w:sectPr>
          <w:pgSz w:w="11900" w:h="16838" w:orient="portrait"/>
          <w:cols w:equalWidth="0" w:num="2">
            <w:col w:w="4405" w:space="720"/>
            <w:col w:w="509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700 South Royal Poinciana Blvd., Suite 800,</w:t>
      </w:r>
    </w:p>
    <w:p>
      <w:pPr>
        <w:spacing w:after="0" w:line="4"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Miami Springs, Florida 33166</w:t>
      </w:r>
    </w:p>
    <w:p>
      <w:pPr>
        <w:spacing w:after="0" w:line="4" w:lineRule="exact"/>
        <w:rPr>
          <w:sz w:val="24"/>
          <w:szCs w:val="24"/>
          <w:color w:val="auto"/>
        </w:rPr>
      </w:pPr>
    </w:p>
    <w:p>
      <w:pPr>
        <w:ind w:left="1960"/>
        <w:spacing w:after="0"/>
        <w:rPr>
          <w:sz w:val="20"/>
          <w:szCs w:val="20"/>
          <w:color w:val="auto"/>
        </w:rPr>
      </w:pPr>
      <w:r>
        <w:rPr>
          <w:rFonts w:ascii="Courier New" w:cs="Courier New" w:eastAsia="Courier New" w:hAnsi="Courier New"/>
          <w:sz w:val="14"/>
          <w:szCs w:val="14"/>
          <w:color w:val="auto"/>
        </w:rPr>
        <w:t>(Zip Code)</w:t>
      </w:r>
    </w:p>
    <w:p>
      <w:pPr>
        <w:spacing w:after="0" w:line="199" w:lineRule="exact"/>
        <w:rPr>
          <w:sz w:val="24"/>
          <w:szCs w:val="24"/>
          <w:color w:val="auto"/>
        </w:rPr>
      </w:pPr>
    </w:p>
    <w:p>
      <w:pPr>
        <w:sectPr>
          <w:pgSz w:w="11900" w:h="16838" w:orient="portrait"/>
          <w:cols w:equalWidth="0" w:num="2">
            <w:col w:w="4185" w:space="0"/>
            <w:col w:w="6039"/>
          </w:cols>
          <w:pgMar w:left="235" w:top="589" w:right="1440" w:bottom="1440" w:gutter="0" w:footer="0" w:header="0"/>
          <w:type w:val="continuous"/>
        </w:sectPr>
      </w:pPr>
    </w:p>
    <w:p>
      <w:pPr>
        <w:ind w:left="565"/>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(305) 884-2001</w:t>
      </w:r>
    </w:p>
    <w:p>
      <w:pPr>
        <w:spacing w:after="0" w:line="199" w:lineRule="exact"/>
        <w:rPr>
          <w:sz w:val="24"/>
          <w:szCs w:val="24"/>
          <w:color w:val="auto"/>
        </w:rPr>
      </w:pPr>
    </w:p>
    <w:p>
      <w:pPr>
        <w:sectPr>
          <w:pgSz w:w="11900" w:h="16838" w:orient="portrait"/>
          <w:cols w:equalWidth="0" w:num="2">
            <w:col w:w="5305" w:space="180"/>
            <w:col w:w="4739"/>
          </w:cols>
          <w:pgMar w:left="235" w:top="589" w:right="1440" w:bottom="1440" w:gutter="0" w:footer="0" w:header="0"/>
          <w:type w:val="continuous"/>
        </w:sectPr>
      </w:pPr>
    </w:p>
    <w:p>
      <w:pPr>
        <w:ind w:left="925"/>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24"/>
          </w:cols>
          <w:pgMar w:left="235" w:top="589" w:right="1440" w:bottom="1440" w:gutter="0" w:footer="0" w:header="0"/>
          <w:type w:val="continuous"/>
        </w:sectPr>
      </w:pPr>
    </w:p>
    <w:p>
      <w:pPr>
        <w:spacing w:after="0" w:line="199"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which registered:</w:t>
      </w:r>
    </w:p>
    <w:p>
      <w:pPr>
        <w:spacing w:after="0" w:line="1" w:lineRule="exact"/>
        <w:rPr>
          <w:sz w:val="24"/>
          <w:szCs w:val="24"/>
          <w:color w:val="auto"/>
        </w:rPr>
      </w:pPr>
    </w:p>
    <w:p>
      <w:pPr>
        <w:sectPr>
          <w:pgSz w:w="11900" w:h="16838" w:orient="portrait"/>
          <w:cols w:equalWidth="0" w:num="2">
            <w:col w:w="3845" w:space="720"/>
            <w:col w:w="5659"/>
          </w:cols>
          <w:pgMar w:left="235" w:top="589" w:right="1440" w:bottom="1440" w:gutter="0" w:footer="0" w:header="0"/>
          <w:type w:val="continuous"/>
        </w:sectPr>
      </w:pPr>
    </w:p>
    <w:p>
      <w:pPr>
        <w:ind w:left="5"/>
        <w:spacing w:after="0" w:line="236" w:lineRule="auto"/>
        <w:rPr>
          <w:sz w:val="20"/>
          <w:szCs w:val="20"/>
          <w:color w:val="auto"/>
        </w:rPr>
      </w:pPr>
      <w:r>
        <w:rPr>
          <w:rFonts w:ascii="Courier New" w:cs="Courier New" w:eastAsia="Courier New" w:hAnsi="Courier New"/>
          <w:sz w:val="16"/>
          <w:szCs w:val="16"/>
          <w:color w:val="auto"/>
        </w:rPr>
        <w:t>Common Stock, par</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value $.01 per share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Pacific Stock Exchange</w:t>
      </w:r>
    </w:p>
    <w:p>
      <w:pPr>
        <w:spacing w:after="0" w:line="183" w:lineRule="exact"/>
        <w:rPr>
          <w:sz w:val="24"/>
          <w:szCs w:val="24"/>
          <w:color w:val="auto"/>
        </w:rPr>
      </w:pPr>
    </w:p>
    <w:p>
      <w:pPr>
        <w:sectPr>
          <w:pgSz w:w="11900" w:h="16838" w:orient="portrait"/>
          <w:cols w:equalWidth="0" w:num="2">
            <w:col w:w="3845" w:space="720"/>
            <w:col w:w="565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None</w:t>
      </w:r>
    </w:p>
    <w:p>
      <w:pPr>
        <w:spacing w:after="0" w:line="199" w:lineRule="exact"/>
        <w:rPr>
          <w:sz w:val="24"/>
          <w:szCs w:val="24"/>
          <w:color w:val="auto"/>
        </w:rPr>
      </w:pPr>
    </w:p>
    <w:p>
      <w:pPr>
        <w:sectPr>
          <w:pgSz w:w="11900" w:h="16838" w:orient="portrait"/>
          <w:cols w:equalWidth="0" w:num="2">
            <w:col w:w="5485" w:space="180"/>
            <w:col w:w="4559"/>
          </w:cols>
          <w:pgMar w:left="235" w:top="589" w:right="1440" w:bottom="1440" w:gutter="0" w:footer="0" w:header="0"/>
          <w:type w:val="continuous"/>
        </w:sectPr>
      </w:pPr>
    </w:p>
    <w:p>
      <w:pPr>
        <w:ind w:left="5" w:right="2779"/>
        <w:spacing w:after="0" w:line="27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ind w:left="5"/>
        <w:spacing w:after="0"/>
        <w:tabs>
          <w:tab w:leader="none" w:pos="3324" w:val="left"/>
          <w:tab w:leader="none" w:pos="3784" w:val="left"/>
          <w:tab w:leader="none" w:pos="4264" w:val="left"/>
          <w:tab w:leader="none" w:pos="4824" w:val="left"/>
        </w:tabs>
        <w:rPr>
          <w:sz w:val="20"/>
          <w:szCs w:val="20"/>
          <w:color w:val="auto"/>
        </w:rPr>
      </w:pPr>
      <w:r>
        <w:rPr>
          <w:rFonts w:ascii="Courier New" w:cs="Courier New" w:eastAsia="Courier New" w:hAnsi="Courier New"/>
          <w:sz w:val="16"/>
          <w:szCs w:val="16"/>
          <w:color w:val="auto"/>
        </w:rPr>
        <w:t>requirements for the past 90 days.</w:t>
        <w:tab/>
        <w:t>Yes</w:t>
        <w:tab/>
        <w:t>X</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3"/>
          <w:szCs w:val="13"/>
          <w:color w:val="auto"/>
        </w:rPr>
        <w:t>.</w:t>
      </w:r>
    </w:p>
    <w:p>
      <w:pPr>
        <w:ind w:left="3725"/>
        <w:spacing w:after="0" w:line="237" w:lineRule="auto"/>
        <w:tabs>
          <w:tab w:leader="none" w:pos="454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tbl>
      <w:tblPr>
        <w:tblLayout w:type="fixed"/>
        <w:tblInd w:w="5" w:type="dxa"/>
        <w:tblCellMar>
          <w:top w:w="0" w:type="dxa"/>
          <w:left w:w="0" w:type="dxa"/>
          <w:bottom w:w="0" w:type="dxa"/>
          <w:right w:w="0" w:type="dxa"/>
        </w:tblCellMar>
      </w:tblPr>
      <w:tr>
        <w:trPr>
          <w:trHeight w:val="179"/>
        </w:trPr>
        <w:tc>
          <w:tcPr>
            <w:tcW w:w="4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Indicate by check mark if disclosure of delinquent</w:t>
            </w:r>
          </w:p>
        </w:tc>
        <w:tc>
          <w:tcPr>
            <w:tcW w:w="26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filers pursuant to Item 405</w:t>
            </w:r>
          </w:p>
        </w:tc>
      </w:tr>
      <w:tr>
        <w:trPr>
          <w:trHeight w:val="179"/>
        </w:trPr>
        <w:tc>
          <w:tcPr>
            <w:tcW w:w="4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of Regulation S-K is not contained herein, and will</w:t>
            </w:r>
          </w:p>
        </w:tc>
        <w:tc>
          <w:tcPr>
            <w:tcW w:w="26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not be contained, to the</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best of Registrant's knowledge, in definitive</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1"/>
              </w:rPr>
              <w:t>proxy</w:t>
            </w:r>
          </w:p>
        </w:tc>
        <w:tc>
          <w:tcPr>
            <w:tcW w:w="26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or information statements</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incorporated by reference in Part III of this</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Form</w:t>
            </w:r>
          </w:p>
        </w:tc>
        <w:tc>
          <w:tcPr>
            <w:tcW w:w="26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10-K or any amendment to the</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Form 10-K [ ]</w:t>
            </w:r>
          </w:p>
        </w:tc>
        <w:tc>
          <w:tcPr>
            <w:tcW w:w="520" w:type="dxa"/>
            <w:vAlign w:val="bottom"/>
          </w:tcPr>
          <w:p>
            <w:pPr>
              <w:spacing w:after="0"/>
              <w:rPr>
                <w:sz w:val="15"/>
                <w:szCs w:val="15"/>
                <w:color w:val="auto"/>
              </w:rPr>
            </w:pPr>
          </w:p>
        </w:tc>
        <w:tc>
          <w:tcPr>
            <w:tcW w:w="2600" w:type="dxa"/>
            <w:vAlign w:val="bottom"/>
          </w:tcPr>
          <w:p>
            <w:pPr>
              <w:spacing w:after="0"/>
              <w:rPr>
                <w:sz w:val="15"/>
                <w:szCs w:val="15"/>
                <w:color w:val="auto"/>
              </w:rPr>
            </w:pPr>
          </w:p>
        </w:tc>
      </w:tr>
    </w:tbl>
    <w:p>
      <w:pPr>
        <w:spacing w:after="0" w:line="183" w:lineRule="exact"/>
        <w:rPr>
          <w:sz w:val="24"/>
          <w:szCs w:val="24"/>
          <w:color w:val="auto"/>
        </w:rPr>
      </w:pPr>
    </w:p>
    <w:p>
      <w:pPr>
        <w:ind w:left="5" w:right="2879"/>
        <w:spacing w:after="0" w:line="283" w:lineRule="auto"/>
        <w:rPr>
          <w:sz w:val="20"/>
          <w:szCs w:val="20"/>
          <w:color w:val="auto"/>
        </w:rPr>
      </w:pPr>
      <w:r>
        <w:rPr>
          <w:rFonts w:ascii="Courier New" w:cs="Courier New" w:eastAsia="Courier New" w:hAnsi="Courier New"/>
          <w:sz w:val="14"/>
          <w:szCs w:val="14"/>
          <w:color w:val="auto"/>
        </w:rPr>
        <w:t>The aggregate market value of the voting stock (which consists solely of shares of common stock) held by non-affiliates of the registrant was $87,281,000 (computed by reference to the closing sale price as of May 15, 1995).</w:t>
      </w:r>
    </w:p>
    <w:p>
      <w:pPr>
        <w:spacing w:after="0" w:line="155" w:lineRule="exact"/>
        <w:rPr>
          <w:sz w:val="24"/>
          <w:szCs w:val="24"/>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The registrant had 5,281,679 outstanding shares of common stock, par value $.01 per share, as of May 15, 1995.</w:t>
      </w:r>
    </w:p>
    <w:p>
      <w:pPr>
        <w:ind w:left="1865"/>
        <w:spacing w:after="0" w:line="237" w:lineRule="auto"/>
        <w:rPr>
          <w:sz w:val="20"/>
          <w:szCs w:val="20"/>
          <w:color w:val="auto"/>
        </w:rPr>
      </w:pPr>
      <w:r>
        <w:rPr>
          <w:rFonts w:ascii="Courier New" w:cs="Courier New" w:eastAsia="Courier New" w:hAnsi="Courier New"/>
          <w:sz w:val="16"/>
          <w:szCs w:val="16"/>
          <w:color w:val="auto"/>
        </w:rPr>
        <w:t>Documents incorporated by reference:</w:t>
      </w:r>
    </w:p>
    <w:p>
      <w:pPr>
        <w:spacing w:after="0" w:line="4" w:lineRule="exact"/>
        <w:rPr>
          <w:sz w:val="24"/>
          <w:szCs w:val="24"/>
          <w:color w:val="auto"/>
        </w:rPr>
      </w:pPr>
    </w:p>
    <w:p>
      <w:pPr>
        <w:ind w:left="5" w:right="3899"/>
        <w:spacing w:after="0" w:line="234" w:lineRule="auto"/>
        <w:rPr>
          <w:sz w:val="20"/>
          <w:szCs w:val="20"/>
          <w:color w:val="auto"/>
        </w:rPr>
      </w:pPr>
      <w:r>
        <w:rPr>
          <w:rFonts w:ascii="Courier New" w:cs="Courier New" w:eastAsia="Courier New" w:hAnsi="Courier New"/>
          <w:sz w:val="16"/>
          <w:szCs w:val="16"/>
          <w:color w:val="auto"/>
        </w:rPr>
        <w:t>Part III - Definitive Proxy Statement for the 1995 Annual Meeting of Shareholders.</w:t>
      </w:r>
    </w:p>
    <w:p>
      <w:pPr>
        <w:sectPr>
          <w:pgSz w:w="11900" w:h="16838" w:orient="portrait"/>
          <w:cols w:equalWidth="0" w:num="1">
            <w:col w:w="10224"/>
          </w:cols>
          <w:pgMar w:left="235" w:top="589" w:right="1440" w:bottom="1440" w:gutter="0" w:footer="0" w:header="0"/>
          <w:type w:val="continuous"/>
        </w:sectPr>
      </w:pPr>
    </w:p>
    <w:bookmarkStart w:id="1" w:name="page2"/>
    <w:bookmarkEnd w:id="1"/>
    <w:p>
      <w:pPr>
        <w:ind w:left="2140"/>
        <w:spacing w:after="0"/>
        <w:rPr>
          <w:sz w:val="20"/>
          <w:szCs w:val="20"/>
          <w:color w:val="auto"/>
        </w:rPr>
      </w:pPr>
      <w:r>
        <w:rPr>
          <w:rFonts w:ascii="Courier New" w:cs="Courier New" w:eastAsia="Courier New" w:hAnsi="Courier New"/>
          <w:sz w:val="16"/>
          <w:szCs w:val="16"/>
          <w:color w:val="auto"/>
        </w:rPr>
        <w:t>TABLE OF CONTENTS</w:t>
      </w:r>
    </w:p>
    <w:tbl>
      <w:tblPr>
        <w:tblLayout w:type="fixed"/>
        <w:tblInd w:w="0" w:type="dxa"/>
        <w:tblCellMar>
          <w:top w:w="0" w:type="dxa"/>
          <w:left w:w="0" w:type="dxa"/>
          <w:bottom w:w="0" w:type="dxa"/>
          <w:right w:w="0" w:type="dxa"/>
        </w:tblCellMar>
      </w:tblP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3"/>
              </w:rPr>
              <w:t>Page</w:t>
            </w:r>
          </w:p>
        </w:tc>
      </w:tr>
      <w:tr>
        <w:trPr>
          <w:trHeight w:val="537"/>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Business</w:t>
            </w:r>
          </w:p>
        </w:tc>
        <w:tc>
          <w:tcPr>
            <w:tcW w:w="600" w:type="dxa"/>
            <w:vAlign w:val="bottom"/>
          </w:tcPr>
          <w:p>
            <w:pPr>
              <w:ind w:left="320"/>
              <w:spacing w:after="0"/>
              <w:rPr>
                <w:sz w:val="20"/>
                <w:szCs w:val="20"/>
                <w:color w:val="auto"/>
              </w:rPr>
            </w:pPr>
            <w:r>
              <w:rPr>
                <w:rFonts w:ascii="Courier New" w:cs="Courier New" w:eastAsia="Courier New" w:hAnsi="Courier New"/>
                <w:sz w:val="16"/>
                <w:szCs w:val="16"/>
                <w:color w:val="auto"/>
              </w:rPr>
              <w:t>1</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General</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History</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Aviation Fuel Services</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Marine Fuel Services</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Oil Recycling</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Potential Liability and Insurance</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Regulation</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6</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Properties</w:t>
            </w:r>
          </w:p>
        </w:tc>
        <w:tc>
          <w:tcPr>
            <w:tcW w:w="600" w:type="dxa"/>
            <w:vAlign w:val="bottom"/>
          </w:tcPr>
          <w:p>
            <w:pPr>
              <w:ind w:left="320"/>
              <w:spacing w:after="0"/>
              <w:rPr>
                <w:sz w:val="20"/>
                <w:szCs w:val="20"/>
                <w:color w:val="auto"/>
              </w:rPr>
            </w:pPr>
            <w:r>
              <w:rPr>
                <w:rFonts w:ascii="Courier New" w:cs="Courier New" w:eastAsia="Courier New" w:hAnsi="Courier New"/>
                <w:sz w:val="16"/>
                <w:szCs w:val="16"/>
                <w:color w:val="auto"/>
              </w:rPr>
              <w:t>9</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600" w:type="dxa"/>
            <w:vAlign w:val="bottom"/>
          </w:tcPr>
          <w:p>
            <w:pPr>
              <w:ind w:left="320"/>
              <w:spacing w:after="0"/>
              <w:rPr>
                <w:sz w:val="20"/>
                <w:szCs w:val="20"/>
                <w:color w:val="auto"/>
              </w:rPr>
            </w:pPr>
            <w:r>
              <w:rPr>
                <w:rFonts w:ascii="Courier New" w:cs="Courier New" w:eastAsia="Courier New" w:hAnsi="Courier New"/>
                <w:sz w:val="16"/>
                <w:szCs w:val="16"/>
                <w:color w:val="auto"/>
              </w:rPr>
              <w:t>11</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Submission of Matters to a Vote</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of Security Holders</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11</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Market for Registrant's Common</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Equity and Related Stockholder</w:t>
            </w:r>
          </w:p>
        </w:tc>
        <w:tc>
          <w:tcPr>
            <w:tcW w:w="600" w:type="dxa"/>
            <w:vAlign w:val="bottom"/>
          </w:tcPr>
          <w:p>
            <w:pPr>
              <w:spacing w:after="0"/>
              <w:rPr>
                <w:sz w:val="15"/>
                <w:szCs w:val="15"/>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Matters</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12</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Selected Financial Data</w:t>
            </w:r>
          </w:p>
        </w:tc>
        <w:tc>
          <w:tcPr>
            <w:tcW w:w="600" w:type="dxa"/>
            <w:vAlign w:val="bottom"/>
          </w:tcPr>
          <w:p>
            <w:pPr>
              <w:ind w:left="320"/>
              <w:spacing w:after="0"/>
              <w:rPr>
                <w:sz w:val="20"/>
                <w:szCs w:val="20"/>
                <w:color w:val="auto"/>
              </w:rPr>
            </w:pPr>
            <w:r>
              <w:rPr>
                <w:rFonts w:ascii="Courier New" w:cs="Courier New" w:eastAsia="Courier New" w:hAnsi="Courier New"/>
                <w:sz w:val="16"/>
                <w:szCs w:val="16"/>
                <w:color w:val="auto"/>
              </w:rPr>
              <w:t>13</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Analysis of Financial Condition</w:t>
            </w:r>
          </w:p>
        </w:tc>
        <w:tc>
          <w:tcPr>
            <w:tcW w:w="600" w:type="dxa"/>
            <w:vAlign w:val="bottom"/>
          </w:tcPr>
          <w:p>
            <w:pPr>
              <w:spacing w:after="0"/>
              <w:rPr>
                <w:sz w:val="15"/>
                <w:szCs w:val="15"/>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and Results of Operations</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16</w:t>
            </w:r>
          </w:p>
        </w:tc>
      </w:tr>
      <w:tr>
        <w:trPr>
          <w:trHeight w:val="358"/>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Results of Operations</w:t>
            </w:r>
          </w:p>
        </w:tc>
        <w:tc>
          <w:tcPr>
            <w:tcW w:w="600" w:type="dxa"/>
            <w:vAlign w:val="bottom"/>
          </w:tcPr>
          <w:p>
            <w:pPr>
              <w:ind w:left="320"/>
              <w:spacing w:after="0"/>
              <w:rPr>
                <w:sz w:val="20"/>
                <w:szCs w:val="20"/>
                <w:color w:val="auto"/>
              </w:rPr>
            </w:pPr>
            <w:r>
              <w:rPr>
                <w:rFonts w:ascii="Courier New" w:cs="Courier New" w:eastAsia="Courier New" w:hAnsi="Courier New"/>
                <w:sz w:val="16"/>
                <w:szCs w:val="16"/>
                <w:color w:val="auto"/>
              </w:rPr>
              <w:t>16</w:t>
            </w: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Liquidity and</w:t>
            </w:r>
          </w:p>
        </w:tc>
        <w:tc>
          <w:tcPr>
            <w:tcW w:w="600" w:type="dxa"/>
            <w:vAlign w:val="bottom"/>
          </w:tcPr>
          <w:p>
            <w:pPr>
              <w:spacing w:after="0"/>
              <w:rPr>
                <w:sz w:val="15"/>
                <w:szCs w:val="15"/>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Capital Resources</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21</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 and</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Supplementary Data</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24</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Changes in and Disagreements with</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Accountants on Accounting and</w:t>
            </w:r>
          </w:p>
        </w:tc>
        <w:tc>
          <w:tcPr>
            <w:tcW w:w="600" w:type="dxa"/>
            <w:vAlign w:val="bottom"/>
          </w:tcPr>
          <w:p>
            <w:pPr>
              <w:spacing w:after="0"/>
              <w:rPr>
                <w:sz w:val="15"/>
                <w:szCs w:val="15"/>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Financial Disclosure</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24</w:t>
            </w:r>
          </w:p>
        </w:tc>
      </w:tr>
      <w:tr>
        <w:trPr>
          <w:trHeight w:val="35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ITEM 10.</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Directors and Executive Officers</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of the Registrant</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25</w:t>
            </w:r>
          </w:p>
        </w:tc>
      </w:tr>
      <w:tr>
        <w:trPr>
          <w:trHeight w:val="35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ITEM 11.</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Executive Compensation</w:t>
            </w:r>
          </w:p>
        </w:tc>
        <w:tc>
          <w:tcPr>
            <w:tcW w:w="600" w:type="dxa"/>
            <w:vAlign w:val="bottom"/>
          </w:tcPr>
          <w:p>
            <w:pPr>
              <w:ind w:left="320"/>
              <w:spacing w:after="0"/>
              <w:rPr>
                <w:sz w:val="20"/>
                <w:szCs w:val="20"/>
                <w:color w:val="auto"/>
              </w:rPr>
            </w:pPr>
            <w:r>
              <w:rPr>
                <w:rFonts w:ascii="Courier New" w:cs="Courier New" w:eastAsia="Courier New" w:hAnsi="Courier New"/>
                <w:sz w:val="16"/>
                <w:szCs w:val="16"/>
                <w:color w:val="auto"/>
              </w:rPr>
              <w:t>25</w:t>
            </w:r>
          </w:p>
        </w:tc>
      </w:tr>
      <w:tr>
        <w:trPr>
          <w:trHeight w:val="35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ITEM 12.</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Security Ownership of Certain</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Beneficial Owners and Management</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25</w:t>
            </w:r>
          </w:p>
        </w:tc>
      </w:tr>
      <w:tr>
        <w:trPr>
          <w:trHeight w:val="35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ITEM 13.</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Certain Relationships and Related</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Transactions</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25</w:t>
            </w:r>
          </w:p>
        </w:tc>
      </w:tr>
      <w:tr>
        <w:trPr>
          <w:trHeight w:val="35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ITEM 14.</w:t>
            </w:r>
          </w:p>
        </w:tc>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Exhibits, Financial Statement</w:t>
            </w:r>
          </w:p>
        </w:tc>
        <w:tc>
          <w:tcPr>
            <w:tcW w:w="600" w:type="dxa"/>
            <w:vAlign w:val="bottom"/>
          </w:tcPr>
          <w:p>
            <w:pPr>
              <w:spacing w:after="0"/>
              <w:rPr>
                <w:sz w:val="24"/>
                <w:szCs w:val="24"/>
                <w:color w:val="auto"/>
              </w:rPr>
            </w:pPr>
          </w:p>
        </w:tc>
      </w:tr>
      <w:tr>
        <w:trPr>
          <w:trHeight w:val="179"/>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Schedules and Reports on Form 8-K</w:t>
            </w:r>
          </w:p>
        </w:tc>
        <w:tc>
          <w:tcPr>
            <w:tcW w:w="6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19"/>
          </w:cols>
          <w:pgMar w:left="240" w:top="648" w:right="1440" w:bottom="1440" w:gutter="0" w:footer="0" w:header="0"/>
        </w:sectPr>
      </w:pPr>
    </w:p>
    <w:bookmarkStart w:id="2" w:name="page3"/>
    <w:bookmarkEnd w:id="2"/>
    <w:p>
      <w:pPr>
        <w:ind w:left="2700"/>
        <w:spacing w:after="0"/>
        <w:rPr>
          <w:sz w:val="20"/>
          <w:szCs w:val="20"/>
          <w:color w:val="auto"/>
        </w:rPr>
      </w:pPr>
      <w:r>
        <w:rPr>
          <w:rFonts w:ascii="Courier New" w:cs="Courier New" w:eastAsia="Courier New" w:hAnsi="Courier New"/>
          <w:sz w:val="16"/>
          <w:szCs w:val="16"/>
          <w:color w:val="auto"/>
        </w:rPr>
        <w:t>PART I</w:t>
      </w: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3239" w:firstLine="837"/>
        <w:spacing w:after="0" w:line="235" w:lineRule="auto"/>
        <w:rPr>
          <w:sz w:val="20"/>
          <w:szCs w:val="20"/>
          <w:color w:val="auto"/>
        </w:rPr>
      </w:pPr>
      <w:r>
        <w:rPr>
          <w:rFonts w:ascii="Courier New" w:cs="Courier New" w:eastAsia="Courier New" w:hAnsi="Courier New"/>
          <w:sz w:val="16"/>
          <w:szCs w:val="16"/>
          <w:color w:val="auto"/>
        </w:rPr>
        <w:t>International Recovery Corp. (the "Company"), is involved in three principal businesses. The Company markets aviation and marine fuel and recycles used oil.</w:t>
      </w:r>
    </w:p>
    <w:p>
      <w:pPr>
        <w:spacing w:after="0" w:line="183" w:lineRule="exact"/>
        <w:rPr>
          <w:sz w:val="20"/>
          <w:szCs w:val="20"/>
          <w:color w:val="auto"/>
        </w:rPr>
      </w:pPr>
    </w:p>
    <w:p>
      <w:pPr>
        <w:ind w:right="3439" w:firstLine="837"/>
        <w:spacing w:after="0" w:line="236" w:lineRule="auto"/>
        <w:rPr>
          <w:sz w:val="20"/>
          <w:szCs w:val="20"/>
          <w:color w:val="auto"/>
        </w:rPr>
      </w:pPr>
      <w:r>
        <w:rPr>
          <w:rFonts w:ascii="Courier New" w:cs="Courier New" w:eastAsia="Courier New" w:hAnsi="Courier New"/>
          <w:sz w:val="16"/>
          <w:szCs w:val="16"/>
          <w:color w:val="auto"/>
        </w:rPr>
        <w:t>In its aviation fueling business, the Company extends credit and provides single-supplier convenience, 24 hour service, and competitively-priced aviation fuel to cargo and passenger airlines, and to charter, corporate, and private aircraft. The Company sells aviation fuel to its customers at more than 1,100 airports located throughout the world.</w:t>
      </w:r>
    </w:p>
    <w:p>
      <w:pPr>
        <w:spacing w:after="0" w:line="183" w:lineRule="exact"/>
        <w:rPr>
          <w:sz w:val="20"/>
          <w:szCs w:val="20"/>
          <w:color w:val="auto"/>
        </w:rPr>
      </w:pPr>
    </w:p>
    <w:p>
      <w:pPr>
        <w:ind w:right="3239" w:firstLine="837"/>
        <w:spacing w:after="0" w:line="235" w:lineRule="auto"/>
        <w:rPr>
          <w:sz w:val="20"/>
          <w:szCs w:val="20"/>
          <w:color w:val="auto"/>
        </w:rPr>
      </w:pPr>
      <w:r>
        <w:rPr>
          <w:rFonts w:ascii="Courier New" w:cs="Courier New" w:eastAsia="Courier New" w:hAnsi="Courier New"/>
          <w:sz w:val="16"/>
          <w:szCs w:val="16"/>
          <w:color w:val="auto"/>
        </w:rPr>
        <w:t>In its marine fueling business, the Company markets marine fuel to a broad base of customers covering all market segments, including major international container and tanker fleets, time charter operators,</w:t>
      </w:r>
    </w:p>
    <w:p>
      <w:pPr>
        <w:spacing w:after="0" w:line="4" w:lineRule="exact"/>
        <w:rPr>
          <w:sz w:val="20"/>
          <w:szCs w:val="20"/>
          <w:color w:val="auto"/>
        </w:rPr>
      </w:pPr>
    </w:p>
    <w:p>
      <w:pPr>
        <w:ind w:right="3339"/>
        <w:spacing w:after="0" w:line="295" w:lineRule="auto"/>
        <w:rPr>
          <w:sz w:val="20"/>
          <w:szCs w:val="20"/>
          <w:color w:val="auto"/>
        </w:rPr>
      </w:pPr>
      <w:r>
        <w:rPr>
          <w:rFonts w:ascii="Courier New" w:cs="Courier New" w:eastAsia="Courier New" w:hAnsi="Courier New"/>
          <w:sz w:val="14"/>
          <w:szCs w:val="14"/>
          <w:color w:val="auto"/>
        </w:rPr>
        <w:t>as well as military vessels. Fueling services include credit terms and are available 24 hours a day in over 1,000 ports, and in over 135 countries.</w:t>
      </w:r>
    </w:p>
    <w:p>
      <w:pPr>
        <w:spacing w:after="0" w:line="147" w:lineRule="exact"/>
        <w:rPr>
          <w:sz w:val="20"/>
          <w:szCs w:val="20"/>
          <w:color w:val="auto"/>
        </w:rPr>
      </w:pPr>
    </w:p>
    <w:p>
      <w:pPr>
        <w:ind w:right="3719" w:firstLine="837"/>
        <w:spacing w:after="0" w:line="275" w:lineRule="auto"/>
        <w:rPr>
          <w:sz w:val="20"/>
          <w:szCs w:val="20"/>
          <w:color w:val="auto"/>
        </w:rPr>
      </w:pPr>
      <w:r>
        <w:rPr>
          <w:rFonts w:ascii="Courier New" w:cs="Courier New" w:eastAsia="Courier New" w:hAnsi="Courier New"/>
          <w:sz w:val="14"/>
          <w:szCs w:val="14"/>
          <w:color w:val="auto"/>
        </w:rPr>
        <w:t>In its oil recycling business, the Company collects used oil throughout the Southern and Mid-Atlantic United States from generators which include service stations, quick lube shops, automobile dealerships, and industrial, governmental, marine and utility generators. The Company recycles used oil into various fuel products and sells the recycled oil to industrial and commercial customers.</w:t>
      </w:r>
    </w:p>
    <w:p>
      <w:pPr>
        <w:spacing w:after="0" w:line="162" w:lineRule="exact"/>
        <w:rPr>
          <w:sz w:val="20"/>
          <w:szCs w:val="20"/>
          <w:color w:val="auto"/>
        </w:rPr>
      </w:pPr>
    </w:p>
    <w:p>
      <w:pPr>
        <w:ind w:right="3799" w:firstLine="837"/>
        <w:spacing w:after="0" w:line="235" w:lineRule="auto"/>
        <w:rPr>
          <w:sz w:val="20"/>
          <w:szCs w:val="20"/>
          <w:color w:val="auto"/>
        </w:rPr>
      </w:pPr>
      <w:r>
        <w:rPr>
          <w:rFonts w:ascii="Courier New" w:cs="Courier New" w:eastAsia="Courier New" w:hAnsi="Courier New"/>
          <w:sz w:val="16"/>
          <w:szCs w:val="16"/>
          <w:color w:val="auto"/>
        </w:rPr>
        <w:t>Financial information with respect to the Company's business segments and foreign operations is provided in Note 8 in the accompanying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History</w:t>
      </w:r>
    </w:p>
    <w:p>
      <w:pPr>
        <w:spacing w:after="0" w:line="183" w:lineRule="exact"/>
        <w:rPr>
          <w:sz w:val="20"/>
          <w:szCs w:val="20"/>
          <w:color w:val="auto"/>
        </w:rPr>
      </w:pPr>
    </w:p>
    <w:p>
      <w:pPr>
        <w:ind w:right="3519" w:firstLine="837"/>
        <w:spacing w:after="0" w:line="236" w:lineRule="auto"/>
        <w:rPr>
          <w:sz w:val="20"/>
          <w:szCs w:val="20"/>
          <w:color w:val="auto"/>
        </w:rPr>
      </w:pPr>
      <w:r>
        <w:rPr>
          <w:rFonts w:ascii="Courier New" w:cs="Courier New" w:eastAsia="Courier New" w:hAnsi="Courier New"/>
          <w:sz w:val="16"/>
          <w:szCs w:val="16"/>
          <w:color w:val="auto"/>
        </w:rPr>
        <w:t>The Company was incorporated in Florida in July 1984. Its executive offices are located at 700 South Royal Poinciana Boulevard, Suite 800, Miami Springs, Florida 33166, and its telephone number at this address is (305) 884-2001. The Company presently conducts its aviation fueling business through four subsidiaries with principal offices in Florida, England, and Singapore; the Company conducts its marine fueling business through three subsidiaries with principal offices in New York, California, England and Singapore, and its oil recycling business is conducted through six subsidiaries with offices in Florida, Louisiana, Georgia, Maryland, and Delaware. See "Item 2 PROPERTIES" for a list of principal offices by business and "Exhibit 21 - - Subsidiaries of the Registrant".</w:t>
      </w:r>
    </w:p>
    <w:p>
      <w:pPr>
        <w:spacing w:after="0" w:line="187"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In December 1986, the Company entered the aviation fueling business with the acquisition of Advance Petroleum, Inc. now doing business as World Fuel Services of FL. In October 1989, the Company</w:t>
      </w:r>
    </w:p>
    <w:p>
      <w:pPr>
        <w:spacing w:after="0" w:line="4" w:lineRule="exact"/>
        <w:rPr>
          <w:sz w:val="20"/>
          <w:szCs w:val="20"/>
          <w:color w:val="auto"/>
        </w:rPr>
      </w:pPr>
    </w:p>
    <w:p>
      <w:pPr>
        <w:ind w:right="4079"/>
        <w:spacing w:after="0" w:line="235" w:lineRule="auto"/>
        <w:rPr>
          <w:sz w:val="20"/>
          <w:szCs w:val="20"/>
          <w:color w:val="auto"/>
        </w:rPr>
      </w:pPr>
      <w:r>
        <w:rPr>
          <w:rFonts w:ascii="Courier New" w:cs="Courier New" w:eastAsia="Courier New" w:hAnsi="Courier New"/>
          <w:sz w:val="16"/>
          <w:szCs w:val="16"/>
          <w:color w:val="auto"/>
        </w:rPr>
        <w:t>expanded its aviation fueling capabilities by acquiring JCo Energy Partners, Ltd. and shortly thereafter renamed these operations World Fuel Services, Inc.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69" w:right="1440" w:bottom="1440" w:gutter="0" w:footer="0" w:header="0"/>
        </w:sectPr>
      </w:pPr>
    </w:p>
    <w:bookmarkStart w:id="3" w:name="page4"/>
    <w:bookmarkEnd w:id="3"/>
    <w:p>
      <w:pPr>
        <w:ind w:right="3339" w:firstLine="837"/>
        <w:spacing w:after="0" w:line="234" w:lineRule="auto"/>
        <w:rPr>
          <w:sz w:val="20"/>
          <w:szCs w:val="20"/>
          <w:color w:val="auto"/>
        </w:rPr>
      </w:pPr>
      <w:r>
        <w:rPr>
          <w:rFonts w:ascii="Courier New" w:cs="Courier New" w:eastAsia="Courier New" w:hAnsi="Courier New"/>
          <w:sz w:val="16"/>
          <w:szCs w:val="16"/>
          <w:color w:val="auto"/>
        </w:rPr>
        <w:t>The Company formed a subsidiary, International Petroleum Corp. of Delaware which began operations in April 1993, upon the</w:t>
      </w:r>
    </w:p>
    <w:p>
      <w:pPr>
        <w:spacing w:after="0" w:line="4" w:lineRule="exact"/>
        <w:rPr>
          <w:sz w:val="20"/>
          <w:szCs w:val="20"/>
          <w:color w:val="auto"/>
        </w:rPr>
      </w:pPr>
    </w:p>
    <w:p>
      <w:pPr>
        <w:ind w:right="3999"/>
        <w:spacing w:after="0" w:line="234" w:lineRule="auto"/>
        <w:rPr>
          <w:sz w:val="20"/>
          <w:szCs w:val="20"/>
          <w:color w:val="auto"/>
        </w:rPr>
      </w:pPr>
      <w:r>
        <w:rPr>
          <w:rFonts w:ascii="Courier New" w:cs="Courier New" w:eastAsia="Courier New" w:hAnsi="Courier New"/>
          <w:sz w:val="16"/>
          <w:szCs w:val="16"/>
          <w:color w:val="auto"/>
        </w:rPr>
        <w:t>completion of its used oil and water recycling plant in Wilmington, Delaware.</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In August 1994, the Company began operations in Ecuador through a joint venture which enables the Company to provide point-to-point aviation fuel sales within Ecuador. See Note 7 in the accompanying financial statements for additional information.</w:t>
      </w:r>
    </w:p>
    <w:p>
      <w:pPr>
        <w:spacing w:after="0" w:line="185"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In January 1995, the Company entered the marine fuel business through the acquisition of the Trans-Tec group of companies. The Company acquired substantially all of the assets and assumed certain liabilities of Trans-Tec Services, Inc., a New York corporation, and Trans-Tec Servicios, S.A., a Costa Rica corporation, and acquired all of the outstanding stock</w:t>
      </w:r>
    </w:p>
    <w:p>
      <w:pPr>
        <w:spacing w:after="0" w:line="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of Trans-Tec Services (UK), Ltd., a United Kingdom corporation ("UK"). The UK company owns Trans-Tec Services (Singapore) PTE., Ltd. See "Management's Discussion and Analysis of Financial Condition and Results of Operations" and Note 1 in the accompanying financial statements for additional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Aviation Fuel Services</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The Company markets aviation fuel to cargo and passenger airlines, and to aircraft operated by charters, corporations and private individuals. The Company has developed an extensive network which enables it to fuel customers at airports throughout the world.</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either post a cash collateralized letter of credit or prepay for fuel purchases. This impacts the airlines' working capital. The Company recognizes that the extension of credit is a risk but also a significant area of opportunity. Accordingly, the Company extends unsecured credit to many of its customers.</w:t>
      </w:r>
    </w:p>
    <w:p>
      <w:pPr>
        <w:spacing w:after="0" w:line="185" w:lineRule="exact"/>
        <w:rPr>
          <w:sz w:val="20"/>
          <w:szCs w:val="20"/>
          <w:color w:val="auto"/>
        </w:rPr>
      </w:pPr>
    </w:p>
    <w:p>
      <w:pPr>
        <w:ind w:right="3339" w:firstLine="837"/>
        <w:spacing w:after="0" w:line="273" w:lineRule="auto"/>
        <w:rPr>
          <w:sz w:val="20"/>
          <w:szCs w:val="20"/>
          <w:color w:val="auto"/>
        </w:rPr>
      </w:pPr>
      <w:r>
        <w:rPr>
          <w:rFonts w:ascii="Courier New" w:cs="Courier New" w:eastAsia="Courier New" w:hAnsi="Courier New"/>
          <w:sz w:val="14"/>
          <w:szCs w:val="14"/>
          <w:color w:val="auto"/>
        </w:rPr>
        <w:t>The Company purchases its aviation fuel from various suppliers worldwide. The Company's cost of fuel is generally tied to market-based formulas or is government controlled. Anticipating future market conditions, the Company may choose to enter into short term future commitments fixing the cost of its purchases. The Company monitors these positions daily and, when appropriate, unwinds the positions through end market sales to aviation customers or through trading activities. The Company is usually extended unsecured trade credit for its fuel purchases. However, certain suppliers require a letter of credit. The Company may pre-pay its fuel purchases to take advantage of financial discounts, or as required to transact business in certain countries.</w:t>
      </w:r>
    </w:p>
    <w:p>
      <w:pPr>
        <w:spacing w:after="0" w:line="34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Outside of the United States, the Company generally does not maintain fuel inventory and arranges to have the fuel delivered directly into the customer's aircraft. The Company maintains fuel inventory at various airports in Ecuador pursuant to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012" w:right="1440" w:bottom="1440" w:gutter="0" w:footer="0" w:header="0"/>
        </w:sectPr>
      </w:pPr>
    </w:p>
    <w:bookmarkStart w:id="4" w:name="page5"/>
    <w:bookmarkEnd w:id="4"/>
    <w:p>
      <w:pPr>
        <w:ind w:right="3339" w:firstLine="837"/>
        <w:spacing w:after="0" w:line="270" w:lineRule="auto"/>
        <w:rPr>
          <w:sz w:val="20"/>
          <w:szCs w:val="20"/>
          <w:color w:val="auto"/>
        </w:rPr>
      </w:pPr>
      <w:r>
        <w:rPr>
          <w:rFonts w:ascii="Courier New" w:cs="Courier New" w:eastAsia="Courier New" w:hAnsi="Courier New"/>
          <w:sz w:val="14"/>
          <w:szCs w:val="14"/>
          <w:color w:val="auto"/>
        </w:rPr>
        <w:t>In the United States, sales are made directly into a customer's aircraft or the customer's designated storage with fuel provided by the Company's suppliers or delivered from the Company's inventory. Inventory is held at multiple locations in the United States for competitive reasons and inventory levels are kept at an operating minimum.</w:t>
      </w:r>
    </w:p>
    <w:p>
      <w:pPr>
        <w:spacing w:after="0" w:line="2" w:lineRule="exact"/>
        <w:rPr>
          <w:sz w:val="20"/>
          <w:szCs w:val="20"/>
          <w:color w:val="auto"/>
        </w:rPr>
      </w:pPr>
    </w:p>
    <w:p>
      <w:pPr>
        <w:ind w:right="4359"/>
        <w:spacing w:after="0" w:line="234" w:lineRule="auto"/>
        <w:rPr>
          <w:sz w:val="20"/>
          <w:szCs w:val="20"/>
          <w:color w:val="auto"/>
        </w:rPr>
      </w:pPr>
      <w:r>
        <w:rPr>
          <w:rFonts w:ascii="Courier New" w:cs="Courier New" w:eastAsia="Courier New" w:hAnsi="Courier New"/>
          <w:sz w:val="16"/>
          <w:szCs w:val="16"/>
          <w:color w:val="auto"/>
        </w:rPr>
        <w:t>The Company has arrangements with its suppliers and other third parties for the delivery of fuel.</w:t>
      </w:r>
    </w:p>
    <w:p>
      <w:pPr>
        <w:spacing w:after="0" w:line="183" w:lineRule="exact"/>
        <w:rPr>
          <w:sz w:val="20"/>
          <w:szCs w:val="20"/>
          <w:color w:val="auto"/>
        </w:rPr>
      </w:pPr>
    </w:p>
    <w:p>
      <w:pPr>
        <w:ind w:right="3059" w:firstLine="837"/>
        <w:spacing w:after="0" w:line="272" w:lineRule="auto"/>
        <w:rPr>
          <w:sz w:val="20"/>
          <w:szCs w:val="20"/>
          <w:color w:val="auto"/>
        </w:rPr>
      </w:pPr>
      <w:r>
        <w:rPr>
          <w:rFonts w:ascii="Courier New" w:cs="Courier New" w:eastAsia="Courier New" w:hAnsi="Courier New"/>
          <w:sz w:val="14"/>
          <w:szCs w:val="14"/>
          <w:color w:val="auto"/>
        </w:rPr>
        <w:t>The primary risk in the Company's aviation fueling business is the extension of unsecured trade credit. The Company's success in attracting business has been due, in large part, to its willingness to extend credit on an unsecured basis to customers which exhibit a higher credit risk profile and would otherwise be required to pre-pay or post cash collaterized letters of credit with their suppliers of fuel. The Company's management recognizes that extending credit and setting appropriate reserves for receivables is largely a subjective decision based on knowledge of the customer. Active management of this risk is essential to the Company's success. A strong capital position and liquidity provide the financial flexibility necessary to respond to customer needs. Diversification of risk is difficult since the Company sells primarily within the airline industry.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200" w:lineRule="exact"/>
        <w:rPr>
          <w:sz w:val="20"/>
          <w:szCs w:val="20"/>
          <w:color w:val="auto"/>
        </w:rPr>
      </w:pPr>
    </w:p>
    <w:p>
      <w:pPr>
        <w:spacing w:after="0" w:line="325" w:lineRule="exact"/>
        <w:rPr>
          <w:sz w:val="20"/>
          <w:szCs w:val="20"/>
          <w:color w:val="auto"/>
        </w:rPr>
      </w:pPr>
    </w:p>
    <w:p>
      <w:pPr>
        <w:ind w:right="2879" w:firstLine="837"/>
        <w:spacing w:after="0" w:line="273" w:lineRule="auto"/>
        <w:rPr>
          <w:sz w:val="20"/>
          <w:szCs w:val="20"/>
          <w:color w:val="auto"/>
        </w:rPr>
      </w:pPr>
      <w:r>
        <w:rPr>
          <w:rFonts w:ascii="Courier New" w:cs="Courier New" w:eastAsia="Courier New" w:hAnsi="Courier New"/>
          <w:sz w:val="14"/>
          <w:szCs w:val="14"/>
          <w:color w:val="auto"/>
        </w:rPr>
        <w:t>The level of credit granted to a customer is largely influenced by its estimated fuel requirements for thirty days, and its credit history with the Company for existing customers. This period of time represents the average business cycle of the Company's typical customer. The Company regularly monitors its credit portfolio by reviewing a customer's payment patterns and estimated overall exposure, including estimated unbilled fuel sales. The Company considers its credit portfolio to be of acceptable quality and has established an allowance that in management's judgement is adequate to absorb potential credit problems inherent in the portfolio as of March 31, 1995.</w:t>
      </w:r>
    </w:p>
    <w:p>
      <w:pPr>
        <w:spacing w:after="0" w:line="165" w:lineRule="exact"/>
        <w:rPr>
          <w:sz w:val="20"/>
          <w:szCs w:val="20"/>
          <w:color w:val="auto"/>
        </w:rPr>
      </w:pPr>
    </w:p>
    <w:p>
      <w:pPr>
        <w:ind w:right="2959" w:firstLine="837"/>
        <w:spacing w:after="0" w:line="270" w:lineRule="auto"/>
        <w:rPr>
          <w:sz w:val="20"/>
          <w:szCs w:val="20"/>
          <w:color w:val="auto"/>
        </w:rPr>
      </w:pPr>
      <w:r>
        <w:rPr>
          <w:rFonts w:ascii="Courier New" w:cs="Courier New" w:eastAsia="Courier New" w:hAnsi="Courier New"/>
          <w:sz w:val="14"/>
          <w:szCs w:val="14"/>
          <w:color w:val="auto"/>
        </w:rPr>
        <w:t>No single customer in this segment accounted for more than 10% of the Company's consolidated revenue in the three fiscal years ended March 31,</w:t>
      </w:r>
    </w:p>
    <w:p>
      <w:pPr>
        <w:spacing w:after="0" w:line="1"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1995. The Company currently employs 35 persons in its aviation fuel services segment.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Marine Fuel Services</w:t>
      </w:r>
    </w:p>
    <w:p>
      <w:pPr>
        <w:spacing w:after="0" w:line="183" w:lineRule="exact"/>
        <w:rPr>
          <w:sz w:val="20"/>
          <w:szCs w:val="20"/>
          <w:color w:val="auto"/>
        </w:rPr>
      </w:pPr>
    </w:p>
    <w:p>
      <w:pPr>
        <w:ind w:right="3159" w:firstLine="837"/>
        <w:spacing w:after="0" w:line="276" w:lineRule="auto"/>
        <w:rPr>
          <w:sz w:val="20"/>
          <w:szCs w:val="20"/>
          <w:color w:val="auto"/>
        </w:rPr>
      </w:pPr>
      <w:r>
        <w:rPr>
          <w:rFonts w:ascii="Courier New" w:cs="Courier New" w:eastAsia="Courier New" w:hAnsi="Courier New"/>
          <w:sz w:val="14"/>
          <w:szCs w:val="14"/>
          <w:color w:val="auto"/>
        </w:rPr>
        <w:t>The Company, through its Trans-Tec subsidiaries which were acquired effective January 1, 1995, markets marine fuel to a broad base of customers covering all market segments, including international container and tanker fleets, time charter operators, as well as military vessels. Fueling services are provided at over 1,000 ports and in over 135 countries.</w:t>
      </w:r>
    </w:p>
    <w:p>
      <w:pPr>
        <w:spacing w:after="0" w:line="161"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With strategic sales offices located in the United States, Singapore, England, Korea, and Greece, Trans-Tec affords its customers global market intelligence and rapid access to quality and competitively priced marine fuel, 24 hours a day, every day of the year. The cost of fuel is a major component of a vessel's operating overhead. Therefore, the need for cost effective and professional fueling services is essential.</w:t>
      </w:r>
    </w:p>
    <w:p>
      <w:pPr>
        <w:spacing w:after="0" w:line="200" w:lineRule="exact"/>
        <w:rPr>
          <w:sz w:val="20"/>
          <w:szCs w:val="20"/>
          <w:color w:val="auto"/>
        </w:rPr>
      </w:pPr>
    </w:p>
    <w:p>
      <w:pPr>
        <w:spacing w:after="0" w:line="335"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33" w:right="1440" w:bottom="1440" w:gutter="0" w:footer="0" w:header="0"/>
        </w:sectPr>
      </w:pPr>
    </w:p>
    <w:bookmarkStart w:id="5" w:name="page6"/>
    <w:bookmarkEnd w:id="5"/>
    <w:p>
      <w:pPr>
        <w:ind w:right="3059" w:firstLine="837"/>
        <w:spacing w:after="0" w:line="236" w:lineRule="auto"/>
        <w:rPr>
          <w:sz w:val="20"/>
          <w:szCs w:val="20"/>
          <w:color w:val="auto"/>
        </w:rPr>
      </w:pPr>
      <w:r>
        <w:rPr>
          <w:rFonts w:ascii="Courier New" w:cs="Courier New" w:eastAsia="Courier New" w:hAnsi="Courier New"/>
          <w:sz w:val="16"/>
          <w:szCs w:val="16"/>
          <w:color w:val="auto"/>
        </w:rPr>
        <w:t>As an increasing number of ship owners, time charter operators, and suppliers look to outsource their marine fuel purchasing and/or marketing needs, Trans-Tec's value added service has become an integral part of the oil and transportation industries' push to shed non-core functions. Suppliers use Trans-Tec's global sales, marketing and financial infrastructure to sell a spot or ratable volume of product to a diverse, international purchasing community. End customers use Trans-Tec's real time analysis of the availability, quality, and price of marine fuels in ports worldwide to maximize their competitive position.</w:t>
      </w:r>
    </w:p>
    <w:p>
      <w:pPr>
        <w:spacing w:after="0" w:line="185"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In the majority of its transactions, Trans-Tec acts as a broker and as a source of market information for the user, negotiates the transaction by arranging the fuel purchase contract between the supplier and end user, and expedites the arrangements for the delivery of fuel.</w:t>
      </w:r>
    </w:p>
    <w:p>
      <w:pPr>
        <w:spacing w:after="0" w:line="185"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Trans-Tec also acts as a principal, or reseller, when it purchases the fuel from a supplier, marks it up, and resells the fuel to a customer. The Company holds no inventory and assumes no price risk; however, in most instances the Company extends unsecured trade credit.</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Company's management meets regularly to evaluate credit exposure in the aggregate, and by individual credit. This group is also responsible for setting and maintaining credit standards and ensuring the overall quality of the credit portfolio. The level of credit is largely influenced by a customer's credit history with the Company, claims experience and payment patterns.</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No single customer in this segment accounted for more than 10% of the Company's consolidated revenue in the fiscal year ended March 31, 1995. The Company currently employs 48 persons in its marine fueling segment.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Oil Recycling</w:t>
      </w:r>
    </w:p>
    <w:p>
      <w:pPr>
        <w:spacing w:after="0" w:line="183" w:lineRule="exact"/>
        <w:rPr>
          <w:sz w:val="20"/>
          <w:szCs w:val="20"/>
          <w:color w:val="auto"/>
        </w:rPr>
      </w:pPr>
    </w:p>
    <w:p>
      <w:pPr>
        <w:ind w:right="3239" w:firstLine="837"/>
        <w:spacing w:after="0" w:line="235" w:lineRule="auto"/>
        <w:rPr>
          <w:sz w:val="20"/>
          <w:szCs w:val="20"/>
          <w:color w:val="auto"/>
        </w:rPr>
      </w:pPr>
      <w:r>
        <w:rPr>
          <w:rFonts w:ascii="Courier New" w:cs="Courier New" w:eastAsia="Courier New" w:hAnsi="Courier New"/>
          <w:sz w:val="16"/>
          <w:szCs w:val="16"/>
          <w:color w:val="auto"/>
        </w:rPr>
        <w:t>The Company, through its International Petroleum Corporation subsidiaries ("IPC"), collects, blends, and recycles used oil and petroleum contaminated water. The Company's recycled oil products are sold to industrial and commercial customers.</w:t>
      </w:r>
    </w:p>
    <w:p>
      <w:pPr>
        <w:spacing w:after="0" w:line="185"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IPC collects only non-hazardous waste oil, waste water, and petroleum contaminated liquids from generators such as service stations, quick lube shops, automobile dealerships, and industrial, governmental, marine, and utility generators. The Company uses its own fleet of trucks to collect approximately 40 percent of its needs from generators within close proximity to its facilities. The balance is sourced from independent agents. Every shipment is analyzed on-site or at the Company's laboratories to determine its specifications and the treatment needed to convert the waste fluid into marketable fuel products.</w:t>
      </w:r>
    </w:p>
    <w:p>
      <w:pPr>
        <w:spacing w:after="0" w:line="185"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The Company has three recycling facilities. The facilities located in Plant City, Florida and Wilmington, Delaware utilize a closed-loop, two stage recycling process. The resulting recycled oil product is sold as is, or it may be blended to customer specification into various non-hazardous oil products. The Company's products range from commercial diesel fuel to #6 grade residual oil.</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 Company's third recycling facility, located in New Orleans, Louisiana, was opened in May 1994. This plant utilizes a batch recycling process. The Company also has collection and transfer facilities in Atlanta, Georgia and in Baltimore, Maryland, both of which have limited processing and blending capabilities.</w:t>
      </w:r>
    </w:p>
    <w:p>
      <w:pPr>
        <w:spacing w:after="0" w:line="359"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33" w:right="1440" w:bottom="1440" w:gutter="0" w:footer="0" w:header="0"/>
        </w:sectPr>
      </w:pPr>
    </w:p>
    <w:bookmarkStart w:id="6" w:name="page7"/>
    <w:bookmarkEnd w:id="6"/>
    <w:p>
      <w:pPr>
        <w:ind w:right="3059" w:firstLine="837"/>
        <w:spacing w:after="0" w:line="276" w:lineRule="auto"/>
        <w:rPr>
          <w:sz w:val="20"/>
          <w:szCs w:val="20"/>
          <w:color w:val="auto"/>
        </w:rPr>
      </w:pPr>
      <w:r>
        <w:rPr>
          <w:rFonts w:ascii="Courier New" w:cs="Courier New" w:eastAsia="Courier New" w:hAnsi="Courier New"/>
          <w:sz w:val="14"/>
          <w:szCs w:val="14"/>
          <w:color w:val="auto"/>
        </w:rPr>
        <w:t>The used oil industry is highly fragmented and consists primarily of small scale operators that collect and resell used oil, many of which lack the necessary facilities to adequately test and recycle the oil. However, the industry also consists of a few large-scale operators that have the facilities to collect, re-refine, and market lubricating products.</w:t>
      </w:r>
    </w:p>
    <w:p>
      <w:pPr>
        <w:spacing w:after="0" w:line="161"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During the three fiscal years ended March 31, 1995, none of the Company's recycled fuel customers accounted for more than 10% of the Company's consolidated revenue. The Company currently employs 106 persons in the oil recycling segment.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83" w:lineRule="exact"/>
        <w:rPr>
          <w:sz w:val="20"/>
          <w:szCs w:val="20"/>
          <w:color w:val="auto"/>
        </w:rPr>
      </w:pPr>
    </w:p>
    <w:p>
      <w:pPr>
        <w:ind w:right="2879" w:firstLine="837"/>
        <w:spacing w:after="0" w:line="270" w:lineRule="auto"/>
        <w:rPr>
          <w:sz w:val="20"/>
          <w:szCs w:val="20"/>
          <w:color w:val="auto"/>
        </w:rPr>
      </w:pPr>
      <w:r>
        <w:rPr>
          <w:rFonts w:ascii="Courier New" w:cs="Courier New" w:eastAsia="Courier New" w:hAnsi="Courier New"/>
          <w:sz w:val="14"/>
          <w:szCs w:val="14"/>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 vehicles, or for damages to natural resources arising out of such events.</w:t>
      </w:r>
    </w:p>
    <w:p>
      <w:pPr>
        <w:spacing w:after="0" w:line="3" w:lineRule="exact"/>
        <w:rPr>
          <w:sz w:val="20"/>
          <w:szCs w:val="20"/>
          <w:color w:val="auto"/>
        </w:rPr>
      </w:pPr>
    </w:p>
    <w:p>
      <w:pPr>
        <w:ind w:right="3059"/>
        <w:spacing w:after="0" w:line="295" w:lineRule="auto"/>
        <w:rPr>
          <w:sz w:val="20"/>
          <w:szCs w:val="20"/>
          <w:color w:val="auto"/>
        </w:rPr>
      </w:pPr>
      <w:r>
        <w:rPr>
          <w:rFonts w:ascii="Courier New" w:cs="Courier New" w:eastAsia="Courier New" w:hAnsi="Courier New"/>
          <w:sz w:val="14"/>
          <w:szCs w:val="14"/>
          <w:color w:val="auto"/>
        </w:rPr>
        <w:t>The Company follows what it believes to be prudent procedures to protect its employees and customers and to prevent spills or releases of these materials.</w:t>
      </w:r>
    </w:p>
    <w:p>
      <w:pPr>
        <w:spacing w:after="0" w:line="147" w:lineRule="exact"/>
        <w:rPr>
          <w:sz w:val="20"/>
          <w:szCs w:val="20"/>
          <w:color w:val="auto"/>
        </w:rPr>
      </w:pPr>
    </w:p>
    <w:p>
      <w:pPr>
        <w:ind w:right="3519" w:firstLine="837"/>
        <w:spacing w:after="0" w:line="276" w:lineRule="auto"/>
        <w:rPr>
          <w:sz w:val="20"/>
          <w:szCs w:val="20"/>
          <w:color w:val="auto"/>
        </w:rPr>
      </w:pPr>
      <w:r>
        <w:rPr>
          <w:rFonts w:ascii="Courier New" w:cs="Courier New" w:eastAsia="Courier New" w:hAnsi="Courier New"/>
          <w:sz w:val="14"/>
          <w:szCs w:val="14"/>
          <w:color w:val="auto"/>
        </w:rPr>
        <w:t>The Company's activities subject it to the risks of significant potential liability under Federal and state statutes, common law, and contractual indemnification agreements. The Company has general and automobile liability insurance coverage, including the statutory Motor Carrier Act/MCS 90 endorsement for sudden and accidental pollution.</w:t>
      </w:r>
    </w:p>
    <w:p>
      <w:pPr>
        <w:spacing w:after="0" w:line="161" w:lineRule="exact"/>
        <w:rPr>
          <w:sz w:val="20"/>
          <w:szCs w:val="20"/>
          <w:color w:val="auto"/>
        </w:rPr>
      </w:pPr>
    </w:p>
    <w:p>
      <w:pPr>
        <w:ind w:right="3239" w:firstLine="837"/>
        <w:spacing w:after="0" w:line="273" w:lineRule="auto"/>
        <w:rPr>
          <w:sz w:val="20"/>
          <w:szCs w:val="20"/>
          <w:color w:val="auto"/>
        </w:rPr>
      </w:pPr>
      <w:r>
        <w:rPr>
          <w:rFonts w:ascii="Courier New" w:cs="Courier New" w:eastAsia="Courier New" w:hAnsi="Courier New"/>
          <w:sz w:val="14"/>
          <w:szCs w:val="14"/>
          <w:color w:val="auto"/>
        </w:rPr>
        <w:t>In the aviation and marine fuel segments, the Company utilizes subcontractors which provide various services to customers, including intoplane fueling at airports, fueling of vessels in port and at sea, and 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the Company will be adversely affected.</w:t>
      </w:r>
    </w:p>
    <w:p>
      <w:pPr>
        <w:spacing w:after="0" w:line="344"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The Company has exited several environmental businesses which handled hazardous wastes. These wastes were transported to various disposal facilities and/or treated by the Company. The Company may be held liable as a potentially responsible party for the clean-up of such disposal facilities in certain cases pursuant to current Federal and state laws and regulations. Due to the cost of insurance relative to potential exposure, tail coverages were not purchased for businesses exited. The Company is currently responsible to Federal and state environmental agencies for clean-up costs at a site formerly operated by its subsidiary, Resource Recovery of America, which has been sold by the Company.</w:t>
      </w:r>
    </w:p>
    <w:p>
      <w:pPr>
        <w:spacing w:after="0" w:line="186"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The Company continuously reviews the adequacy of its insurance coverages. However, the Company lacks coverage for various risks. A claim arising out of the Company's activities, if successful and of sufficient magnitude, could have a material adverse effect on the Company's financial position or results of operations. See "Item 3 - Legal Proceedings", appearing elsewhere in this report.</w:t>
      </w:r>
    </w:p>
    <w:p>
      <w:pPr>
        <w:spacing w:after="0" w:line="177"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3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Regulation</w:t>
      </w:r>
    </w:p>
    <w:p>
      <w:pPr>
        <w:spacing w:after="0" w:line="183"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The Company's operations are subject to substantial regulation by Federal, state and local government agencies, including, but not limited to, regulations which restrict the transportation, storage and disposal of hazardous waste and the collection, transportation, processing, storage, use and disposal of waste oil.</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principal U.S. Federal statutes affecting the business of the</w:t>
      </w:r>
    </w:p>
    <w:p>
      <w:pPr>
        <w:spacing w:after="0" w:line="236" w:lineRule="auto"/>
        <w:rPr>
          <w:sz w:val="20"/>
          <w:szCs w:val="20"/>
          <w:color w:val="auto"/>
        </w:rPr>
      </w:pPr>
      <w:r>
        <w:rPr>
          <w:rFonts w:ascii="Courier New" w:cs="Courier New" w:eastAsia="Courier New" w:hAnsi="Courier New"/>
          <w:sz w:val="16"/>
          <w:szCs w:val="16"/>
          <w:color w:val="auto"/>
        </w:rPr>
        <w:t>Company and the markets it serves are as follows:</w:t>
      </w:r>
    </w:p>
    <w:p>
      <w:pPr>
        <w:spacing w:after="0" w:line="183" w:lineRule="exact"/>
        <w:rPr>
          <w:sz w:val="20"/>
          <w:szCs w:val="20"/>
          <w:color w:val="auto"/>
        </w:rPr>
      </w:pPr>
    </w:p>
    <w:p>
      <w:pPr>
        <w:ind w:right="3059" w:firstLine="837"/>
        <w:spacing w:after="0" w:line="236" w:lineRule="auto"/>
        <w:rPr>
          <w:sz w:val="20"/>
          <w:szCs w:val="20"/>
          <w:color w:val="auto"/>
        </w:rPr>
      </w:pPr>
      <w:r>
        <w:rPr>
          <w:rFonts w:ascii="Courier New" w:cs="Courier New" w:eastAsia="Courier New" w:hAnsi="Courier New"/>
          <w:sz w:val="16"/>
          <w:szCs w:val="16"/>
          <w:color w:val="auto"/>
        </w:rPr>
        <w:t>The Comprehensive Environmental Response, Compensation and Liability Act of 1980 ("Superfund" or "CERCLA") establishes a program for Federally directed response or remedial actions with respect to the uncontrolled discharge of hazardous substances, pollutants or contaminants, including waste oil, into the environment. The law authorizes the Federal government either to seek a binding order directing responsible parties to undertake such actions or authorizes the Federal government to undertake such actions and then to seek compensation for the cost of clean-up and other damages from potentially responsible parties. Congress established a Federally-managed trust fund, commonly known as the Superfund, to fund response and remedial actions undertaken by the Federal government. The trust fund is used to fund Federally conducted actions when no financially able or willing responsible party has been found.</w:t>
      </w:r>
    </w:p>
    <w:p>
      <w:pPr>
        <w:spacing w:after="0" w:line="188" w:lineRule="exact"/>
        <w:rPr>
          <w:sz w:val="20"/>
          <w:szCs w:val="20"/>
          <w:color w:val="auto"/>
        </w:rPr>
      </w:pPr>
    </w:p>
    <w:p>
      <w:pPr>
        <w:ind w:right="3059" w:firstLine="837"/>
        <w:spacing w:after="0" w:line="236" w:lineRule="auto"/>
        <w:rPr>
          <w:sz w:val="20"/>
          <w:szCs w:val="20"/>
          <w:color w:val="auto"/>
        </w:rPr>
      </w:pPr>
      <w:r>
        <w:rPr>
          <w:rFonts w:ascii="Courier New" w:cs="Courier New" w:eastAsia="Courier New" w:hAnsi="Courier New"/>
          <w:sz w:val="16"/>
          <w:szCs w:val="16"/>
          <w:color w:val="auto"/>
        </w:rPr>
        <w:t>The Superfund Amendments and Reauthorization Act of 1986 ("SARA") adopted more detailed and stringent standards for remedial action at Superfund sites, and clarified provisions requiring damage assessments to determine the extent and monetary value of injury to natural resources. SARA also provides a separate funding mechanism for the clean-up of underground storage tanks.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Resource Conservation and Recovery Act of 1976 ("RCRA") established a comprehensive regulatory framework for the management of hazardous waste at active facilities, complementing the Superfund program which addresses inactive and abandoned waste sites. RCRA sets up a "cradle-to-grave" system for the management of hazardous waste, imposing upon all parties who generate, transport, treat, store or dispose of waste, above certain minimum quantities, requirements for performance, testing and record keeping. RCRA also requires new and existing facilities to obtain permits for construction, operation and closure and requires 30 years of post-closure care and monitoring. RCRA was amended in 1984 to increase the scope of RCRA regulation of small quantity waste generators and waste oil handlers and recyclers; require corrective action at hazardous waste facilities (including remediation at certain previously closed solid waste management units); phase in restrictions on land disposal of hazardous waste; and require the identification and regulation of underground storage tanks containing petroleum and certain chemicals.</w:t>
      </w:r>
    </w:p>
    <w:p>
      <w:pPr>
        <w:spacing w:after="0" w:line="190" w:lineRule="exact"/>
        <w:rPr>
          <w:sz w:val="20"/>
          <w:szCs w:val="20"/>
          <w:color w:val="auto"/>
        </w:rPr>
      </w:pPr>
    </w:p>
    <w:p>
      <w:pPr>
        <w:ind w:right="3239" w:firstLine="837"/>
        <w:spacing w:after="0" w:line="273" w:lineRule="auto"/>
        <w:rPr>
          <w:sz w:val="20"/>
          <w:szCs w:val="20"/>
          <w:color w:val="auto"/>
        </w:rPr>
      </w:pPr>
      <w:r>
        <w:rPr>
          <w:rFonts w:ascii="Courier New" w:cs="Courier New" w:eastAsia="Courier New" w:hAnsi="Courier New"/>
          <w:sz w:val="14"/>
          <w:szCs w:val="14"/>
          <w:color w:val="auto"/>
        </w:rPr>
        <w:t>On November 29, 1985, the Environmental Protection Agency ("EPA") issued final regulations under RCRA which restrict the burning of waste oil. These regulations prohibit burning waste oil in non-industrial boilers unless the oil meets certain standards for levels of lead, arsenic, chromium, chlorine, cadmium, and flashpoint. The regulations do not restrict the burning of waste oil in industrial boilers and furnaces. These regulations have not had a significant impact on the Company's business because the Company does not presently sell burner fuel to non-industrial burners. Industrial burners of recycled oil, however, must comply with certain notification and administrative procedures.</w:t>
      </w:r>
    </w:p>
    <w:p>
      <w:pPr>
        <w:spacing w:after="0" w:line="338"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27" w:right="1440" w:bottom="1440" w:gutter="0" w:footer="0" w:header="0"/>
        </w:sectPr>
      </w:pPr>
    </w:p>
    <w:bookmarkStart w:id="8" w:name="page9"/>
    <w:bookmarkEnd w:id="8"/>
    <w:p>
      <w:pPr>
        <w:ind w:right="3059" w:firstLine="837"/>
        <w:spacing w:after="0" w:line="275" w:lineRule="auto"/>
        <w:rPr>
          <w:sz w:val="20"/>
          <w:szCs w:val="20"/>
          <w:color w:val="auto"/>
        </w:rPr>
      </w:pPr>
      <w:r>
        <w:rPr>
          <w:rFonts w:ascii="Courier New" w:cs="Courier New" w:eastAsia="Courier New" w:hAnsi="Courier New"/>
          <w:sz w:val="14"/>
          <w:szCs w:val="14"/>
          <w:color w:val="auto"/>
        </w:rPr>
        <w:t>The National Environmental Policy Act of 1970 ("NEPA") requires the preparation of an environmental impact statement ("EIS") for any major Federal action significantly affecting the environment or the issuance of Federal environmental permits for industrial facilities affecting the environment. Such statements must evaluate and describe the effects of the proposed activity on the environment and evaluate alternatives to the proposed activity. Major energy and mineral developments require construction and operating permits and may therefore trigger the EIS process.</w:t>
      </w:r>
    </w:p>
    <w:p>
      <w:pPr>
        <w:spacing w:after="0" w:line="338"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 Toxic Substances Control Act of 1976 authorizes the EPA to gather information on the risks of chemicals and to monitor and regulate the manufacture, distribution, processing, use and disposal of a host of chemicals, including asbestos and polychlorinated biphenyls.</w:t>
      </w:r>
    </w:p>
    <w:p>
      <w:pPr>
        <w:spacing w:after="0" w:line="185"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The Clean Air Act of 1970, as amended in 1977, was the first major Federal legislation enacted after NEPA became law. The Act authorized the EPA to establish National Ambient Air Quality Standards for certain pollutants, which are to be achieved by the individual states through State Implementation Plans ("SIPs"). SIPs typically attempt to meet ambient standards by regulating the quantity and quality of emissions from specific industrial sources. For toxic emissions, the Act authorizes the EPA to regulate emissions from industrial facilities directly. The EPA also directly establishes emissions limits for new sources of pollution, and is responsible for ensuring compliance with air quality standards. The Clean Air Act Amendments of 1990 place the primary responsibility for the prevention and control of air pollution upon state and local governments. The 1990 amendments require regulated emission sources to obtain operating permits, which will impose emission limitations, standards, and compliance schedules.</w:t>
      </w:r>
    </w:p>
    <w:p>
      <w:pPr>
        <w:spacing w:after="0" w:line="189" w:lineRule="exact"/>
        <w:rPr>
          <w:sz w:val="20"/>
          <w:szCs w:val="20"/>
          <w:color w:val="auto"/>
        </w:rPr>
      </w:pPr>
    </w:p>
    <w:p>
      <w:pPr>
        <w:ind w:right="3059" w:firstLine="837"/>
        <w:spacing w:after="0" w:line="275" w:lineRule="auto"/>
        <w:rPr>
          <w:sz w:val="20"/>
          <w:szCs w:val="20"/>
          <w:color w:val="auto"/>
        </w:rPr>
      </w:pPr>
      <w:r>
        <w:rPr>
          <w:rFonts w:ascii="Courier New" w:cs="Courier New" w:eastAsia="Courier New" w:hAnsi="Courier New"/>
          <w:sz w:val="14"/>
          <w:szCs w:val="14"/>
          <w:color w:val="auto"/>
        </w:rPr>
        <w:t>The Clean Water Act of 1972, as amended in 1987, establishes water pollutant discharge standards applicable to many basic types of manufacturing plants and imposes standards on municipal sewage treatment plants. The Act requires states to set water quality standards for significant bodies of water within their boundaries and to ensure attainment and/or maintenance of those standards. Most industrial and government facilities must apply for and obtain discharge permits, monitor pollutant discharges, and under certain conditions reduce certain discharges.</w:t>
      </w:r>
    </w:p>
    <w:p>
      <w:pPr>
        <w:spacing w:after="0" w:line="338" w:lineRule="exact"/>
        <w:rPr>
          <w:sz w:val="20"/>
          <w:szCs w:val="20"/>
          <w:color w:val="auto"/>
        </w:rPr>
      </w:pPr>
    </w:p>
    <w:p>
      <w:pPr>
        <w:ind w:right="2779" w:firstLine="837"/>
        <w:spacing w:after="0" w:line="270" w:lineRule="auto"/>
        <w:rPr>
          <w:sz w:val="20"/>
          <w:szCs w:val="20"/>
          <w:color w:val="auto"/>
        </w:rPr>
      </w:pPr>
      <w:r>
        <w:rPr>
          <w:rFonts w:ascii="Courier New" w:cs="Courier New" w:eastAsia="Courier New" w:hAnsi="Courier New"/>
          <w:sz w:val="14"/>
          <w:szCs w:val="14"/>
          <w:color w:val="auto"/>
        </w:rPr>
        <w:t>The Safe Drinking Water Act, as amended in 1986, regulates public water supplies by requiring EPA to establish primary drinking water standards.</w:t>
      </w:r>
    </w:p>
    <w:p>
      <w:pPr>
        <w:spacing w:after="0" w:line="1"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These standards are likely to be further expanded under the EPA's evolving groundwater protection strategy which is intended to set levels of protection or clean-up of the nation's groundwater resources. These groundwater quality requirements will then be applied to RCRA facilities and CERCLA sites, and remedial action will be required for releases of contaminants into groundwater.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012" w:right="1440" w:bottom="1440" w:gutter="0" w:footer="0" w:header="0"/>
        </w:sectPr>
      </w:pPr>
    </w:p>
    <w:bookmarkStart w:id="9" w:name="page10"/>
    <w:bookmarkEnd w:id="9"/>
    <w:p>
      <w:pPr>
        <w:ind w:right="2779" w:firstLine="837"/>
        <w:spacing w:after="0" w:line="236" w:lineRule="auto"/>
        <w:rPr>
          <w:sz w:val="20"/>
          <w:szCs w:val="20"/>
          <w:color w:val="auto"/>
        </w:rPr>
      </w:pPr>
      <w:r>
        <w:rPr>
          <w:rFonts w:ascii="Courier New" w:cs="Courier New" w:eastAsia="Courier New" w:hAnsi="Courier New"/>
          <w:sz w:val="16"/>
          <w:szCs w:val="16"/>
          <w:color w:val="auto"/>
        </w:rPr>
        <w:t>The International Convention for the Prevention of Pollution from ships ("MARPOL") places strict limitations on the discharge of oil at sea and in port and requires ships to transfer oily waste to certified reception facilities. The U.S. Coast Guard has issued regulations effective March 10, 1986 which implement the requirements of MARPOL. Under these regulations, each terminal and port of the United States that services oceangoing tankers</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or cargo ships over 400 gross tons must be capable of receiving an average amount of oily waste based on the type and number of ships it serves. The reception facilities may be fixed or mobile, and may include tank trucks and tank barges.</w:t>
      </w:r>
    </w:p>
    <w:p>
      <w:pPr>
        <w:spacing w:after="0" w:line="185"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The National Pollutant Discharge Elimination System ("NPDES"), a program promulgated under the Clean Water Act, permits States to issue permits for the discharge of pollutants into the waters of the United States in lieu of Federal EPA regulation. State programs must be consistent with minimum Federal requirements, although they may always be more stringent. NPDES permits are required for, among other things, certain industrial discharges of storm water.</w:t>
      </w:r>
    </w:p>
    <w:p>
      <w:pPr>
        <w:spacing w:after="0" w:line="184" w:lineRule="exact"/>
        <w:rPr>
          <w:sz w:val="20"/>
          <w:szCs w:val="20"/>
          <w:color w:val="auto"/>
        </w:rPr>
      </w:pPr>
    </w:p>
    <w:p>
      <w:pPr>
        <w:ind w:right="2879" w:firstLine="837"/>
        <w:spacing w:after="0" w:line="270" w:lineRule="auto"/>
        <w:rPr>
          <w:sz w:val="20"/>
          <w:szCs w:val="20"/>
          <w:color w:val="auto"/>
        </w:rPr>
      </w:pPr>
      <w:r>
        <w:rPr>
          <w:rFonts w:ascii="Courier New" w:cs="Courier New" w:eastAsia="Courier New" w:hAnsi="Courier New"/>
          <w:sz w:val="14"/>
          <w:szCs w:val="14"/>
          <w:color w:val="auto"/>
        </w:rPr>
        <w:t>The Oil Pollution Act of 1990 imposes liability for oil discharges, or threats of discharge, into the navigable waters of the United States on the owner or operator of the responsible vessel or facility. Oil is defined to include oil refuse and oil mixed with wastes other than dredged spoil, but does not include oil designated as a hazardous substance under CERCLA. The Act requires the responsible party to pay all removal costs, including the costs to prevent, minimize or mitigate oil pollution in any case in which there is a substantial threat or an actual discharge of oil. In addition,</w:t>
      </w:r>
    </w:p>
    <w:p>
      <w:pPr>
        <w:spacing w:after="0" w:line="4"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the responsible party may be held liable for damages for injury to natural resources, loss of use of natural resources and loss of revenues from the use of such resources.</w:t>
      </w:r>
    </w:p>
    <w:p>
      <w:pPr>
        <w:spacing w:after="0" w:line="183" w:lineRule="exact"/>
        <w:rPr>
          <w:sz w:val="20"/>
          <w:szCs w:val="20"/>
          <w:color w:val="auto"/>
        </w:rPr>
      </w:pPr>
    </w:p>
    <w:p>
      <w:pPr>
        <w:ind w:right="3239" w:firstLine="837"/>
        <w:spacing w:after="0" w:line="274" w:lineRule="auto"/>
        <w:rPr>
          <w:sz w:val="20"/>
          <w:szCs w:val="20"/>
          <w:color w:val="auto"/>
        </w:rPr>
      </w:pPr>
      <w:r>
        <w:rPr>
          <w:rFonts w:ascii="Courier New" w:cs="Courier New" w:eastAsia="Courier New" w:hAnsi="Courier New"/>
          <w:sz w:val="14"/>
          <w:szCs w:val="14"/>
          <w:color w:val="auto"/>
        </w:rPr>
        <w:t>The Occupational Safety and Health Administration Act regulates exposure to toxic substances and other forms of pollution in the workplace. The law is administered by the Department of Labor. It specifies maximum levels of toxic substances, such as asbestos, to which employees may be exposed, and under the "right-to-know" rule requires that workers be informed of, and receive training relating to, the physical and health risks posed by hazardous materials in their workplaces.</w:t>
      </w:r>
    </w:p>
    <w:p>
      <w:pPr>
        <w:spacing w:after="0" w:line="164"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State and Local Government Regulation. Many states have been authorized by the EPA to enforce regulations promulgated under RCRA and other Federal programs. In addition, there are numerous state and local authorities that regulate the environment, some of which impose stricter environmental standards than Federal laws and regulations. Some states, including Florida, have enacted legislation which generally provides for registration, recordkeeping, permitting, inspection, and reporting requirements for transporters, collectors and recyclers of hazardous waste and waste oil. The penalties for violations of state law include injunctive relief, recovery of damages for injury to air, water or property and fines for non-compliance. In addition, some local governments have established local pollution control programs, which include environmental permitting, monitoring and surveillance, data collection and local environmental studies.</w:t>
      </w:r>
    </w:p>
    <w:p>
      <w:pPr>
        <w:spacing w:after="0" w:line="200" w:lineRule="exact"/>
        <w:rPr>
          <w:sz w:val="20"/>
          <w:szCs w:val="20"/>
          <w:color w:val="auto"/>
        </w:rPr>
      </w:pPr>
    </w:p>
    <w:p>
      <w:pPr>
        <w:spacing w:after="0" w:line="340"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3" w:right="1440" w:bottom="1440" w:gutter="0" w:footer="0" w:header="0"/>
        </w:sectPr>
      </w:pPr>
    </w:p>
    <w:bookmarkStart w:id="10" w:name="page11"/>
    <w:bookmarkEnd w:id="10"/>
    <w:p>
      <w:pPr>
        <w:ind w:right="2779" w:firstLine="837"/>
        <w:spacing w:after="0" w:line="235" w:lineRule="auto"/>
        <w:rPr>
          <w:sz w:val="20"/>
          <w:szCs w:val="20"/>
          <w:color w:val="auto"/>
        </w:rPr>
      </w:pPr>
      <w:r>
        <w:rPr>
          <w:rFonts w:ascii="Courier New" w:cs="Courier New" w:eastAsia="Courier New" w:hAnsi="Courier New"/>
          <w:sz w:val="16"/>
          <w:szCs w:val="16"/>
          <w:color w:val="auto"/>
        </w:rPr>
        <w:t>Excise Tax on Diesel and Aviation Fuel. The Company's aviation fueling operations are affected by various Federal and state taxes imposed on the purchase and sale of aviation fuel products in the United States. Federal</w:t>
      </w:r>
    </w:p>
    <w:p>
      <w:pPr>
        <w:spacing w:after="0" w:line="4"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law imposes a manufacturer's excise tax in the amount of 21.9 cents per gallon on sales of aviation fuel. Sales to aircraft engaged in foreign trade are exempt from this tax and sales to commercial airlines are partially exempt. These exemptions may be realized either through tax-free or tax-reduced sales if the seller qualifies as a producer under applicable regulations, or, if the seller does not so qualify, through a tax-paid sale followed by a refund to the exempt user. Several states where the Company sells aviation fuel, including the state of Florida, impose excise and sales taxes on fuel sales; and certain of the Company's sales qualify for full or partial exemptions from these state taxes.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 following page sets forth by segment and subsidiary the principal properties owned or leased by the Company as of May 15, 1995. The Company considers its properties and facilities to be suitable and adequate for its present needs.</w:t>
      </w:r>
    </w:p>
    <w:p>
      <w:pPr>
        <w:spacing w:after="0" w:line="185"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 Company generally enters into non-cancelable equipment leases and installment notes to finance the replacement, upgrade or expansion of its vehicles and equipment. For additional information with respect to obligations under the Company's leases and installment notes, see Notes 3 and 6 to the financial statements appearing elsewhere in this report.</w:t>
      </w:r>
    </w:p>
    <w:p>
      <w:pPr>
        <w:spacing w:after="0" w:line="200" w:lineRule="exact"/>
        <w:rPr>
          <w:sz w:val="20"/>
          <w:szCs w:val="20"/>
          <w:color w:val="auto"/>
        </w:rPr>
      </w:pPr>
    </w:p>
    <w:p>
      <w:pPr>
        <w:spacing w:after="0" w:line="338"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33"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4500" w:type="dxa"/>
            <w:vAlign w:val="bottom"/>
          </w:tcPr>
          <w:p>
            <w:pPr>
              <w:ind w:left="220"/>
              <w:spacing w:after="0"/>
              <w:rPr>
                <w:sz w:val="20"/>
                <w:szCs w:val="20"/>
                <w:color w:val="auto"/>
              </w:rPr>
            </w:pPr>
            <w:r>
              <w:rPr>
                <w:rFonts w:ascii="Courier New" w:cs="Courier New" w:eastAsia="Courier New" w:hAnsi="Courier New"/>
                <w:sz w:val="16"/>
                <w:szCs w:val="16"/>
                <w:color w:val="auto"/>
              </w:rPr>
              <w:t>IRC AND SUBSIDIARIES</w:t>
            </w:r>
          </w:p>
        </w:tc>
        <w:tc>
          <w:tcPr>
            <w:tcW w:w="2880" w:type="dxa"/>
            <w:vAlign w:val="bottom"/>
          </w:tcPr>
          <w:p>
            <w:pPr>
              <w:spacing w:after="0"/>
              <w:rPr>
                <w:sz w:val="15"/>
                <w:szCs w:val="15"/>
                <w:color w:val="auto"/>
              </w:rPr>
            </w:pPr>
          </w:p>
        </w:tc>
      </w:tr>
      <w:tr>
        <w:trPr>
          <w:trHeight w:val="179"/>
        </w:trPr>
        <w:tc>
          <w:tcPr>
            <w:tcW w:w="4140" w:type="dxa"/>
            <w:vAlign w:val="bottom"/>
          </w:tcPr>
          <w:p>
            <w:pPr>
              <w:spacing w:after="0"/>
              <w:rPr>
                <w:sz w:val="15"/>
                <w:szCs w:val="15"/>
                <w:color w:val="auto"/>
              </w:rPr>
            </w:pPr>
          </w:p>
        </w:tc>
        <w:tc>
          <w:tcPr>
            <w:tcW w:w="45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PROPERTIES</w:t>
            </w:r>
          </w:p>
        </w:tc>
        <w:tc>
          <w:tcPr>
            <w:tcW w:w="288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OWNER/LESSEE AND LOCATION</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PRINCIPAL USE</w:t>
            </w:r>
          </w:p>
        </w:tc>
        <w:tc>
          <w:tcPr>
            <w:tcW w:w="2880" w:type="dxa"/>
            <w:vAlign w:val="bottom"/>
          </w:tcPr>
          <w:p>
            <w:pPr>
              <w:ind w:left="940"/>
              <w:spacing w:after="0" w:line="179" w:lineRule="exact"/>
              <w:rPr>
                <w:sz w:val="20"/>
                <w:szCs w:val="20"/>
                <w:color w:val="auto"/>
              </w:rPr>
            </w:pPr>
            <w:r>
              <w:rPr>
                <w:rFonts w:ascii="Courier New" w:cs="Courier New" w:eastAsia="Courier New" w:hAnsi="Courier New"/>
                <w:sz w:val="16"/>
                <w:szCs w:val="16"/>
                <w:color w:val="auto"/>
              </w:rPr>
              <w:t>OWNED OR LEASED</w:t>
            </w: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INTERNATIONAL RECOVERY CORP.</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Executive Offices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Leased to June 1998</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700 S. Royal Poinciana Blvd.</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800</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Miami Springs, FL 33166</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AVIATION FUELING</w:t>
            </w:r>
          </w:p>
        </w:tc>
        <w:tc>
          <w:tcPr>
            <w:tcW w:w="4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ADVANCE PETROLEUM, INC.</w:t>
            </w:r>
          </w:p>
        </w:tc>
        <w:tc>
          <w:tcPr>
            <w:tcW w:w="450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Leased to June 1998</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D/B/A WORLD FUEL SERVICES OF FL.</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700 S. Royal Poinciana Blvd.</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800</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Miami Springs, FL 33166</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WORLD FUEL SERVICES, INC.</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Leased to June 1998</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700 S. Royal Poinciana Blvd.</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800</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Miami Springs, FL 33166</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WORLD FUEL SERVICES LTD.</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Leased month-to-month</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London Gatwick Hilton</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1211</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Gatwick Airport</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West Sussex RH6 0LL</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United Kingdom</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WORLD FUEL SERVICES (SINGAPORE) PTE., LTD.</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Leased to March 1997</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5 Shenton Way #12-03/04</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UIC Building</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Singapore 0106</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OIL RECYCLING</w:t>
            </w:r>
          </w:p>
        </w:tc>
        <w:tc>
          <w:tcPr>
            <w:tcW w:w="4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INTERNATIONAL PETROLEUM CORPORATION</w:t>
            </w:r>
          </w:p>
        </w:tc>
        <w:tc>
          <w:tcPr>
            <w:tcW w:w="450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Storage Tanks, Recycling</w:t>
            </w:r>
          </w:p>
        </w:tc>
        <w:tc>
          <w:tcPr>
            <w:tcW w:w="288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Leased to August 1996</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105 South Alexander Street</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Plant, Laboratory, and</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Plant City, FL 33566</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Administrative Offices</w:t>
            </w: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INTERNATIONAL PETROLEUM CORP. OF DELAWARE</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Storage Tanks, Recycling</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Owned</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505 South Market Street</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Plant, Laboratory, and</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Wilmington, DE 19801</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Administrative Offices</w:t>
            </w: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INTERNATIONAL PETROLEUM CORP. OF GEORGIA</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Storage Tanks, Blending</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Owned</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109 Howell Avenue</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Facility, and Administrative</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Fairburn, GA 30213</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Offices</w:t>
            </w: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INTERNATIONAL PETROLEUM CORP. OF LOUISIANA</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Storage Tanks, Recycling</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Leased to August 1996</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14890 Intracoastal Drive</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Plant, Laboratory, and</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New Orleans, LA 70129</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Administrative Offices</w:t>
            </w: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INTERNATIONAL PETROLEUM CORP. OF MARYLAND</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Storage Tanks, Blending</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Owned</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6305 E. Lombard Street</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Facility, and Administrative</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Baltimore, MD 21224</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Offices</w:t>
            </w: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MARINE FUELING</w:t>
            </w:r>
          </w:p>
        </w:tc>
        <w:tc>
          <w:tcPr>
            <w:tcW w:w="4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TRANS-TEC SERVICES, INC.</w:t>
            </w:r>
          </w:p>
        </w:tc>
        <w:tc>
          <w:tcPr>
            <w:tcW w:w="450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Leased month-to-month</w:t>
            </w:r>
          </w:p>
        </w:tc>
      </w:tr>
      <w:tr>
        <w:trPr>
          <w:trHeight w:val="179"/>
        </w:trPr>
        <w:tc>
          <w:tcPr>
            <w:tcW w:w="4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150 East 55th Street</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New York, N.Y. 10022</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ind w:left="280"/>
              <w:spacing w:after="0"/>
              <w:rPr>
                <w:sz w:val="20"/>
                <w:szCs w:val="20"/>
                <w:color w:val="auto"/>
              </w:rPr>
            </w:pPr>
            <w:r>
              <w:rPr>
                <w:rFonts w:ascii="Courier New" w:cs="Courier New" w:eastAsia="Courier New" w:hAnsi="Courier New"/>
                <w:sz w:val="16"/>
                <w:szCs w:val="16"/>
                <w:color w:val="auto"/>
              </w:rPr>
              <w:t>60 East Sir Francis Drake, No. 301</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w w:val="95"/>
              </w:rPr>
              <w:t>Leased to December 1999</w:t>
            </w:r>
          </w:p>
        </w:tc>
      </w:tr>
      <w:tr>
        <w:trPr>
          <w:trHeight w:val="179"/>
        </w:trPr>
        <w:tc>
          <w:tcPr>
            <w:tcW w:w="4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Larkspur, CA  94939</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358"/>
        </w:trPr>
        <w:tc>
          <w:tcPr>
            <w:tcW w:w="4140" w:type="dxa"/>
            <w:vAlign w:val="bottom"/>
          </w:tcPr>
          <w:p>
            <w:pPr>
              <w:ind w:left="280"/>
              <w:spacing w:after="0"/>
              <w:rPr>
                <w:sz w:val="20"/>
                <w:szCs w:val="20"/>
                <w:color w:val="auto"/>
              </w:rPr>
            </w:pPr>
            <w:r>
              <w:rPr>
                <w:rFonts w:ascii="Courier New" w:cs="Courier New" w:eastAsia="Courier New" w:hAnsi="Courier New"/>
                <w:sz w:val="16"/>
                <w:szCs w:val="16"/>
                <w:color w:val="auto"/>
              </w:rPr>
              <w:t>7-1 Centro Colon: Paseo Colon</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Leased month-to-month</w:t>
            </w:r>
          </w:p>
        </w:tc>
      </w:tr>
      <w:tr>
        <w:trPr>
          <w:trHeight w:val="179"/>
        </w:trPr>
        <w:tc>
          <w:tcPr>
            <w:tcW w:w="4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San Jose, Costa Rica</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358"/>
        </w:trPr>
        <w:tc>
          <w:tcPr>
            <w:tcW w:w="4140" w:type="dxa"/>
            <w:vAlign w:val="bottom"/>
          </w:tcPr>
          <w:p>
            <w:pPr>
              <w:ind w:left="280"/>
              <w:spacing w:after="0"/>
              <w:rPr>
                <w:sz w:val="20"/>
                <w:szCs w:val="20"/>
                <w:color w:val="auto"/>
              </w:rPr>
            </w:pPr>
            <w:r>
              <w:rPr>
                <w:rFonts w:ascii="Courier New" w:cs="Courier New" w:eastAsia="Courier New" w:hAnsi="Courier New"/>
                <w:sz w:val="16"/>
                <w:szCs w:val="16"/>
                <w:color w:val="auto"/>
              </w:rPr>
              <w:t>2nd Floor</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w w:val="95"/>
              </w:rPr>
              <w:t>Leased to December 1997</w:t>
            </w:r>
          </w:p>
        </w:tc>
      </w:tr>
      <w:tr>
        <w:trPr>
          <w:trHeight w:val="179"/>
        </w:trPr>
        <w:tc>
          <w:tcPr>
            <w:tcW w:w="4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 NAEJA-Dong</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Chongru-Ku Seoul, Korea</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ind w:left="280"/>
              <w:spacing w:after="0"/>
              <w:rPr>
                <w:sz w:val="20"/>
                <w:szCs w:val="20"/>
                <w:color w:val="auto"/>
              </w:rPr>
            </w:pPr>
            <w:r>
              <w:rPr>
                <w:rFonts w:ascii="Courier New" w:cs="Courier New" w:eastAsia="Courier New" w:hAnsi="Courier New"/>
                <w:sz w:val="16"/>
                <w:szCs w:val="16"/>
                <w:color w:val="auto"/>
              </w:rPr>
              <w:t>1, Kanari St. &amp; Akti Miaouli</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Offices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w w:val="95"/>
              </w:rPr>
              <w:t>Leased to November 1996</w:t>
            </w:r>
          </w:p>
        </w:tc>
      </w:tr>
      <w:tr>
        <w:trPr>
          <w:trHeight w:val="179"/>
        </w:trPr>
        <w:tc>
          <w:tcPr>
            <w:tcW w:w="4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Piraeuss, 18537 Greece</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TRANS-TEC SERVICES (SINGAPORE) PTE., LTD.</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rPr>
              <w:t>Leased to March 1997</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5 Shenton Way #12-03/04</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UIC Building</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Singapore 0106</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TRANS-TEC SERVICES (UK) Ltd.</w:t>
            </w: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Administrative, operations</w:t>
            </w:r>
          </w:p>
        </w:tc>
        <w:tc>
          <w:tcPr>
            <w:tcW w:w="2880" w:type="dxa"/>
            <w:vAlign w:val="bottom"/>
          </w:tcPr>
          <w:p>
            <w:pPr>
              <w:ind w:left="760"/>
              <w:spacing w:after="0"/>
              <w:rPr>
                <w:sz w:val="20"/>
                <w:szCs w:val="20"/>
                <w:color w:val="auto"/>
              </w:rPr>
            </w:pPr>
            <w:r>
              <w:rPr>
                <w:rFonts w:ascii="Courier New" w:cs="Courier New" w:eastAsia="Courier New" w:hAnsi="Courier New"/>
                <w:sz w:val="16"/>
                <w:szCs w:val="16"/>
                <w:color w:val="auto"/>
                <w:w w:val="95"/>
              </w:rPr>
              <w:t>Leased to December 1997</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65 Petty France</w:t>
            </w:r>
          </w:p>
        </w:tc>
        <w:tc>
          <w:tcPr>
            <w:tcW w:w="450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and sales Offices</w:t>
            </w:r>
          </w:p>
        </w:tc>
        <w:tc>
          <w:tcPr>
            <w:tcW w:w="288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London SW1H 9EU</w:t>
            </w:r>
          </w:p>
        </w:tc>
        <w:tc>
          <w:tcPr>
            <w:tcW w:w="4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58"/>
        </w:trPr>
        <w:tc>
          <w:tcPr>
            <w:tcW w:w="4140" w:type="dxa"/>
            <w:vAlign w:val="bottom"/>
          </w:tcPr>
          <w:p>
            <w:pPr>
              <w:spacing w:after="0"/>
              <w:rPr>
                <w:sz w:val="24"/>
                <w:szCs w:val="24"/>
                <w:color w:val="auto"/>
              </w:rPr>
            </w:pPr>
          </w:p>
        </w:tc>
        <w:tc>
          <w:tcPr>
            <w:tcW w:w="4500" w:type="dxa"/>
            <w:vAlign w:val="bottom"/>
          </w:tcPr>
          <w:p>
            <w:pPr>
              <w:ind w:left="980"/>
              <w:spacing w:after="0"/>
              <w:rPr>
                <w:sz w:val="20"/>
                <w:szCs w:val="20"/>
                <w:color w:val="auto"/>
              </w:rPr>
            </w:pPr>
            <w:r>
              <w:rPr>
                <w:rFonts w:ascii="Courier New" w:cs="Courier New" w:eastAsia="Courier New" w:hAnsi="Courier New"/>
                <w:sz w:val="16"/>
                <w:szCs w:val="16"/>
                <w:color w:val="auto"/>
              </w:rPr>
              <w:t>-10-</w:t>
            </w:r>
          </w:p>
        </w:tc>
        <w:tc>
          <w:tcPr>
            <w:tcW w:w="2880" w:type="dxa"/>
            <w:vAlign w:val="bottom"/>
          </w:tcPr>
          <w:p>
            <w:pPr>
              <w:spacing w:after="0"/>
              <w:rPr>
                <w:sz w:val="24"/>
                <w:szCs w:val="24"/>
                <w:color w:val="auto"/>
              </w:rPr>
            </w:pPr>
          </w:p>
        </w:tc>
      </w:tr>
    </w:tbl>
    <w:p>
      <w:pPr>
        <w:sectPr>
          <w:pgSz w:w="11900" w:h="16838" w:orient="portrait"/>
          <w:cols w:equalWidth="0" w:num="1">
            <w:col w:w="11520"/>
          </w:cols>
          <w:pgMar w:left="240" w:top="1006" w:right="139" w:bottom="417" w:gutter="0" w:footer="0" w:header="0"/>
        </w:sectPr>
      </w:pPr>
    </w:p>
    <w:bookmarkStart w:id="12" w:name="page13"/>
    <w:bookmarkEnd w:id="12"/>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In January 1993, Hillsborough County, Florida sued International Petroleum Corporation, the Company's Florida subsidiary, along with 170 other defendants (or potentially responsible persons), in the U.S. District Court of the Middle District of Florida. The complaint seeks to recover response or cleanup costs for the Sydney Mine Waste Disposal Site under the Comprehensive Environmental Response, Compensation, and Liability Act, 42 U.S.C. section 9601 et. seq. (CERCLA or Superfund) and under Florida Statutes. The Company intends to vigorously defend this action.</w:t>
      </w:r>
    </w:p>
    <w:p>
      <w:pPr>
        <w:spacing w:after="0" w:line="184"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There can be no assurance the Company will prevail in the foregoing legal proceeding, and management cannot estimate at this time the exposure of the Company if it does not prevail in this proceeding. Except for the foregoing, there are no material legal proceedings to which the Company or any of its subsidiaries is a party.</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83" w:lineRule="exact"/>
        <w:rPr>
          <w:sz w:val="20"/>
          <w:szCs w:val="20"/>
          <w:color w:val="auto"/>
        </w:rPr>
      </w:pPr>
    </w:p>
    <w:p>
      <w:pPr>
        <w:ind w:right="3439" w:firstLine="837"/>
        <w:spacing w:after="0" w:line="235" w:lineRule="auto"/>
        <w:rPr>
          <w:sz w:val="20"/>
          <w:szCs w:val="20"/>
          <w:color w:val="auto"/>
        </w:rPr>
      </w:pPr>
      <w:r>
        <w:rPr>
          <w:rFonts w:ascii="Courier New" w:cs="Courier New" w:eastAsia="Courier New" w:hAnsi="Courier New"/>
          <w:sz w:val="16"/>
          <w:szCs w:val="16"/>
          <w:color w:val="auto"/>
        </w:rPr>
        <w:t>No matter was submitted to a vote of shareholders, through the solicitation of proxies or otherwise, during the fourth quarter of fiscal year 1995.</w:t>
      </w:r>
    </w:p>
    <w:p>
      <w:pPr>
        <w:spacing w:after="0" w:line="200" w:lineRule="exact"/>
        <w:rPr>
          <w:sz w:val="20"/>
          <w:szCs w:val="20"/>
          <w:color w:val="auto"/>
        </w:rPr>
      </w:pPr>
    </w:p>
    <w:p>
      <w:pPr>
        <w:spacing w:after="0" w:line="335"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PART II</w:t>
      </w:r>
    </w:p>
    <w:p>
      <w:pPr>
        <w:spacing w:after="0" w:line="35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w:t>
      </w:r>
    </w:p>
    <w:p>
      <w:pPr>
        <w:ind w:left="840"/>
        <w:spacing w:after="0" w:line="236" w:lineRule="auto"/>
        <w:rPr>
          <w:sz w:val="20"/>
          <w:szCs w:val="20"/>
          <w:color w:val="auto"/>
        </w:rPr>
      </w:pPr>
      <w:r>
        <w:rPr>
          <w:rFonts w:ascii="Courier New" w:cs="Courier New" w:eastAsia="Courier New" w:hAnsi="Courier New"/>
          <w:sz w:val="16"/>
          <w:szCs w:val="16"/>
          <w:color w:val="auto"/>
        </w:rPr>
        <w:t>STOCKHOLDER MATTERS</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 Company's common stock is currently traded on the New York Stock Exchange and the Pacific Stock Exchange under the symbol INT. The following table sets forth, for each quarter within the fiscal years ended March 31, 1995 and 1994, the sale prices of the Company's common stock as reported by the New York Stock Exchange.</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PRICES</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3300" w:type="dxa"/>
            <w:vAlign w:val="bottom"/>
          </w:tcPr>
          <w:p>
            <w:pPr>
              <w:spacing w:after="0"/>
              <w:rPr>
                <w:sz w:val="15"/>
                <w:szCs w:val="15"/>
                <w:color w:val="auto"/>
              </w:rPr>
            </w:pPr>
          </w:p>
        </w:tc>
        <w:tc>
          <w:tcPr>
            <w:tcW w:w="208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rPr>
                <w:sz w:val="15"/>
                <w:szCs w:val="15"/>
                <w:color w:val="auto"/>
              </w:rPr>
            </w:pP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HIGH</w:t>
            </w:r>
          </w:p>
        </w:tc>
        <w:tc>
          <w:tcPr>
            <w:tcW w:w="6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LOW</w:t>
            </w:r>
          </w:p>
        </w:tc>
        <w:tc>
          <w:tcPr>
            <w:tcW w:w="320" w:type="dxa"/>
            <w:vAlign w:val="bottom"/>
          </w:tcPr>
          <w:p>
            <w:pPr>
              <w:spacing w:after="0"/>
              <w:rPr>
                <w:sz w:val="15"/>
                <w:szCs w:val="15"/>
                <w:color w:val="auto"/>
              </w:rPr>
            </w:pPr>
          </w:p>
        </w:tc>
      </w:tr>
      <w:tr>
        <w:trPr>
          <w:trHeight w:val="179"/>
        </w:trPr>
        <w:tc>
          <w:tcPr>
            <w:tcW w:w="3300" w:type="dxa"/>
            <w:vAlign w:val="bottom"/>
          </w:tcPr>
          <w:p>
            <w:pPr>
              <w:spacing w:after="0"/>
              <w:rPr>
                <w:sz w:val="15"/>
                <w:szCs w:val="15"/>
                <w:color w:val="auto"/>
              </w:rPr>
            </w:pPr>
          </w:p>
        </w:tc>
        <w:tc>
          <w:tcPr>
            <w:tcW w:w="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March 31, 1995</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First quarter....................</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$ 14 5/8</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$ 11 5/8</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Second quarter...................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Third quarter....................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w:t>
            </w:r>
          </w:p>
        </w:tc>
        <w:tc>
          <w:tcPr>
            <w:tcW w:w="320" w:type="dxa"/>
            <w:vAlign w:val="bottom"/>
          </w:tcPr>
          <w:p>
            <w:pPr>
              <w:spacing w:after="0"/>
              <w:rPr>
                <w:sz w:val="15"/>
                <w:szCs w:val="15"/>
                <w:color w:val="auto"/>
              </w:rPr>
            </w:pP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Fourth quarter...................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w:t>
            </w:r>
          </w:p>
        </w:tc>
      </w:tr>
      <w:tr>
        <w:trPr>
          <w:trHeight w:val="358"/>
        </w:trPr>
        <w:tc>
          <w:tcPr>
            <w:tcW w:w="3300" w:type="dxa"/>
            <w:vAlign w:val="bottom"/>
          </w:tcPr>
          <w:p>
            <w:pPr>
              <w:spacing w:after="0"/>
              <w:rPr>
                <w:sz w:val="20"/>
                <w:szCs w:val="20"/>
                <w:color w:val="auto"/>
              </w:rPr>
            </w:pPr>
            <w:r>
              <w:rPr>
                <w:rFonts w:ascii="Courier New" w:cs="Courier New" w:eastAsia="Courier New" w:hAnsi="Courier New"/>
                <w:sz w:val="16"/>
                <w:szCs w:val="16"/>
                <w:color w:val="auto"/>
              </w:rPr>
              <w:t>Year ended March 31, 1994</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First quarter....................</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$ 12 1/2</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$ 10 1/2</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Second quarter...................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c>
          <w:tcPr>
            <w:tcW w:w="320" w:type="dxa"/>
            <w:vAlign w:val="bottom"/>
          </w:tcPr>
          <w:p>
            <w:pPr>
              <w:spacing w:after="0"/>
              <w:rPr>
                <w:sz w:val="15"/>
                <w:szCs w:val="15"/>
                <w:color w:val="auto"/>
              </w:rPr>
            </w:pP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Third quarter....................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6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Fourth quarter...................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bl>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As of May 25, 1995, there were 478 holders of record of the Company's common stock. During fiscal year 1995, the Board of Directors approved the payment of the following cash dividends: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60" w:type="dxa"/>
            <w:vAlign w:val="bottom"/>
          </w:tcPr>
          <w:p>
            <w:pPr>
              <w:spacing w:after="0"/>
              <w:rPr>
                <w:sz w:val="20"/>
                <w:szCs w:val="20"/>
                <w:color w:val="auto"/>
              </w:rPr>
            </w:pPr>
            <w:r>
              <w:rPr>
                <w:rFonts w:ascii="Courier New" w:cs="Courier New" w:eastAsia="Courier New" w:hAnsi="Courier New"/>
                <w:sz w:val="16"/>
                <w:szCs w:val="16"/>
                <w:color w:val="auto"/>
              </w:rPr>
              <w:t>Declaration Date</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Per Share</w:t>
            </w:r>
          </w:p>
        </w:tc>
        <w:tc>
          <w:tcPr>
            <w:tcW w:w="1760" w:type="dxa"/>
            <w:vAlign w:val="bottom"/>
          </w:tcPr>
          <w:p>
            <w:pPr>
              <w:spacing w:after="0"/>
              <w:rPr>
                <w:sz w:val="20"/>
                <w:szCs w:val="20"/>
                <w:color w:val="auto"/>
              </w:rPr>
            </w:pPr>
            <w:r>
              <w:rPr>
                <w:rFonts w:ascii="Courier New" w:cs="Courier New" w:eastAsia="Courier New" w:hAnsi="Courier New"/>
                <w:sz w:val="16"/>
                <w:szCs w:val="16"/>
                <w:color w:val="auto"/>
              </w:rPr>
              <w:t>Record Date</w:t>
            </w:r>
          </w:p>
        </w:tc>
        <w:tc>
          <w:tcPr>
            <w:tcW w:w="1580" w:type="dxa"/>
            <w:vAlign w:val="bottom"/>
          </w:tcPr>
          <w:p>
            <w:pPr>
              <w:ind w:left="100"/>
              <w:spacing w:after="0"/>
              <w:rPr>
                <w:sz w:val="20"/>
                <w:szCs w:val="20"/>
                <w:color w:val="auto"/>
              </w:rPr>
            </w:pPr>
            <w:r>
              <w:rPr>
                <w:rFonts w:ascii="Courier New" w:cs="Courier New" w:eastAsia="Courier New" w:hAnsi="Courier New"/>
                <w:sz w:val="16"/>
                <w:szCs w:val="16"/>
                <w:color w:val="auto"/>
              </w:rPr>
              <w:t>Payment Date</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120" w:type="dxa"/>
            <w:vAlign w:val="bottom"/>
            <w:gridSpan w:val="2"/>
          </w:tcPr>
          <w:p>
            <w:pPr>
              <w:jc w:val="center"/>
              <w:ind w:left="202"/>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May 9, 1994</w:t>
            </w:r>
          </w:p>
        </w:tc>
        <w:tc>
          <w:tcPr>
            <w:tcW w:w="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9"/>
              </w:rPr>
              <w:t>cents</w:t>
            </w:r>
          </w:p>
        </w:tc>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June 22, 1994</w:t>
            </w: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July 15, 1994</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September 9, 1994</w:t>
            </w:r>
          </w:p>
        </w:tc>
        <w:tc>
          <w:tcPr>
            <w:tcW w:w="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9"/>
              </w:rPr>
              <w:t>cents</w:t>
            </w:r>
          </w:p>
        </w:tc>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September 22, 1994</w:t>
            </w: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October 14, 1994</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December 9, 1994</w:t>
            </w:r>
          </w:p>
        </w:tc>
        <w:tc>
          <w:tcPr>
            <w:tcW w:w="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9"/>
              </w:rPr>
              <w:t>cents</w:t>
            </w:r>
          </w:p>
        </w:tc>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December 22, 1994</w:t>
            </w: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January 12, 1995</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January 19, 1995</w:t>
            </w:r>
          </w:p>
        </w:tc>
        <w:tc>
          <w:tcPr>
            <w:tcW w:w="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9"/>
              </w:rPr>
              <w:t>cents</w:t>
            </w:r>
          </w:p>
        </w:tc>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March 22, 1995</w:t>
            </w: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April 13, 1995</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February 22, 1995</w:t>
            </w:r>
          </w:p>
        </w:tc>
        <w:tc>
          <w:tcPr>
            <w:tcW w:w="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w:t>
            </w:r>
          </w:p>
        </w:tc>
        <w:tc>
          <w:tcPr>
            <w:tcW w:w="70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9"/>
              </w:rPr>
              <w:t>cents</w:t>
            </w:r>
          </w:p>
        </w:tc>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March 22, 1995</w:t>
            </w: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April 13, 1995</w:t>
            </w:r>
          </w:p>
        </w:tc>
      </w:tr>
    </w:tbl>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The Company's loan agreement with NationsBank restricts the payment of cash dividends to a maximum of 25% of net income for the preceding four quarters. The Company's payment of the above dividends is in compliance with the NationsBank loan agreement.</w:t>
      </w:r>
    </w:p>
    <w:p>
      <w:pPr>
        <w:spacing w:after="0" w:line="185" w:lineRule="exact"/>
        <w:rPr>
          <w:sz w:val="20"/>
          <w:szCs w:val="20"/>
          <w:color w:val="auto"/>
        </w:rPr>
      </w:pPr>
    </w:p>
    <w:p>
      <w:pPr>
        <w:ind w:right="3159" w:firstLine="837"/>
        <w:spacing w:after="0" w:line="236" w:lineRule="auto"/>
        <w:rPr>
          <w:sz w:val="20"/>
          <w:szCs w:val="20"/>
          <w:color w:val="auto"/>
        </w:rPr>
      </w:pPr>
      <w:r>
        <w:rPr>
          <w:rFonts w:ascii="Courier New" w:cs="Courier New" w:eastAsia="Courier New" w:hAnsi="Courier New"/>
          <w:sz w:val="16"/>
          <w:szCs w:val="16"/>
          <w:color w:val="auto"/>
        </w:rPr>
        <w:t>On April 12, 1993, the Board of Directors authorized the repurchase from time to time of up to 400,000 shares of the Company's common stock. The timing and quantity of shares to be repurchased will depend upon a number of factors, including market price. As of March 31, 1995, a total of 5,000 shares had been purchased in the open market for approximately $57,000 pursuant to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27" w:right="1440" w:bottom="1440" w:gutter="0" w:footer="0" w:header="0"/>
        </w:sectPr>
      </w:pPr>
    </w:p>
    <w:bookmarkStart w:id="14" w:name="page15"/>
    <w:bookmarkEnd w:id="14"/>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83"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The following selected financial data has been summarized from the Company's consolidated financial statements set forth in Item 8 of this report. The selected financial data should be read in conjunction with the consolidated financial statements and the related notes thereto, and with "Item 7 - Management's Discussion and Analysis of Financial Condition and Results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SELECTED FINANCIAL DATA</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8"/>
        </w:trPr>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20" w:type="dxa"/>
            <w:vAlign w:val="bottom"/>
            <w:gridSpan w:val="3"/>
          </w:tcPr>
          <w:p>
            <w:pPr>
              <w:jc w:val="right"/>
              <w:ind w:right="142"/>
              <w:spacing w:after="0"/>
              <w:rPr>
                <w:sz w:val="20"/>
                <w:szCs w:val="20"/>
                <w:color w:val="auto"/>
              </w:rPr>
            </w:pPr>
            <w:r>
              <w:rPr>
                <w:rFonts w:ascii="Courier New" w:cs="Courier New" w:eastAsia="Courier New" w:hAnsi="Courier New"/>
                <w:sz w:val="16"/>
                <w:szCs w:val="16"/>
                <w:color w:val="auto"/>
                <w:w w:val="95"/>
              </w:rPr>
              <w:t>FOR THE YEAR ENDED MARCH 31,</w:t>
            </w:r>
          </w:p>
        </w:tc>
        <w:tc>
          <w:tcPr>
            <w:tcW w:w="900" w:type="dxa"/>
            <w:vAlign w:val="bottom"/>
          </w:tcPr>
          <w:p>
            <w:pPr>
              <w:spacing w:after="0"/>
              <w:rPr>
                <w:sz w:val="24"/>
                <w:szCs w:val="24"/>
                <w:color w:val="auto"/>
              </w:rPr>
            </w:pPr>
          </w:p>
        </w:tc>
      </w:tr>
      <w:tr>
        <w:trPr>
          <w:trHeight w:val="179"/>
        </w:trPr>
        <w:tc>
          <w:tcPr>
            <w:tcW w:w="2640" w:type="dxa"/>
            <w:vAlign w:val="bottom"/>
          </w:tcPr>
          <w:p>
            <w:pPr>
              <w:spacing w:after="0"/>
              <w:rPr>
                <w:sz w:val="15"/>
                <w:szCs w:val="15"/>
                <w:color w:val="auto"/>
              </w:rPr>
            </w:pPr>
          </w:p>
        </w:tc>
        <w:tc>
          <w:tcPr>
            <w:tcW w:w="4620" w:type="dxa"/>
            <w:vAlign w:val="bottom"/>
            <w:gridSpan w:val="5"/>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6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1995(4)</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1992(1)</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1991(1)</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spacing w:after="0"/>
              <w:rPr>
                <w:sz w:val="15"/>
                <w:szCs w:val="15"/>
                <w:color w:val="auto"/>
              </w:rPr>
            </w:pPr>
          </w:p>
        </w:tc>
        <w:tc>
          <w:tcPr>
            <w:tcW w:w="4620" w:type="dxa"/>
            <w:vAlign w:val="bottom"/>
            <w:gridSpan w:val="5"/>
          </w:tcPr>
          <w:p>
            <w:pPr>
              <w:jc w:val="right"/>
              <w:ind w:right="202"/>
              <w:spacing w:after="0" w:line="179" w:lineRule="exact"/>
              <w:rPr>
                <w:sz w:val="20"/>
                <w:szCs w:val="20"/>
                <w:color w:val="auto"/>
              </w:rPr>
            </w:pPr>
            <w:r>
              <w:rPr>
                <w:rFonts w:ascii="Courier New" w:cs="Courier New" w:eastAsia="Courier New" w:hAnsi="Courier New"/>
                <w:sz w:val="16"/>
                <w:szCs w:val="16"/>
                <w:color w:val="auto"/>
                <w:w w:val="97"/>
              </w:rPr>
              <w:t>(In thousands, except earnings per share data)</w:t>
            </w: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Income Statement Data</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$361,891</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$250,527</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$254,767</w:t>
            </w:r>
          </w:p>
        </w:tc>
        <w:tc>
          <w:tcPr>
            <w:tcW w:w="9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$190,574</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$211,781</w:t>
            </w: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334,134</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223,576</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230,847</w:t>
            </w:r>
          </w:p>
        </w:tc>
        <w:tc>
          <w:tcPr>
            <w:tcW w:w="9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170,442</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191,907</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Gross profit.....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27,757</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26,951</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23,920</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20,132</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19,874</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Salaries and wages......</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8,117</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6,558</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6,039</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5,909</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5,394</w:t>
            </w:r>
          </w:p>
        </w:tc>
      </w:tr>
      <w:tr>
        <w:trPr>
          <w:trHeight w:val="179"/>
        </w:trPr>
        <w:tc>
          <w:tcPr>
            <w:tcW w:w="2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Provision for bad debts.</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2,062</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5,063</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4,437</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1,352</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1,137</w:t>
            </w:r>
          </w:p>
        </w:tc>
      </w:tr>
      <w:tr>
        <w:trPr>
          <w:trHeight w:val="179"/>
        </w:trPr>
        <w:tc>
          <w:tcPr>
            <w:tcW w:w="2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Other...................</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6,329</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5,560</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5,378</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4,622</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3,554</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16,508</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17,181</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15,854</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11,883</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10,085</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jc w:val="right"/>
              <w:ind w:right="1162"/>
              <w:spacing w:after="0" w:line="179" w:lineRule="exact"/>
              <w:rPr>
                <w:sz w:val="20"/>
                <w:szCs w:val="20"/>
                <w:color w:val="auto"/>
              </w:rPr>
            </w:pPr>
            <w:r>
              <w:rPr>
                <w:rFonts w:ascii="Courier New" w:cs="Courier New" w:eastAsia="Courier New" w:hAnsi="Courier New"/>
                <w:sz w:val="16"/>
                <w:szCs w:val="16"/>
                <w:color w:val="auto"/>
              </w:rPr>
              <w:t>Income from</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operations...</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11,249</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9,770</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8,066</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8,249</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9,789</w:t>
            </w: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1,774</w:t>
            </w: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(1,333)</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180</w:t>
            </w:r>
          </w:p>
        </w:tc>
        <w:tc>
          <w:tcPr>
            <w:tcW w:w="9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Income from continuing</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operations before</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income taxes.....</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13,023</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8,437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8,246</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8,608</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9,775</w:t>
            </w:r>
          </w:p>
        </w:tc>
      </w:tr>
      <w:tr>
        <w:trPr>
          <w:trHeight w:val="358"/>
        </w:trPr>
        <w:tc>
          <w:tcPr>
            <w:tcW w:w="26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Provision for income taxes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4,935</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3,242</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2,984</w:t>
            </w:r>
          </w:p>
        </w:tc>
        <w:tc>
          <w:tcPr>
            <w:tcW w:w="9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2,898</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3,705</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income from</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continuing operations</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8,088</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5,195</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5,262</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5,710</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6,070</w:t>
            </w:r>
          </w:p>
        </w:tc>
      </w:tr>
      <w:tr>
        <w:trPr>
          <w:trHeight w:val="179"/>
        </w:trPr>
        <w:tc>
          <w:tcPr>
            <w:tcW w:w="264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(Continued)</w:t>
      </w:r>
    </w:p>
    <w:p>
      <w:pPr>
        <w:spacing w:after="0" w:line="177"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06" w:right="1440" w:bottom="1440" w:gutter="0" w:footer="0" w:header="0"/>
        </w:sectPr>
      </w:pPr>
    </w:p>
    <w:bookmarkStart w:id="15" w:name="page16"/>
    <w:bookmarkEnd w:id="15"/>
    <w:p>
      <w:pPr>
        <w:jc w:val="center"/>
        <w:ind w:right="2699"/>
        <w:spacing w:after="0"/>
        <w:rPr>
          <w:sz w:val="20"/>
          <w:szCs w:val="20"/>
          <w:color w:val="auto"/>
        </w:rPr>
      </w:pPr>
      <w:r>
        <w:rPr>
          <w:rFonts w:ascii="Courier New" w:cs="Courier New" w:eastAsia="Courier New" w:hAnsi="Courier New"/>
          <w:sz w:val="16"/>
          <w:szCs w:val="16"/>
          <w:color w:val="auto"/>
        </w:rPr>
        <w:t>SELECTED FINANCIAL DATA</w:t>
      </w:r>
    </w:p>
    <w:p>
      <w:pPr>
        <w:jc w:val="center"/>
        <w:ind w:right="2699"/>
        <w:spacing w:after="0" w:line="236" w:lineRule="auto"/>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FOR THE YEAR ENDED MARCH 31,</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520" w:val="left"/>
          <w:tab w:leader="none" w:pos="4540" w:val="left"/>
          <w:tab w:leader="none" w:pos="5560" w:val="left"/>
          <w:tab w:leader="none" w:pos="6480" w:val="left"/>
        </w:tabs>
        <w:rPr>
          <w:sz w:val="20"/>
          <w:szCs w:val="20"/>
          <w:color w:val="auto"/>
        </w:rPr>
      </w:pPr>
      <w:r>
        <w:rPr>
          <w:rFonts w:ascii="Courier New" w:cs="Courier New" w:eastAsia="Courier New" w:hAnsi="Courier New"/>
          <w:sz w:val="16"/>
          <w:szCs w:val="16"/>
          <w:color w:val="auto"/>
        </w:rPr>
        <w:t>1995(4)</w:t>
      </w:r>
      <w:r>
        <w:rPr>
          <w:sz w:val="20"/>
          <w:szCs w:val="20"/>
          <w:color w:val="auto"/>
        </w:rPr>
        <w:tab/>
      </w: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6"/>
          <w:szCs w:val="16"/>
          <w:color w:val="auto"/>
        </w:rPr>
        <w:t>1992(1)</w:t>
      </w:r>
      <w:r>
        <w:rPr>
          <w:sz w:val="20"/>
          <w:szCs w:val="20"/>
          <w:color w:val="auto"/>
        </w:rPr>
        <w:tab/>
      </w:r>
      <w:r>
        <w:rPr>
          <w:rFonts w:ascii="Courier New" w:cs="Courier New" w:eastAsia="Courier New" w:hAnsi="Courier New"/>
          <w:sz w:val="14"/>
          <w:szCs w:val="14"/>
          <w:color w:val="auto"/>
        </w:rPr>
        <w:t>1991(1)</w:t>
      </w:r>
    </w:p>
    <w:p>
      <w:pPr>
        <w:ind w:left="2500"/>
        <w:spacing w:after="0"/>
        <w:tabs>
          <w:tab w:leader="none" w:pos="3320" w:val="left"/>
          <w:tab w:leader="none" w:pos="4340" w:val="left"/>
          <w:tab w:leader="none" w:pos="5380" w:val="left"/>
          <w:tab w:leader="none" w:pos="640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ind w:left="2700"/>
        <w:spacing w:after="0" w:line="237" w:lineRule="auto"/>
        <w:rPr>
          <w:sz w:val="20"/>
          <w:szCs w:val="20"/>
          <w:color w:val="auto"/>
        </w:rPr>
      </w:pPr>
      <w:r>
        <w:rPr>
          <w:rFonts w:ascii="Courier New" w:cs="Courier New" w:eastAsia="Courier New" w:hAnsi="Courier New"/>
          <w:sz w:val="16"/>
          <w:szCs w:val="16"/>
          <w:color w:val="auto"/>
        </w:rPr>
        <w:t>(In thousands, except earnings per share data)</w:t>
      </w:r>
    </w:p>
    <w:p>
      <w:pPr>
        <w:sectPr>
          <w:pgSz w:w="11900" w:h="16838" w:orient="portrait"/>
          <w:cols w:equalWidth="0" w:num="1">
            <w:col w:w="10219"/>
          </w:cols>
          <w:pgMar w:left="240" w:top="648"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ind w:left="180"/>
        <w:spacing w:after="0" w:line="236" w:lineRule="auto"/>
        <w:rPr>
          <w:sz w:val="20"/>
          <w:szCs w:val="20"/>
          <w:color w:val="auto"/>
        </w:rPr>
      </w:pPr>
      <w:r>
        <w:rPr>
          <w:rFonts w:ascii="Courier New" w:cs="Courier New" w:eastAsia="Courier New" w:hAnsi="Courier New"/>
          <w:sz w:val="16"/>
          <w:szCs w:val="16"/>
          <w:color w:val="auto"/>
        </w:rPr>
        <w:t>(Loss) income from operations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discontinued environmental</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services segment (net of</w:t>
      </w:r>
    </w:p>
    <w:p>
      <w:pPr>
        <w:ind w:left="360"/>
        <w:spacing w:after="0" w:line="236" w:lineRule="auto"/>
        <w:tabs>
          <w:tab w:leader="none" w:pos="2760" w:val="left"/>
        </w:tabs>
        <w:rPr>
          <w:sz w:val="20"/>
          <w:szCs w:val="20"/>
          <w:color w:val="auto"/>
        </w:rPr>
      </w:pPr>
      <w:r>
        <w:rPr>
          <w:rFonts w:ascii="Courier New" w:cs="Courier New" w:eastAsia="Courier New" w:hAnsi="Courier New"/>
          <w:sz w:val="16"/>
          <w:szCs w:val="16"/>
          <w:color w:val="auto"/>
        </w:rPr>
        <w:t>applicable income taxes)</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4"/>
          <w:szCs w:val="14"/>
          <w:color w:val="auto"/>
        </w:rPr>
        <w:t>170</w:t>
      </w:r>
      <w:r>
        <w:rPr>
          <w:sz w:val="20"/>
          <w:szCs w:val="20"/>
          <w:color w:val="auto"/>
        </w:rPr>
        <w:tab/>
      </w:r>
      <w:r>
        <w:rPr>
          <w:rFonts w:ascii="Courier New" w:cs="Courier New" w:eastAsia="Courier New" w:hAnsi="Courier New"/>
          <w:sz w:val="14"/>
          <w:szCs w:val="14"/>
          <w:color w:val="auto"/>
        </w:rPr>
        <w:t>(1,264)</w:t>
      </w:r>
    </w:p>
    <w:p>
      <w:pPr>
        <w:spacing w:after="0" w:line="192" w:lineRule="exact"/>
        <w:rPr>
          <w:sz w:val="20"/>
          <w:szCs w:val="20"/>
          <w:color w:val="auto"/>
        </w:rPr>
      </w:pPr>
    </w:p>
    <w:p>
      <w:pPr>
        <w:sectPr>
          <w:pgSz w:w="11900" w:h="16838" w:orient="portrait"/>
          <w:cols w:equalWidth="0" w:num="4">
            <w:col w:w="3060" w:space="660"/>
            <w:col w:w="120" w:space="720"/>
            <w:col w:w="640" w:space="660"/>
            <w:col w:w="4359"/>
          </w:cols>
          <w:pgMar w:left="240" w:top="648"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Loss on disposal of</w:t>
      </w:r>
    </w:p>
    <w:p>
      <w:pPr>
        <w:ind w:left="360"/>
        <w:spacing w:after="0" w:line="236" w:lineRule="auto"/>
        <w:rPr>
          <w:sz w:val="20"/>
          <w:szCs w:val="20"/>
          <w:color w:val="auto"/>
        </w:rPr>
      </w:pPr>
      <w:r>
        <w:rPr>
          <w:rFonts w:ascii="Courier New" w:cs="Courier New" w:eastAsia="Courier New" w:hAnsi="Courier New"/>
          <w:sz w:val="16"/>
          <w:szCs w:val="16"/>
          <w:color w:val="auto"/>
        </w:rPr>
        <w:t>environmental services</w:t>
      </w:r>
    </w:p>
    <w:p>
      <w:pPr>
        <w:ind w:left="360"/>
        <w:spacing w:after="0" w:line="237" w:lineRule="auto"/>
        <w:rPr>
          <w:sz w:val="20"/>
          <w:szCs w:val="20"/>
          <w:color w:val="auto"/>
        </w:rPr>
      </w:pPr>
      <w:r>
        <w:rPr>
          <w:rFonts w:ascii="Courier New" w:cs="Courier New" w:eastAsia="Courier New" w:hAnsi="Courier New"/>
          <w:sz w:val="16"/>
          <w:szCs w:val="16"/>
          <w:color w:val="auto"/>
        </w:rPr>
        <w:t>segment including a</w:t>
      </w:r>
    </w:p>
    <w:p>
      <w:pPr>
        <w:ind w:left="360"/>
        <w:spacing w:after="0" w:line="237" w:lineRule="auto"/>
        <w:rPr>
          <w:sz w:val="20"/>
          <w:szCs w:val="20"/>
          <w:color w:val="auto"/>
        </w:rPr>
      </w:pPr>
      <w:r>
        <w:rPr>
          <w:rFonts w:ascii="Courier New" w:cs="Courier New" w:eastAsia="Courier New" w:hAnsi="Courier New"/>
          <w:sz w:val="16"/>
          <w:szCs w:val="16"/>
          <w:color w:val="auto"/>
        </w:rPr>
        <w:t>provision of $1,350,000</w:t>
      </w:r>
    </w:p>
    <w:p>
      <w:pPr>
        <w:ind w:left="360"/>
        <w:spacing w:after="0" w:line="237" w:lineRule="auto"/>
        <w:rPr>
          <w:sz w:val="20"/>
          <w:szCs w:val="20"/>
          <w:color w:val="auto"/>
        </w:rPr>
      </w:pPr>
      <w:r>
        <w:rPr>
          <w:rFonts w:ascii="Courier New" w:cs="Courier New" w:eastAsia="Courier New" w:hAnsi="Courier New"/>
          <w:sz w:val="16"/>
          <w:szCs w:val="16"/>
          <w:color w:val="auto"/>
        </w:rPr>
        <w:t>for operating losses</w:t>
      </w:r>
    </w:p>
    <w:p>
      <w:pPr>
        <w:ind w:left="360"/>
        <w:spacing w:after="0" w:line="237" w:lineRule="auto"/>
        <w:rPr>
          <w:sz w:val="20"/>
          <w:szCs w:val="20"/>
          <w:color w:val="auto"/>
        </w:rPr>
      </w:pPr>
      <w:r>
        <w:rPr>
          <w:rFonts w:ascii="Courier New" w:cs="Courier New" w:eastAsia="Courier New" w:hAnsi="Courier New"/>
          <w:sz w:val="16"/>
          <w:szCs w:val="16"/>
          <w:color w:val="auto"/>
        </w:rPr>
        <w:t>during the phase-out</w:t>
      </w:r>
    </w:p>
    <w:p>
      <w:pPr>
        <w:ind w:left="360"/>
        <w:spacing w:after="0" w:line="237" w:lineRule="auto"/>
        <w:rPr>
          <w:sz w:val="20"/>
          <w:szCs w:val="20"/>
          <w:color w:val="auto"/>
        </w:rPr>
      </w:pPr>
      <w:r>
        <w:rPr>
          <w:rFonts w:ascii="Courier New" w:cs="Courier New" w:eastAsia="Courier New" w:hAnsi="Courier New"/>
          <w:sz w:val="16"/>
          <w:szCs w:val="16"/>
          <w:color w:val="auto"/>
        </w:rPr>
        <w:t>period (net of applicable</w:t>
      </w:r>
    </w:p>
    <w:p>
      <w:pPr>
        <w:ind w:left="360"/>
        <w:spacing w:after="0" w:line="237" w:lineRule="auto"/>
        <w:tabs>
          <w:tab w:leader="none" w:pos="2760" w:val="left"/>
        </w:tabs>
        <w:rPr>
          <w:sz w:val="20"/>
          <w:szCs w:val="20"/>
          <w:color w:val="auto"/>
        </w:rPr>
      </w:pPr>
      <w:r>
        <w:rPr>
          <w:rFonts w:ascii="Courier New" w:cs="Courier New" w:eastAsia="Courier New" w:hAnsi="Courier New"/>
          <w:sz w:val="16"/>
          <w:szCs w:val="16"/>
          <w:color w:val="auto"/>
        </w:rPr>
        <w:t>income taxes).........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Net (loss) income from</w:t>
      </w:r>
    </w:p>
    <w:p>
      <w:pPr>
        <w:ind w:left="740"/>
        <w:spacing w:after="0" w:line="236" w:lineRule="auto"/>
        <w:rPr>
          <w:sz w:val="20"/>
          <w:szCs w:val="20"/>
          <w:color w:val="auto"/>
        </w:rPr>
      </w:pPr>
      <w:r>
        <w:rPr>
          <w:rFonts w:ascii="Courier New" w:cs="Courier New" w:eastAsia="Courier New" w:hAnsi="Courier New"/>
          <w:sz w:val="16"/>
          <w:szCs w:val="16"/>
          <w:color w:val="auto"/>
        </w:rPr>
        <w:t>discontinued</w:t>
      </w:r>
    </w:p>
    <w:p>
      <w:pPr>
        <w:ind w:left="740"/>
        <w:spacing w:after="0" w:line="237" w:lineRule="auto"/>
        <w:tabs>
          <w:tab w:leader="none" w:pos="2760"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Net income...... $ 8,088</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4"/>
          <w:szCs w:val="14"/>
          <w:color w:val="auto"/>
        </w:rPr>
        <w:t>$</w:t>
        <w:tab/>
        <w:t>5,195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(1,922)</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(3,715)</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tabs>
          <w:tab w:leader="none" w:pos="260" w:val="left"/>
        </w:tabs>
        <w:rPr>
          <w:sz w:val="20"/>
          <w:szCs w:val="20"/>
          <w:color w:val="auto"/>
        </w:rPr>
      </w:pPr>
      <w:r>
        <w:rPr>
          <w:rFonts w:ascii="Courier New" w:cs="Courier New" w:eastAsia="Courier New" w:hAnsi="Courier New"/>
          <w:sz w:val="16"/>
          <w:szCs w:val="16"/>
          <w:color w:val="auto"/>
        </w:rPr>
        <w:t>$</w:t>
        <w:tab/>
        <w:t>1,547</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8"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170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6"/>
          <w:szCs w:val="16"/>
          <w:color w:val="auto"/>
        </w:rPr>
        <w:t>$</w:t>
        <w:tab/>
        <w:t>5,880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(1,264)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tabs>
          <w:tab w:leader="none" w:pos="260" w:val="left"/>
        </w:tabs>
        <w:rPr>
          <w:sz w:val="20"/>
          <w:szCs w:val="20"/>
          <w:color w:val="auto"/>
        </w:rPr>
      </w:pPr>
      <w:r>
        <w:rPr>
          <w:rFonts w:ascii="Courier New" w:cs="Courier New" w:eastAsia="Courier New" w:hAnsi="Courier New"/>
          <w:sz w:val="16"/>
          <w:szCs w:val="16"/>
          <w:color w:val="auto"/>
        </w:rPr>
        <w:t>$</w:t>
        <w:tab/>
        <w:t>4,806</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5">
            <w:col w:w="3160" w:space="180"/>
            <w:col w:w="740" w:space="280"/>
            <w:col w:w="840" w:space="200"/>
            <w:col w:w="740" w:space="180"/>
            <w:col w:w="3899"/>
          </w:cols>
          <w:pgMar w:left="240" w:top="6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Earnings (losses) per common</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and common equivalent</w:t>
      </w:r>
    </w:p>
    <w:p>
      <w:pPr>
        <w:ind w:left="180"/>
        <w:spacing w:after="0" w:line="236" w:lineRule="auto"/>
        <w:rPr>
          <w:sz w:val="20"/>
          <w:szCs w:val="20"/>
          <w:color w:val="auto"/>
        </w:rPr>
      </w:pPr>
      <w:r>
        <w:rPr>
          <w:rFonts w:ascii="Courier New" w:cs="Courier New" w:eastAsia="Courier New" w:hAnsi="Courier New"/>
          <w:sz w:val="16"/>
          <w:szCs w:val="16"/>
          <w:color w:val="auto"/>
        </w:rPr>
        <w:t>share: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from continuing</w:t>
      </w:r>
    </w:p>
    <w:p>
      <w:pPr>
        <w:sectPr>
          <w:pgSz w:w="11900" w:h="16838" w:orient="portrait"/>
          <w:cols w:equalWidth="0" w:num="1">
            <w:col w:w="10219"/>
          </w:cols>
          <w:pgMar w:left="240" w:top="648" w:right="1440" w:bottom="1440" w:gutter="0" w:footer="0" w:header="0"/>
          <w:type w:val="continuous"/>
        </w:sectPr>
      </w:pP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operations............. $</w:t>
      </w:r>
    </w:p>
    <w:p>
      <w:pPr>
        <w:spacing w:after="0" w:line="20" w:lineRule="exact"/>
        <w:rPr>
          <w:sz w:val="20"/>
          <w:szCs w:val="20"/>
          <w:color w:val="auto"/>
        </w:rPr>
      </w:pPr>
      <w:r>
        <w:rPr>
          <w:sz w:val="20"/>
          <w:szCs w:val="20"/>
          <w:color w:val="auto"/>
        </w:rPr>
        <w:br w:type="column"/>
      </w:r>
    </w:p>
    <w:p>
      <w:pPr>
        <w:spacing w:after="0" w:line="236" w:lineRule="auto"/>
        <w:tabs>
          <w:tab w:leader="none" w:pos="540" w:val="left"/>
        </w:tabs>
        <w:rPr>
          <w:sz w:val="20"/>
          <w:szCs w:val="20"/>
          <w:color w:val="auto"/>
        </w:rPr>
      </w:pPr>
      <w:r>
        <w:rPr>
          <w:rFonts w:ascii="Courier New" w:cs="Courier New" w:eastAsia="Courier New" w:hAnsi="Courier New"/>
          <w:sz w:val="16"/>
          <w:szCs w:val="16"/>
          <w:color w:val="auto"/>
        </w:rPr>
        <w:t>1.65</w:t>
        <w:tab/>
        <w:t>$</w:t>
      </w:r>
    </w:p>
    <w:p>
      <w:pPr>
        <w:spacing w:after="0" w:line="20" w:lineRule="exact"/>
        <w:rPr>
          <w:sz w:val="20"/>
          <w:szCs w:val="20"/>
          <w:color w:val="auto"/>
        </w:rPr>
      </w:pPr>
      <w:r>
        <w:rPr>
          <w:sz w:val="20"/>
          <w:szCs w:val="20"/>
          <w:color w:val="auto"/>
        </w:rPr>
        <w:br w:type="column"/>
      </w:r>
    </w:p>
    <w:p>
      <w:pPr>
        <w:jc w:val="center"/>
        <w:spacing w:after="0" w:line="236" w:lineRule="auto"/>
        <w:tabs>
          <w:tab w:leader="none" w:pos="260" w:val="left"/>
        </w:tabs>
        <w:rPr>
          <w:sz w:val="20"/>
          <w:szCs w:val="20"/>
          <w:color w:val="auto"/>
        </w:rPr>
      </w:pPr>
      <w:r>
        <w:rPr>
          <w:rFonts w:ascii="Courier New" w:cs="Courier New" w:eastAsia="Courier New" w:hAnsi="Courier New"/>
          <w:sz w:val="16"/>
          <w:szCs w:val="16"/>
          <w:color w:val="auto"/>
        </w:rPr>
        <w:t>1.10</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1.11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640" w:val="left"/>
          <w:tab w:leader="none" w:pos="920" w:val="left"/>
        </w:tabs>
        <w:rPr>
          <w:sz w:val="20"/>
          <w:szCs w:val="20"/>
          <w:color w:val="auto"/>
        </w:rPr>
      </w:pPr>
      <w:r>
        <w:rPr>
          <w:rFonts w:ascii="Courier New" w:cs="Courier New" w:eastAsia="Courier New" w:hAnsi="Courier New"/>
          <w:sz w:val="16"/>
          <w:szCs w:val="16"/>
          <w:color w:val="auto"/>
        </w:rPr>
        <w:t>1.20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1.29</w:t>
      </w:r>
    </w:p>
    <w:p>
      <w:pPr>
        <w:spacing w:after="0" w:line="177" w:lineRule="exact"/>
        <w:rPr>
          <w:sz w:val="20"/>
          <w:szCs w:val="20"/>
          <w:color w:val="auto"/>
        </w:rPr>
      </w:pPr>
    </w:p>
    <w:p>
      <w:pPr>
        <w:sectPr>
          <w:pgSz w:w="11900" w:h="16838" w:orient="portrait"/>
          <w:cols w:equalWidth="0" w:num="6">
            <w:col w:w="2600" w:space="180"/>
            <w:col w:w="660" w:space="280"/>
            <w:col w:w="740" w:space="280"/>
            <w:col w:w="380" w:space="280"/>
            <w:col w:w="80" w:space="280"/>
            <w:col w:w="4459"/>
          </w:cols>
          <w:pgMar w:left="240" w:top="648"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(Loss) income from</w:t>
      </w:r>
    </w:p>
    <w:p>
      <w:pPr>
        <w:ind w:left="360"/>
        <w:spacing w:after="0" w:line="236" w:lineRule="auto"/>
        <w:tabs>
          <w:tab w:leader="none" w:pos="2760" w:val="left"/>
        </w:tabs>
        <w:rPr>
          <w:sz w:val="20"/>
          <w:szCs w:val="20"/>
          <w:color w:val="auto"/>
        </w:rPr>
      </w:pPr>
      <w:r>
        <w:rPr>
          <w:rFonts w:ascii="Courier New" w:cs="Courier New" w:eastAsia="Courier New" w:hAnsi="Courier New"/>
          <w:sz w:val="16"/>
          <w:szCs w:val="16"/>
          <w:color w:val="auto"/>
        </w:rPr>
        <w:t>discontinued operations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60"/>
        <w:spacing w:after="0"/>
        <w:tabs>
          <w:tab w:leader="none" w:pos="2760" w:val="left"/>
        </w:tabs>
        <w:rPr>
          <w:sz w:val="20"/>
          <w:szCs w:val="20"/>
          <w:color w:val="auto"/>
        </w:rPr>
      </w:pPr>
      <w:r>
        <w:rPr>
          <w:rFonts w:ascii="Courier New" w:cs="Courier New" w:eastAsia="Courier New" w:hAnsi="Courier New"/>
          <w:sz w:val="16"/>
          <w:szCs w:val="16"/>
          <w:color w:val="auto"/>
        </w:rPr>
        <w:t>Net income.......... $</w:t>
      </w:r>
      <w:r>
        <w:rPr>
          <w:sz w:val="20"/>
          <w:szCs w:val="20"/>
          <w:color w:val="auto"/>
        </w:rPr>
        <w:tab/>
      </w:r>
      <w:r>
        <w:rPr>
          <w:rFonts w:ascii="Courier New" w:cs="Courier New" w:eastAsia="Courier New" w:hAnsi="Courier New"/>
          <w:sz w:val="14"/>
          <w:szCs w:val="14"/>
          <w:color w:val="auto"/>
        </w:rPr>
        <w:t>1.65</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80"/>
        <w:spacing w:after="0"/>
        <w:rPr>
          <w:sz w:val="20"/>
          <w:szCs w:val="20"/>
          <w:color w:val="auto"/>
        </w:rPr>
      </w:pPr>
      <w:r>
        <w:rPr>
          <w:rFonts w:ascii="Courier New" w:cs="Courier New" w:eastAsia="Courier New" w:hAnsi="Courier New"/>
          <w:sz w:val="14"/>
          <w:szCs w:val="14"/>
          <w:color w:val="auto"/>
        </w:rPr>
        <w:t>(.78)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tabs>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.33</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.03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80"/>
        <w:spacing w:after="0"/>
        <w:rPr>
          <w:sz w:val="20"/>
          <w:szCs w:val="20"/>
          <w:color w:val="auto"/>
        </w:rPr>
      </w:pPr>
      <w:r>
        <w:rPr>
          <w:rFonts w:ascii="Courier New" w:cs="Courier New" w:eastAsia="Courier New" w:hAnsi="Courier New"/>
          <w:sz w:val="14"/>
          <w:szCs w:val="14"/>
          <w:color w:val="auto"/>
        </w:rPr>
        <w:t>(.27)</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100"/>
        <w:spacing w:after="0" w:line="236" w:lineRule="auto"/>
        <w:tabs>
          <w:tab w:leader="none" w:pos="360" w:val="left"/>
        </w:tabs>
        <w:rPr>
          <w:sz w:val="20"/>
          <w:szCs w:val="20"/>
          <w:color w:val="auto"/>
        </w:rPr>
      </w:pPr>
      <w:r>
        <w:rPr>
          <w:rFonts w:ascii="Courier New" w:cs="Courier New" w:eastAsia="Courier New" w:hAnsi="Courier New"/>
          <w:sz w:val="16"/>
          <w:szCs w:val="16"/>
          <w:color w:val="auto"/>
        </w:rPr>
        <w:t>$</w:t>
        <w:tab/>
        <w:t>1.02</w:t>
      </w:r>
    </w:p>
    <w:p>
      <w:pPr>
        <w:ind w:left="10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5">
            <w:col w:w="3160" w:space="180"/>
            <w:col w:w="740" w:space="280"/>
            <w:col w:w="840" w:space="200"/>
            <w:col w:w="740" w:space="180"/>
            <w:col w:w="3899"/>
          </w:cols>
          <w:pgMar w:left="240" w:top="6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Weighted average shares</w:t>
      </w:r>
    </w:p>
    <w:p>
      <w:pPr>
        <w:sectPr>
          <w:pgSz w:w="11900" w:h="16838" w:orient="portrait"/>
          <w:cols w:equalWidth="0" w:num="1">
            <w:col w:w="10219"/>
          </w:cols>
          <w:pgMar w:left="240" w:top="648"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ind w:firstLine="186"/>
        <w:spacing w:after="0" w:line="295" w:lineRule="auto"/>
        <w:rPr>
          <w:sz w:val="20"/>
          <w:szCs w:val="20"/>
          <w:color w:val="auto"/>
        </w:rPr>
      </w:pPr>
      <w:r>
        <w:rPr>
          <w:rFonts w:ascii="Courier New" w:cs="Courier New" w:eastAsia="Courier New" w:hAnsi="Courier New"/>
          <w:sz w:val="14"/>
          <w:szCs w:val="14"/>
          <w:color w:val="auto"/>
        </w:rPr>
        <w:t>4,906 =======</w:t>
      </w:r>
    </w:p>
    <w:p>
      <w:pPr>
        <w:spacing w:after="0" w:line="20" w:lineRule="exact"/>
        <w:rPr>
          <w:sz w:val="20"/>
          <w:szCs w:val="20"/>
          <w:color w:val="auto"/>
        </w:rPr>
      </w:pPr>
      <w:r>
        <w:rPr>
          <w:sz w:val="20"/>
          <w:szCs w:val="20"/>
          <w:color w:val="auto"/>
        </w:rPr>
        <w:br w:type="column"/>
      </w:r>
    </w:p>
    <w:p>
      <w:pPr>
        <w:ind w:firstLine="279"/>
        <w:spacing w:after="0" w:line="295" w:lineRule="auto"/>
        <w:rPr>
          <w:sz w:val="20"/>
          <w:szCs w:val="20"/>
          <w:color w:val="auto"/>
        </w:rPr>
      </w:pPr>
      <w:r>
        <w:rPr>
          <w:rFonts w:ascii="Courier New" w:cs="Courier New" w:eastAsia="Courier New" w:hAnsi="Courier New"/>
          <w:sz w:val="14"/>
          <w:szCs w:val="14"/>
          <w:color w:val="auto"/>
        </w:rPr>
        <w:t>4,734 ========</w:t>
      </w:r>
    </w:p>
    <w:p>
      <w:pPr>
        <w:spacing w:after="0" w:line="20" w:lineRule="exact"/>
        <w:rPr>
          <w:sz w:val="20"/>
          <w:szCs w:val="20"/>
          <w:color w:val="auto"/>
        </w:rPr>
      </w:pPr>
      <w:r>
        <w:rPr>
          <w:sz w:val="20"/>
          <w:szCs w:val="20"/>
          <w:color w:val="auto"/>
        </w:rPr>
        <w:br w:type="column"/>
      </w:r>
    </w:p>
    <w:p>
      <w:pPr>
        <w:ind w:firstLine="279"/>
        <w:spacing w:after="0" w:line="295" w:lineRule="auto"/>
        <w:rPr>
          <w:sz w:val="20"/>
          <w:szCs w:val="20"/>
          <w:color w:val="auto"/>
        </w:rPr>
      </w:pPr>
      <w:r>
        <w:rPr>
          <w:rFonts w:ascii="Courier New" w:cs="Courier New" w:eastAsia="Courier New" w:hAnsi="Courier New"/>
          <w:sz w:val="14"/>
          <w:szCs w:val="14"/>
          <w:color w:val="auto"/>
        </w:rPr>
        <w:t>4,749 ========</w:t>
      </w:r>
    </w:p>
    <w:p>
      <w:pPr>
        <w:spacing w:after="0" w:line="20" w:lineRule="exact"/>
        <w:rPr>
          <w:sz w:val="20"/>
          <w:szCs w:val="20"/>
          <w:color w:val="auto"/>
        </w:rPr>
      </w:pPr>
      <w:r>
        <w:rPr>
          <w:sz w:val="20"/>
          <w:szCs w:val="20"/>
          <w:color w:val="auto"/>
        </w:rPr>
        <w:br w:type="column"/>
      </w:r>
    </w:p>
    <w:p>
      <w:pPr>
        <w:jc w:val="both"/>
        <w:ind w:firstLine="279"/>
        <w:spacing w:after="0" w:line="295" w:lineRule="auto"/>
        <w:rPr>
          <w:sz w:val="20"/>
          <w:szCs w:val="20"/>
          <w:color w:val="auto"/>
        </w:rPr>
      </w:pPr>
      <w:r>
        <w:rPr>
          <w:rFonts w:ascii="Courier New" w:cs="Courier New" w:eastAsia="Courier New" w:hAnsi="Courier New"/>
          <w:sz w:val="14"/>
          <w:szCs w:val="14"/>
          <w:color w:val="auto"/>
        </w:rPr>
        <w:t>4,763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4,713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52" w:lineRule="exact"/>
        <w:rPr>
          <w:sz w:val="20"/>
          <w:szCs w:val="20"/>
          <w:color w:val="auto"/>
        </w:rPr>
      </w:pPr>
    </w:p>
    <w:p>
      <w:pPr>
        <w:sectPr>
          <w:pgSz w:w="11900" w:h="16838" w:orient="portrait"/>
          <w:cols w:equalWidth="0" w:num="6">
            <w:col w:w="2420" w:space="80"/>
            <w:col w:w="660" w:space="180"/>
            <w:col w:w="740" w:space="280"/>
            <w:col w:w="760" w:space="280"/>
            <w:col w:w="740" w:space="280"/>
            <w:col w:w="3799"/>
          </w:cols>
          <w:pgMar w:left="240" w:top="648"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(Continued)</w:t>
      </w:r>
    </w:p>
    <w:p>
      <w:pPr>
        <w:spacing w:after="0" w:line="193"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8" w:right="1440" w:bottom="1440" w:gutter="0" w:footer="0" w:header="0"/>
          <w:type w:val="continuous"/>
        </w:sectPr>
      </w:pPr>
    </w:p>
    <w:bookmarkStart w:id="16" w:name="page17"/>
    <w:bookmarkEnd w:id="16"/>
    <w:p>
      <w:pPr>
        <w:ind w:left="2505"/>
        <w:spacing w:after="0"/>
        <w:rPr>
          <w:sz w:val="20"/>
          <w:szCs w:val="20"/>
          <w:color w:val="auto"/>
        </w:rPr>
      </w:pPr>
      <w:r>
        <w:rPr>
          <w:rFonts w:ascii="Courier New" w:cs="Courier New" w:eastAsia="Courier New" w:hAnsi="Courier New"/>
          <w:sz w:val="16"/>
          <w:szCs w:val="16"/>
          <w:color w:val="auto"/>
        </w:rPr>
        <w:t>SELECTED FINANCIAL DATA</w:t>
      </w:r>
    </w:p>
    <w:tbl>
      <w:tblPr>
        <w:tblLayout w:type="fixed"/>
        <w:tblInd w:w="5" w:type="dxa"/>
        <w:tblCellMar>
          <w:top w:w="0" w:type="dxa"/>
          <w:left w:w="0" w:type="dxa"/>
          <w:bottom w:w="0" w:type="dxa"/>
          <w:right w:w="0" w:type="dxa"/>
        </w:tblCellMar>
      </w:tblPr>
      <w:tr>
        <w:trPr>
          <w:trHeight w:val="179"/>
        </w:trPr>
        <w:tc>
          <w:tcPr>
            <w:tcW w:w="2640" w:type="dxa"/>
            <w:vAlign w:val="bottom"/>
          </w:tcPr>
          <w:p>
            <w:pPr>
              <w:spacing w:after="0"/>
              <w:rPr>
                <w:sz w:val="15"/>
                <w:szCs w:val="15"/>
                <w:color w:val="auto"/>
              </w:rPr>
            </w:pPr>
          </w:p>
        </w:tc>
        <w:tc>
          <w:tcPr>
            <w:tcW w:w="18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(Continued)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537"/>
        </w:trPr>
        <w:tc>
          <w:tcPr>
            <w:tcW w:w="2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3"/>
          </w:tcPr>
          <w:p>
            <w:pPr>
              <w:jc w:val="right"/>
              <w:ind w:right="422"/>
              <w:spacing w:after="0"/>
              <w:rPr>
                <w:sz w:val="20"/>
                <w:szCs w:val="20"/>
                <w:color w:val="auto"/>
              </w:rPr>
            </w:pPr>
            <w:r>
              <w:rPr>
                <w:rFonts w:ascii="Courier New" w:cs="Courier New" w:eastAsia="Courier New" w:hAnsi="Courier New"/>
                <w:sz w:val="16"/>
                <w:szCs w:val="16"/>
                <w:color w:val="auto"/>
              </w:rPr>
              <w:t>AS OF MARCH 31,</w:t>
            </w:r>
          </w:p>
        </w:tc>
        <w:tc>
          <w:tcPr>
            <w:tcW w:w="700" w:type="dxa"/>
            <w:vAlign w:val="bottom"/>
          </w:tcPr>
          <w:p>
            <w:pPr>
              <w:spacing w:after="0"/>
              <w:rPr>
                <w:sz w:val="24"/>
                <w:szCs w:val="24"/>
                <w:color w:val="auto"/>
              </w:rPr>
            </w:pPr>
          </w:p>
        </w:tc>
      </w:tr>
      <w:tr>
        <w:trPr>
          <w:trHeight w:val="179"/>
        </w:trPr>
        <w:tc>
          <w:tcPr>
            <w:tcW w:w="2640" w:type="dxa"/>
            <w:vAlign w:val="bottom"/>
          </w:tcPr>
          <w:p>
            <w:pPr>
              <w:spacing w:after="0"/>
              <w:rPr>
                <w:sz w:val="15"/>
                <w:szCs w:val="15"/>
                <w:color w:val="auto"/>
              </w:rPr>
            </w:pPr>
          </w:p>
        </w:tc>
        <w:tc>
          <w:tcPr>
            <w:tcW w:w="4140" w:type="dxa"/>
            <w:vAlign w:val="bottom"/>
            <w:gridSpan w:val="5"/>
          </w:tcPr>
          <w:p>
            <w:pPr>
              <w:ind w:left="2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spacing w:after="0"/>
              <w:rPr>
                <w:sz w:val="15"/>
                <w:szCs w:val="15"/>
                <w:color w:val="auto"/>
              </w:rPr>
            </w:pPr>
          </w:p>
        </w:tc>
        <w:tc>
          <w:tcPr>
            <w:tcW w:w="10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1995(4)</w:t>
            </w: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1994</w:t>
            </w: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1993</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1992(1) 1991(1)</w:t>
            </w:r>
          </w:p>
        </w:tc>
      </w:tr>
      <w:tr>
        <w:trPr>
          <w:trHeight w:val="179"/>
        </w:trPr>
        <w:tc>
          <w:tcPr>
            <w:tcW w:w="2640" w:type="dxa"/>
            <w:vAlign w:val="bottom"/>
          </w:tcPr>
          <w:p>
            <w:pPr>
              <w:spacing w:after="0"/>
              <w:rPr>
                <w:sz w:val="15"/>
                <w:szCs w:val="15"/>
                <w:color w:val="auto"/>
              </w:rPr>
            </w:pPr>
          </w:p>
        </w:tc>
        <w:tc>
          <w:tcPr>
            <w:tcW w:w="2560" w:type="dxa"/>
            <w:vAlign w:val="bottom"/>
            <w:gridSpan w:val="3"/>
          </w:tcPr>
          <w:p>
            <w:pPr>
              <w:ind w:left="240"/>
              <w:spacing w:after="0" w:line="179" w:lineRule="exact"/>
              <w:rPr>
                <w:sz w:val="20"/>
                <w:szCs w:val="20"/>
                <w:color w:val="auto"/>
              </w:rPr>
            </w:pPr>
            <w:r>
              <w:rPr>
                <w:rFonts w:ascii="Courier New" w:cs="Courier New" w:eastAsia="Courier New" w:hAnsi="Courier New"/>
                <w:sz w:val="16"/>
                <w:szCs w:val="16"/>
                <w:color w:val="auto"/>
              </w:rPr>
              <w:t>======= ======= =======</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 =======</w:t>
            </w:r>
          </w:p>
        </w:tc>
      </w:tr>
      <w:tr>
        <w:trPr>
          <w:trHeight w:val="179"/>
        </w:trPr>
        <w:tc>
          <w:tcPr>
            <w:tcW w:w="2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60" w:type="dxa"/>
            <w:vAlign w:val="bottom"/>
            <w:gridSpan w:val="3"/>
          </w:tcPr>
          <w:p>
            <w:pPr>
              <w:jc w:val="right"/>
              <w:ind w:right="702"/>
              <w:spacing w:after="0" w:line="179" w:lineRule="exact"/>
              <w:rPr>
                <w:sz w:val="20"/>
                <w:szCs w:val="20"/>
                <w:color w:val="auto"/>
              </w:rPr>
            </w:pPr>
            <w:r>
              <w:rPr>
                <w:rFonts w:ascii="Courier New" w:cs="Courier New" w:eastAsia="Courier New" w:hAnsi="Courier New"/>
                <w:sz w:val="16"/>
                <w:szCs w:val="16"/>
                <w:color w:val="auto"/>
              </w:rPr>
              <w:t>(In thousands)</w:t>
            </w:r>
          </w:p>
        </w:tc>
        <w:tc>
          <w:tcPr>
            <w:tcW w:w="700" w:type="dxa"/>
            <w:vAlign w:val="bottom"/>
          </w:tcPr>
          <w:p>
            <w:pPr>
              <w:spacing w:after="0"/>
              <w:rPr>
                <w:sz w:val="15"/>
                <w:szCs w:val="15"/>
                <w:color w:val="auto"/>
              </w:rPr>
            </w:pPr>
          </w:p>
        </w:tc>
      </w:tr>
      <w:tr>
        <w:trPr>
          <w:trHeight w:val="358"/>
        </w:trPr>
        <w:tc>
          <w:tcPr>
            <w:tcW w:w="37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Consolidated Balance Sheet Data</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8"/>
        </w:trPr>
        <w:tc>
          <w:tcPr>
            <w:tcW w:w="2640" w:type="dxa"/>
            <w:vAlign w:val="bottom"/>
          </w:tcPr>
          <w:p>
            <w:pPr>
              <w:ind w:left="80"/>
              <w:spacing w:after="0"/>
              <w:rPr>
                <w:sz w:val="20"/>
                <w:szCs w:val="20"/>
                <w:color w:val="auto"/>
              </w:rPr>
            </w:pPr>
            <w:r>
              <w:rPr>
                <w:rFonts w:ascii="Courier New" w:cs="Courier New" w:eastAsia="Courier New" w:hAnsi="Courier New"/>
                <w:sz w:val="16"/>
                <w:szCs w:val="16"/>
                <w:color w:val="auto"/>
              </w:rPr>
              <w:t>Current assets...........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$58,006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$33,682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$39,263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$34,995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$33,275</w:t>
            </w:r>
          </w:p>
        </w:tc>
      </w:tr>
      <w:tr>
        <w:trPr>
          <w:trHeight w:val="179"/>
        </w:trPr>
        <w:tc>
          <w:tcPr>
            <w:tcW w:w="2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Total assets.............</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89,536</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53,687</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54,717</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53,210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48,415</w:t>
            </w:r>
          </w:p>
        </w:tc>
      </w:tr>
      <w:tr>
        <w:trPr>
          <w:trHeight w:val="179"/>
        </w:trPr>
        <w:tc>
          <w:tcPr>
            <w:tcW w:w="2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Current liabilities (2)..</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30,486</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13,141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15,587</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17,954</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14,213</w:t>
            </w:r>
          </w:p>
        </w:tc>
      </w:tr>
      <w:tr>
        <w:trPr>
          <w:trHeight w:val="179"/>
        </w:trPr>
        <w:tc>
          <w:tcPr>
            <w:tcW w:w="2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Long-term liabilities (2)</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6,984</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575</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2,168</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7,975</w:t>
            </w:r>
          </w:p>
        </w:tc>
      </w:tr>
      <w:tr>
        <w:trPr>
          <w:trHeight w:val="179"/>
        </w:trPr>
        <w:tc>
          <w:tcPr>
            <w:tcW w:w="2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Stockholders' equity (3).</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52,066</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39,971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34,370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32,689</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26,098</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________________________</w:t>
            </w: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183" w:lineRule="exact"/>
        <w:rPr>
          <w:sz w:val="20"/>
          <w:szCs w:val="20"/>
          <w:color w:val="auto"/>
        </w:rPr>
      </w:pPr>
    </w:p>
    <w:p>
      <w:pPr>
        <w:ind w:left="845" w:right="2779" w:hanging="845"/>
        <w:spacing w:after="0" w:line="23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of the Company as of, and for the years ended March 31, 1992 and 1991, have been restated to report separately the net assets and operating results of the discontinued Environmental Services segment.</w:t>
      </w:r>
    </w:p>
    <w:p>
      <w:pPr>
        <w:spacing w:after="0" w:line="184" w:lineRule="exact"/>
        <w:rPr>
          <w:rFonts w:ascii="Courier New" w:cs="Courier New" w:eastAsia="Courier New" w:hAnsi="Courier New"/>
          <w:sz w:val="16"/>
          <w:szCs w:val="16"/>
          <w:color w:val="auto"/>
        </w:rPr>
      </w:pPr>
    </w:p>
    <w:p>
      <w:pPr>
        <w:ind w:left="845" w:right="2779" w:hanging="845"/>
        <w:spacing w:after="0" w:line="276" w:lineRule="auto"/>
        <w:tabs>
          <w:tab w:leader="none" w:pos="84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fiscal year 1996, the Company issued 78,550 shares of the Company's common stock in payment of it's portion of the class action settlement made in February 1994. Accordingly, the Company reclassified $1,300,000 from current liabilities to accrued litigation settlement expense, a long-term liability, as of March 31, 1995.</w:t>
      </w:r>
    </w:p>
    <w:p>
      <w:pPr>
        <w:spacing w:after="0" w:line="161" w:lineRule="exact"/>
        <w:rPr>
          <w:rFonts w:ascii="Courier New" w:cs="Courier New" w:eastAsia="Courier New" w:hAnsi="Courier New"/>
          <w:sz w:val="14"/>
          <w:szCs w:val="14"/>
          <w:color w:val="auto"/>
        </w:rPr>
      </w:pPr>
    </w:p>
    <w:p>
      <w:pPr>
        <w:ind w:left="845" w:right="2779" w:hanging="845"/>
        <w:spacing w:after="0" w:line="276" w:lineRule="auto"/>
        <w:tabs>
          <w:tab w:leader="none" w:pos="84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cash dividends of 5 cents per share were declared and paid in fiscal year 1995. Cash dividends of 5 cents and 10 cents per share were declared on January 19, 1995 and February 22, 1995 respectively, and both dividends had a payment date of April 13, 1995. No cash dividends were declared or paid prior to fiscal year 1995.</w:t>
      </w:r>
    </w:p>
    <w:p>
      <w:pPr>
        <w:spacing w:after="0" w:line="161" w:lineRule="exact"/>
        <w:rPr>
          <w:rFonts w:ascii="Courier New" w:cs="Courier New" w:eastAsia="Courier New" w:hAnsi="Courier New"/>
          <w:sz w:val="14"/>
          <w:szCs w:val="14"/>
          <w:color w:val="auto"/>
        </w:rPr>
      </w:pPr>
    </w:p>
    <w:p>
      <w:pPr>
        <w:ind w:left="845" w:right="2779" w:hanging="845"/>
        <w:spacing w:after="0" w:line="236"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1995, the Company acquired substantially all of the assets and assumed certain liabilities of Trans-Tec Services, Inc. and Trans-Tec Servicios, S.A. The Company also purchased the stock of Trans-Tec Services (UK) Ltd., which owns Trans-Tec Services (Singapore) Pte., Ltd. The acquisition was accounted for under the purchase method. Accordingly, the selected financial information for the year ended March 31, 1995, includes the results of the Trans-Tec group since January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4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827" w:right="1440" w:bottom="1440" w:gutter="0" w:footer="0" w:header="0"/>
        </w:sectPr>
      </w:pPr>
    </w:p>
    <w:bookmarkStart w:id="17" w:name="page18"/>
    <w:bookmarkEnd w:id="17"/>
    <w:p>
      <w:pPr>
        <w:spacing w:after="0"/>
        <w:tabs>
          <w:tab w:leader="none" w:pos="8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4"/>
          <w:szCs w:val="14"/>
          <w:color w:val="auto"/>
        </w:rPr>
        <w:t>MANAGEMENT'S DISCUSSION AND ANALYSIS OF</w:t>
      </w:r>
    </w:p>
    <w:p>
      <w:pPr>
        <w:ind w:left="840"/>
        <w:spacing w:after="0" w:line="236" w:lineRule="auto"/>
        <w:rPr>
          <w:sz w:val="20"/>
          <w:szCs w:val="20"/>
          <w:color w:val="auto"/>
        </w:rPr>
      </w:pPr>
      <w:r>
        <w:rPr>
          <w:rFonts w:ascii="Courier New" w:cs="Courier New" w:eastAsia="Courier New" w:hAnsi="Courier New"/>
          <w:sz w:val="16"/>
          <w:szCs w:val="16"/>
          <w:color w:val="auto"/>
        </w:rPr>
        <w:t>FINANCIAL CONDITION AND RESULTS OF OPERATIONS</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 following discussion should be read in conjunction with "Item 6 - Selected Financial Data," and with the consolidated financial statements and related notes thereto appearing elsewhere in this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In January 1995, the Company entered the marine fuel business through the acquisition of the Trans-Tec group of companies. The Company acquired substantially all of the assets and assumed certain liabilities of Trans-Tec Services, Inc., a New York corporation, and Trans-Tec Servicios, S.A., a Costa Rica corporation, and acquired all of the outstanding stock of Trans-Tec Services (UK), Ltd., a United Kingdom corporation ("UK"). The UK company owns Trans-Tec Services (Singapore) PTE., Ltd. Accordingly, the consolidated statement of income for the fiscal year ended March 31, 1995, includes the results of operations of the Trans-Tec group of companies from the acquisition date.</w:t>
      </w:r>
    </w:p>
    <w:p>
      <w:pPr>
        <w:spacing w:after="0" w:line="186"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aggregate purchase price was approximately $14,832,000, including</w:t>
      </w:r>
    </w:p>
    <w:p>
      <w:pPr>
        <w:spacing w:after="0" w:line="14"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6"/>
          <w:szCs w:val="16"/>
          <w:color w:val="auto"/>
        </w:rPr>
        <w:t>$321,000 in acquisition costs.</w:t>
      </w:r>
      <w:r>
        <w:rPr>
          <w:sz w:val="20"/>
          <w:szCs w:val="20"/>
          <w:color w:val="auto"/>
        </w:rPr>
        <w:tab/>
      </w:r>
      <w:r>
        <w:rPr>
          <w:rFonts w:ascii="Courier New" w:cs="Courier New" w:eastAsia="Courier New" w:hAnsi="Courier New"/>
          <w:sz w:val="14"/>
          <w:szCs w:val="14"/>
          <w:color w:val="auto"/>
        </w:rPr>
        <w:t>At closing, the Company paid approximately</w:t>
      </w:r>
    </w:p>
    <w:p>
      <w:pPr>
        <w:spacing w:after="0" w:line="236" w:lineRule="auto"/>
        <w:rPr>
          <w:sz w:val="20"/>
          <w:szCs w:val="20"/>
          <w:color w:val="auto"/>
        </w:rPr>
      </w:pPr>
      <w:r>
        <w:rPr>
          <w:rFonts w:ascii="Courier New" w:cs="Courier New" w:eastAsia="Courier New" w:hAnsi="Courier New"/>
          <w:sz w:val="16"/>
          <w:szCs w:val="16"/>
          <w:color w:val="auto"/>
        </w:rPr>
        <w:t>$3,927,000 in cash, $6,000,000 in the form of 9.0% promissory notes and</w:t>
      </w:r>
    </w:p>
    <w:p>
      <w:pPr>
        <w:spacing w:after="0" w:line="237" w:lineRule="auto"/>
        <w:rPr>
          <w:sz w:val="20"/>
          <w:szCs w:val="20"/>
          <w:color w:val="auto"/>
        </w:rPr>
      </w:pPr>
      <w:r>
        <w:rPr>
          <w:rFonts w:ascii="Courier New" w:cs="Courier New" w:eastAsia="Courier New" w:hAnsi="Courier New"/>
          <w:sz w:val="16"/>
          <w:szCs w:val="16"/>
          <w:color w:val="auto"/>
        </w:rPr>
        <w:t>$4,584,000 in the form of 387,000 shares of newly issued common stock, which</w:t>
      </w:r>
    </w:p>
    <w:p>
      <w:pPr>
        <w:spacing w:after="0"/>
        <w:tabs>
          <w:tab w:leader="none" w:pos="3140" w:val="left"/>
        </w:tabs>
        <w:rPr>
          <w:sz w:val="20"/>
          <w:szCs w:val="20"/>
          <w:color w:val="auto"/>
        </w:rPr>
      </w:pPr>
      <w:r>
        <w:rPr>
          <w:rFonts w:ascii="Courier New" w:cs="Courier New" w:eastAsia="Courier New" w:hAnsi="Courier New"/>
          <w:sz w:val="16"/>
          <w:szCs w:val="16"/>
          <w:color w:val="auto"/>
        </w:rPr>
        <w:t>were valued at $11.84 per share.</w:t>
      </w:r>
      <w:r>
        <w:rPr>
          <w:sz w:val="20"/>
          <w:szCs w:val="20"/>
          <w:color w:val="auto"/>
        </w:rPr>
        <w:tab/>
      </w:r>
      <w:r>
        <w:rPr>
          <w:rFonts w:ascii="Courier New" w:cs="Courier New" w:eastAsia="Courier New" w:hAnsi="Courier New"/>
          <w:sz w:val="14"/>
          <w:szCs w:val="14"/>
          <w:color w:val="auto"/>
        </w:rPr>
        <w:t>The purchase price was determined as a</w:t>
      </w:r>
    </w:p>
    <w:p>
      <w:pPr>
        <w:spacing w:after="0" w:line="237" w:lineRule="auto"/>
        <w:rPr>
          <w:sz w:val="20"/>
          <w:szCs w:val="20"/>
          <w:color w:val="auto"/>
        </w:rPr>
      </w:pPr>
      <w:r>
        <w:rPr>
          <w:rFonts w:ascii="Courier New" w:cs="Courier New" w:eastAsia="Courier New" w:hAnsi="Courier New"/>
          <w:sz w:val="16"/>
          <w:szCs w:val="16"/>
          <w:color w:val="auto"/>
        </w:rPr>
        <w:t>result of the Company's arms-length negotiations with Trans-Tec, and its</w:t>
      </w:r>
    </w:p>
    <w:p>
      <w:pPr>
        <w:spacing w:after="0" w:line="237" w:lineRule="auto"/>
        <w:rPr>
          <w:sz w:val="20"/>
          <w:szCs w:val="20"/>
          <w:color w:val="auto"/>
        </w:rPr>
      </w:pPr>
      <w:r>
        <w:rPr>
          <w:rFonts w:ascii="Courier New" w:cs="Courier New" w:eastAsia="Courier New" w:hAnsi="Courier New"/>
          <w:sz w:val="16"/>
          <w:szCs w:val="16"/>
          <w:color w:val="auto"/>
        </w:rPr>
        <w:t>former shareholders.</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Profit from the Company's aviation fuel business is directly related to the volume and the margins achieved on sales, as well as the extent to which the Company is required to provision for potential bad debts.</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Profit from the Company's marine fuel business is determined primarily by the volume of brokering business generated and by the volume and margins achieved on marine fuel trades.</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 Company's profit from oil recycling is principally determined by the spread between the selling price of recycled oil and the cost of collecting and processing waste oil.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March 31, 1995 Compared to</w:t>
      </w:r>
    </w:p>
    <w:p>
      <w:pPr>
        <w:ind w:left="280"/>
        <w:spacing w:after="0" w:line="236" w:lineRule="auto"/>
        <w:rPr>
          <w:sz w:val="20"/>
          <w:szCs w:val="20"/>
          <w:color w:val="auto"/>
        </w:rPr>
      </w:pPr>
      <w:r>
        <w:rPr>
          <w:rFonts w:ascii="Courier New" w:cs="Courier New" w:eastAsia="Courier New" w:hAnsi="Courier New"/>
          <w:sz w:val="16"/>
          <w:szCs w:val="16"/>
          <w:color w:val="auto"/>
        </w:rPr>
        <w:t>the Fiscal Year Ended March 31, 1994.</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 Company's revenues for the fiscal year ended March 31, 1995 were $361,891,000, an increase of $111,364,000, or 44.5%, as compared to revenues of $250,527,000 for the prior year. The Company's revenues during these periods were attributable to the following segments:</w:t>
      </w:r>
    </w:p>
    <w:p>
      <w:pPr>
        <w:spacing w:after="0" w:line="357"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Fiscal Year Ended March 31,</w:t>
            </w:r>
          </w:p>
        </w:tc>
        <w:tc>
          <w:tcPr>
            <w:tcW w:w="880" w:type="dxa"/>
            <w:vAlign w:val="bottom"/>
          </w:tcPr>
          <w:p>
            <w:pPr>
              <w:ind w:left="120"/>
              <w:spacing w:after="0"/>
              <w:rPr>
                <w:sz w:val="20"/>
                <w:szCs w:val="20"/>
                <w:color w:val="auto"/>
              </w:rPr>
            </w:pPr>
            <w:r>
              <w:rPr>
                <w:rFonts w:ascii="Courier New" w:cs="Courier New" w:eastAsia="Courier New" w:hAnsi="Courier New"/>
                <w:sz w:val="16"/>
                <w:szCs w:val="16"/>
                <w:color w:val="auto"/>
              </w:rPr>
              <w:t>Percent</w:t>
            </w:r>
          </w:p>
        </w:tc>
      </w:tr>
      <w:tr>
        <w:trPr>
          <w:trHeight w:val="179"/>
        </w:trPr>
        <w:tc>
          <w:tcPr>
            <w:tcW w:w="2520" w:type="dxa"/>
            <w:vAlign w:val="bottom"/>
          </w:tcPr>
          <w:p>
            <w:pPr>
              <w:spacing w:after="0"/>
              <w:rPr>
                <w:sz w:val="15"/>
                <w:szCs w:val="15"/>
                <w:color w:val="auto"/>
              </w:rPr>
            </w:pPr>
          </w:p>
        </w:tc>
        <w:tc>
          <w:tcPr>
            <w:tcW w:w="14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1995</w:t>
            </w:r>
          </w:p>
        </w:tc>
        <w:tc>
          <w:tcPr>
            <w:tcW w:w="14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1994</w:t>
            </w:r>
          </w:p>
        </w:tc>
        <w:tc>
          <w:tcPr>
            <w:tcW w:w="880" w:type="dxa"/>
            <w:vAlign w:val="bottom"/>
          </w:tcPr>
          <w:p>
            <w:pPr>
              <w:ind w:left="120"/>
              <w:spacing w:after="0" w:line="179" w:lineRule="exact"/>
              <w:rPr>
                <w:sz w:val="20"/>
                <w:szCs w:val="20"/>
                <w:color w:val="auto"/>
              </w:rPr>
            </w:pPr>
            <w:r>
              <w:rPr>
                <w:rFonts w:ascii="Courier New" w:cs="Courier New" w:eastAsia="Courier New" w:hAnsi="Courier New"/>
                <w:sz w:val="16"/>
                <w:szCs w:val="16"/>
                <w:color w:val="auto"/>
                <w:w w:val="96"/>
              </w:rPr>
              <w:t>Increase</w:t>
            </w:r>
          </w:p>
        </w:tc>
      </w:tr>
      <w:tr>
        <w:trPr>
          <w:trHeight w:val="179"/>
        </w:trPr>
        <w:tc>
          <w:tcPr>
            <w:tcW w:w="2520" w:type="dxa"/>
            <w:vAlign w:val="bottom"/>
          </w:tcPr>
          <w:p>
            <w:pPr>
              <w:spacing w:after="0"/>
              <w:rPr>
                <w:sz w:val="15"/>
                <w:szCs w:val="15"/>
                <w:color w:val="auto"/>
              </w:rPr>
            </w:pPr>
          </w:p>
        </w:tc>
        <w:tc>
          <w:tcPr>
            <w:tcW w:w="372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520" w:type="dxa"/>
            <w:vAlign w:val="bottom"/>
          </w:tcPr>
          <w:p>
            <w:pPr>
              <w:spacing w:after="0" w:line="179" w:lineRule="exact"/>
              <w:rPr>
                <w:sz w:val="20"/>
                <w:szCs w:val="20"/>
                <w:color w:val="auto"/>
              </w:rPr>
            </w:pPr>
            <w:r>
              <w:rPr>
                <w:rFonts w:ascii="Courier New" w:cs="Courier New" w:eastAsia="Courier New" w:hAnsi="Courier New"/>
                <w:sz w:val="16"/>
                <w:szCs w:val="16"/>
                <w:color w:val="auto"/>
              </w:rPr>
              <w:t>Aviation Fueling</w:t>
            </w: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$288,728,000</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$233,982,000</w:t>
            </w:r>
          </w:p>
        </w:tc>
        <w:tc>
          <w:tcPr>
            <w:tcW w:w="8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23.4%</w:t>
            </w:r>
          </w:p>
        </w:tc>
      </w:tr>
      <w:tr>
        <w:trPr>
          <w:trHeight w:val="179"/>
        </w:trPr>
        <w:tc>
          <w:tcPr>
            <w:tcW w:w="2520" w:type="dxa"/>
            <w:vAlign w:val="bottom"/>
          </w:tcPr>
          <w:p>
            <w:pPr>
              <w:spacing w:after="0" w:line="179" w:lineRule="exact"/>
              <w:rPr>
                <w:sz w:val="20"/>
                <w:szCs w:val="20"/>
                <w:color w:val="auto"/>
              </w:rPr>
            </w:pPr>
            <w:r>
              <w:rPr>
                <w:rFonts w:ascii="Courier New" w:cs="Courier New" w:eastAsia="Courier New" w:hAnsi="Courier New"/>
                <w:sz w:val="16"/>
                <w:szCs w:val="16"/>
                <w:color w:val="auto"/>
              </w:rPr>
              <w:t>Marine Fueling</w:t>
            </w: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54,578,000</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20" w:type="dxa"/>
            <w:vAlign w:val="bottom"/>
          </w:tcPr>
          <w:p>
            <w:pPr>
              <w:spacing w:after="0" w:line="179" w:lineRule="exact"/>
              <w:rPr>
                <w:sz w:val="20"/>
                <w:szCs w:val="20"/>
                <w:color w:val="auto"/>
              </w:rPr>
            </w:pPr>
            <w:r>
              <w:rPr>
                <w:rFonts w:ascii="Courier New" w:cs="Courier New" w:eastAsia="Courier New" w:hAnsi="Courier New"/>
                <w:sz w:val="16"/>
                <w:szCs w:val="16"/>
                <w:color w:val="auto"/>
              </w:rPr>
              <w:t>Oil Recycling</w:t>
            </w: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18,591,000</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16,554,000</w:t>
            </w:r>
          </w:p>
        </w:tc>
        <w:tc>
          <w:tcPr>
            <w:tcW w:w="8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12.3</w:t>
            </w:r>
          </w:p>
        </w:tc>
      </w:tr>
      <w:tr>
        <w:trPr>
          <w:trHeight w:val="179"/>
        </w:trPr>
        <w:tc>
          <w:tcPr>
            <w:tcW w:w="25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Intersegment Eliminations</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(6,000)</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(9,000)</w:t>
            </w:r>
          </w:p>
        </w:tc>
        <w:tc>
          <w:tcPr>
            <w:tcW w:w="8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2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Revenue</w:t>
            </w: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$361,891,000</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$250,527,000</w:t>
            </w:r>
          </w:p>
        </w:tc>
        <w:tc>
          <w:tcPr>
            <w:tcW w:w="8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44.5%</w:t>
            </w:r>
          </w:p>
        </w:tc>
      </w:tr>
      <w:tr>
        <w:trPr>
          <w:trHeight w:val="179"/>
        </w:trPr>
        <w:tc>
          <w:tcPr>
            <w:tcW w:w="252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20" w:type="dxa"/>
            <w:vAlign w:val="bottom"/>
          </w:tcPr>
          <w:p>
            <w:pPr>
              <w:spacing w:after="0" w:line="179" w:lineRule="exact"/>
              <w:rPr>
                <w:sz w:val="20"/>
                <w:szCs w:val="20"/>
                <w:color w:val="auto"/>
              </w:rPr>
            </w:pPr>
            <w:r>
              <w:rPr>
                <w:rFonts w:ascii="Courier New" w:cs="Courier New" w:eastAsia="Courier New" w:hAnsi="Courier New"/>
                <w:sz w:val="16"/>
                <w:szCs w:val="16"/>
                <w:color w:val="auto"/>
              </w:rPr>
              <w:t>* Percent not meaningful</w:t>
            </w: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2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ind w:left="400"/>
              <w:spacing w:after="0" w:line="179" w:lineRule="exact"/>
              <w:rPr>
                <w:sz w:val="20"/>
                <w:szCs w:val="20"/>
                <w:color w:val="auto"/>
              </w:rPr>
            </w:pPr>
            <w:r>
              <w:rPr>
                <w:rFonts w:ascii="Courier New" w:cs="Courier New" w:eastAsia="Courier New" w:hAnsi="Courier New"/>
                <w:sz w:val="16"/>
                <w:szCs w:val="16"/>
                <w:color w:val="auto"/>
              </w:rPr>
              <w:t>-16-</w:t>
            </w:r>
          </w:p>
        </w:tc>
      </w:tr>
    </w:tbl>
    <w:p>
      <w:pPr>
        <w:sectPr>
          <w:pgSz w:w="11900" w:h="16838" w:orient="portrait"/>
          <w:cols w:equalWidth="0" w:num="1">
            <w:col w:w="10219"/>
          </w:cols>
          <w:pgMar w:left="240" w:top="1185" w:right="1440" w:bottom="1440" w:gutter="0" w:footer="0" w:header="0"/>
        </w:sectPr>
      </w:pPr>
    </w:p>
    <w:bookmarkStart w:id="18" w:name="page19"/>
    <w:bookmarkEnd w:id="18"/>
    <w:p>
      <w:pPr>
        <w:ind w:right="3059" w:firstLine="837"/>
        <w:spacing w:after="0" w:line="273" w:lineRule="auto"/>
        <w:rPr>
          <w:sz w:val="20"/>
          <w:szCs w:val="20"/>
          <w:color w:val="auto"/>
        </w:rPr>
      </w:pPr>
      <w:r>
        <w:rPr>
          <w:rFonts w:ascii="Courier New" w:cs="Courier New" w:eastAsia="Courier New" w:hAnsi="Courier New"/>
          <w:sz w:val="14"/>
          <w:szCs w:val="14"/>
          <w:color w:val="auto"/>
        </w:rPr>
        <w:t>The aviation fueling segment sold 456,502,000 gallons of fuel and contributed $288,728,000 of revenue for the fiscal year ended March 31, 1995. This represented an increase in revenue of $54,746,000, or 23.4%, as compared to the prior year when the Company sold 321,154,000 gallons of fuel. This increase in revenue was due to an increase in volume, primarily the result of increased bulk sales, partially offset by a price related revenue shortfall which reflects general market conditions. Also offsetting was $4,688,000 in lower fuel terminaling revenue. The Company's fuel terminaling business, conducted solely at Miami International Airport pursuant to a month-to-month contract, was awarded to another company effective June 30, 1994.</w:t>
      </w:r>
    </w:p>
    <w:p>
      <w:pPr>
        <w:spacing w:after="0" w:line="344" w:lineRule="exact"/>
        <w:rPr>
          <w:sz w:val="20"/>
          <w:szCs w:val="20"/>
          <w:color w:val="auto"/>
        </w:rPr>
      </w:pPr>
    </w:p>
    <w:p>
      <w:pPr>
        <w:ind w:right="3059" w:firstLine="837"/>
        <w:spacing w:after="0" w:line="270" w:lineRule="auto"/>
        <w:rPr>
          <w:sz w:val="20"/>
          <w:szCs w:val="20"/>
          <w:color w:val="auto"/>
        </w:rPr>
      </w:pPr>
      <w:r>
        <w:rPr>
          <w:rFonts w:ascii="Courier New" w:cs="Courier New" w:eastAsia="Courier New" w:hAnsi="Courier New"/>
          <w:sz w:val="14"/>
          <w:szCs w:val="14"/>
          <w:color w:val="auto"/>
        </w:rPr>
        <w:t>The marine fueling segment traded 465,000 metric tons of bunker fuel and brokered 1,091,000 metric tons, contributing $53,298,000 and $824,000</w:t>
      </w:r>
    </w:p>
    <w:p>
      <w:pPr>
        <w:spacing w:after="0" w:line="1" w:lineRule="exact"/>
        <w:rPr>
          <w:sz w:val="20"/>
          <w:szCs w:val="20"/>
          <w:color w:val="auto"/>
        </w:rPr>
      </w:pPr>
    </w:p>
    <w:p>
      <w:pPr>
        <w:ind w:right="3999"/>
        <w:spacing w:after="0" w:line="234" w:lineRule="auto"/>
        <w:rPr>
          <w:sz w:val="20"/>
          <w:szCs w:val="20"/>
          <w:color w:val="auto"/>
        </w:rPr>
      </w:pPr>
      <w:r>
        <w:rPr>
          <w:rFonts w:ascii="Courier New" w:cs="Courier New" w:eastAsia="Courier New" w:hAnsi="Courier New"/>
          <w:sz w:val="16"/>
          <w:szCs w:val="16"/>
          <w:color w:val="auto"/>
        </w:rPr>
        <w:t>in revenues, respectively. The Company also sold 104,000 gallons in lubricants totalling $456,000 in revenues.</w:t>
      </w:r>
    </w:p>
    <w:p>
      <w:pPr>
        <w:spacing w:after="0" w:line="183" w:lineRule="exact"/>
        <w:rPr>
          <w:sz w:val="20"/>
          <w:szCs w:val="20"/>
          <w:color w:val="auto"/>
        </w:rPr>
      </w:pPr>
    </w:p>
    <w:p>
      <w:pPr>
        <w:ind w:right="3059" w:firstLine="837"/>
        <w:spacing w:after="0" w:line="236" w:lineRule="auto"/>
        <w:rPr>
          <w:sz w:val="20"/>
          <w:szCs w:val="20"/>
          <w:color w:val="auto"/>
        </w:rPr>
      </w:pPr>
      <w:r>
        <w:rPr>
          <w:rFonts w:ascii="Courier New" w:cs="Courier New" w:eastAsia="Courier New" w:hAnsi="Courier New"/>
          <w:sz w:val="16"/>
          <w:szCs w:val="16"/>
          <w:color w:val="auto"/>
        </w:rPr>
        <w:t>The oil recycling segment sold 35,015,000 gallons of recycled oil products and contributed $18,591,000 of revenue for the fiscal year ended March 31, 1995. This was an increase in revenue of $2,037,000, or 12.3%, as compared to last year when the Company sold 32,756,000 gallons of recycled oil products. The revenue increase reflects higher used oil and waste water collection revenues, higher product volume sold, and a price related increase on recycled product.</w:t>
      </w:r>
    </w:p>
    <w:p>
      <w:pPr>
        <w:spacing w:after="0" w:line="184"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The Company's gross profit of $27,757,000 increased by $806,000, or 3.0%, as compared to last year. The Company's gross margin decreased from 10.8% for the fiscal year ended March 31, 1994 to 7.7% for the fiscal year ended March 31, 1995.</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Company's aviation fueling segment achieved a 6.9% gross margin for the fiscal year ended March 31, 1995, as compared to 9.8% achieved for the prior fiscal year. The decline in the gross margin was attributed to a narrower average gross profit per gallon, as well as a decline in fuel terminaling gross profit. The decline in the average gross profit per gallon was due to increased bulk sales.</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 Company's marine fueling segment achieved a 3.9% gross margin for the fiscal year ended March 31, 1995. The Company's gross margin on trading activities was 2.5%.</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The gross margin in the Company's oil recycling segment increased from 24.8% for fiscal year 1994 to 30.9% for fiscal year 1995. This resulted from the combined effects of a higher average sales price of recycled oil, and a lower average cost of collection and processing used oil, and blending recycled oil. This decrease was primarily attributed to the higher volume processed by the Company and the lower cost of operating a batch process in Louisiana.</w:t>
      </w:r>
    </w:p>
    <w:p>
      <w:pPr>
        <w:spacing w:after="0" w:line="184"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Total operating expenses for the fiscal year ended March 31, 1995 were $16,508,000, a decrease of $673,000, or 3.9%, as compared to the same period a year ago. This decrease resulted from a $3,001,000 decrease in the</w:t>
      </w:r>
    </w:p>
    <w:p>
      <w:pPr>
        <w:spacing w:after="0" w:line="237" w:lineRule="auto"/>
        <w:rPr>
          <w:sz w:val="20"/>
          <w:szCs w:val="20"/>
          <w:color w:val="auto"/>
        </w:rPr>
      </w:pPr>
      <w:r>
        <w:rPr>
          <w:rFonts w:ascii="Courier New" w:cs="Courier New" w:eastAsia="Courier New" w:hAnsi="Courier New"/>
          <w:sz w:val="16"/>
          <w:szCs w:val="16"/>
          <w:color w:val="auto"/>
        </w:rPr>
        <w:t>provision for bad debts due to a year over year improvement in the quality of</w:t>
      </w:r>
    </w:p>
    <w:p>
      <w:pPr>
        <w:spacing w:after="0" w:line="237" w:lineRule="auto"/>
        <w:rPr>
          <w:sz w:val="20"/>
          <w:szCs w:val="20"/>
          <w:color w:val="auto"/>
        </w:rPr>
      </w:pPr>
      <w:r>
        <w:rPr>
          <w:rFonts w:ascii="Courier New" w:cs="Courier New" w:eastAsia="Courier New" w:hAnsi="Courier New"/>
          <w:sz w:val="16"/>
          <w:szCs w:val="16"/>
          <w:color w:val="auto"/>
        </w:rPr>
        <w:t>accounts receivable, as well as a $255,000 decline in operating expenses of</w:t>
      </w:r>
    </w:p>
    <w:p>
      <w:pPr>
        <w:spacing w:after="0"/>
        <w:tabs>
          <w:tab w:leader="none" w:pos="3040" w:val="left"/>
        </w:tabs>
        <w:rPr>
          <w:sz w:val="20"/>
          <w:szCs w:val="20"/>
          <w:color w:val="auto"/>
        </w:rPr>
      </w:pPr>
      <w:r>
        <w:rPr>
          <w:rFonts w:ascii="Courier New" w:cs="Courier New" w:eastAsia="Courier New" w:hAnsi="Courier New"/>
          <w:sz w:val="16"/>
          <w:szCs w:val="16"/>
          <w:color w:val="auto"/>
        </w:rPr>
        <w:t>the Company's used oil segment.</w:t>
      </w:r>
      <w:r>
        <w:rPr>
          <w:sz w:val="20"/>
          <w:szCs w:val="20"/>
          <w:color w:val="auto"/>
        </w:rPr>
        <w:tab/>
      </w:r>
      <w:r>
        <w:rPr>
          <w:rFonts w:ascii="Courier New" w:cs="Courier New" w:eastAsia="Courier New" w:hAnsi="Courier New"/>
          <w:sz w:val="14"/>
          <w:szCs w:val="14"/>
          <w:color w:val="auto"/>
        </w:rPr>
        <w:t>Partially offsetting were the operating</w:t>
      </w:r>
    </w:p>
    <w:p>
      <w:pPr>
        <w:spacing w:after="0" w:line="237" w:lineRule="auto"/>
        <w:rPr>
          <w:sz w:val="20"/>
          <w:szCs w:val="20"/>
          <w:color w:val="auto"/>
        </w:rPr>
      </w:pPr>
      <w:r>
        <w:rPr>
          <w:rFonts w:ascii="Courier New" w:cs="Courier New" w:eastAsia="Courier New" w:hAnsi="Courier New"/>
          <w:sz w:val="16"/>
          <w:szCs w:val="16"/>
          <w:color w:val="auto"/>
        </w:rPr>
        <w:t>expenses of the marine segment acquired in January 1995, which totalled</w:t>
      </w:r>
    </w:p>
    <w:p>
      <w:pPr>
        <w:spacing w:after="0" w:line="237" w:lineRule="auto"/>
        <w:rPr>
          <w:sz w:val="20"/>
          <w:szCs w:val="20"/>
          <w:color w:val="auto"/>
        </w:rPr>
      </w:pPr>
      <w:r>
        <w:rPr>
          <w:rFonts w:ascii="Courier New" w:cs="Courier New" w:eastAsia="Courier New" w:hAnsi="Courier New"/>
          <w:sz w:val="16"/>
          <w:szCs w:val="16"/>
          <w:color w:val="auto"/>
        </w:rPr>
        <w:t>$1,912,000, and an $877,000 increase in corporate overhead costs, discussed</w:t>
      </w:r>
    </w:p>
    <w:p>
      <w:pPr>
        <w:spacing w:after="0"/>
        <w:tabs>
          <w:tab w:leader="none" w:pos="720" w:val="left"/>
        </w:tabs>
        <w:rPr>
          <w:sz w:val="20"/>
          <w:szCs w:val="20"/>
          <w:color w:val="auto"/>
        </w:rPr>
      </w:pPr>
      <w:r>
        <w:rPr>
          <w:rFonts w:ascii="Courier New" w:cs="Courier New" w:eastAsia="Courier New" w:hAnsi="Courier New"/>
          <w:sz w:val="16"/>
          <w:szCs w:val="16"/>
          <w:color w:val="auto"/>
        </w:rPr>
        <w:t>below.</w:t>
      </w:r>
      <w:r>
        <w:rPr>
          <w:sz w:val="20"/>
          <w:szCs w:val="20"/>
          <w:color w:val="auto"/>
        </w:rPr>
        <w:tab/>
      </w:r>
      <w:r>
        <w:rPr>
          <w:rFonts w:ascii="Courier New" w:cs="Courier New" w:eastAsia="Courier New" w:hAnsi="Courier New"/>
          <w:sz w:val="14"/>
          <w:szCs w:val="14"/>
          <w:color w:val="auto"/>
        </w:rPr>
        <w:t>In relation to revenue, total operating expenses decreased from 6.9%</w:t>
      </w:r>
    </w:p>
    <w:p>
      <w:pPr>
        <w:spacing w:after="0" w:line="237" w:lineRule="auto"/>
        <w:rPr>
          <w:sz w:val="20"/>
          <w:szCs w:val="20"/>
          <w:color w:val="auto"/>
        </w:rPr>
      </w:pPr>
      <w:r>
        <w:rPr>
          <w:rFonts w:ascii="Courier New" w:cs="Courier New" w:eastAsia="Courier New" w:hAnsi="Courier New"/>
          <w:sz w:val="16"/>
          <w:szCs w:val="16"/>
          <w:color w:val="auto"/>
        </w:rPr>
        <w:t>to 4.6%.</w:t>
      </w:r>
    </w:p>
    <w:p>
      <w:pPr>
        <w:spacing w:after="0" w:line="177"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012" w:right="1440" w:bottom="1440" w:gutter="0" w:footer="0" w:header="0"/>
        </w:sectPr>
      </w:pPr>
    </w:p>
    <w:bookmarkStart w:id="19" w:name="page20"/>
    <w:bookmarkEnd w:id="19"/>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The Company's income from operations for the fiscal year ended March 31, 1995 was $11,249,000, an increase of $1,479,000, or 15.1%, as compared to income from operations of $9,770,000 for the fiscal year ended March 31, 1994. Income from operations during these periods was attributable to the following segments: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2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Fiscal Year Ended March 31,</w:t>
            </w:r>
          </w:p>
        </w:tc>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Percent</w:t>
            </w:r>
          </w:p>
        </w:tc>
      </w:tr>
      <w:tr>
        <w:trPr>
          <w:trHeight w:val="179"/>
        </w:trPr>
        <w:tc>
          <w:tcPr>
            <w:tcW w:w="200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1994</w:t>
            </w: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Increase</w:t>
            </w:r>
          </w:p>
        </w:tc>
      </w:tr>
      <w:tr>
        <w:trPr>
          <w:trHeight w:val="179"/>
        </w:trPr>
        <w:tc>
          <w:tcPr>
            <w:tcW w:w="200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Aviation Fueling</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$12,304,000</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$12,066,000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Marine Fueling</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220,000</w:t>
            </w:r>
          </w:p>
        </w:tc>
        <w:tc>
          <w:tcPr>
            <w:tcW w:w="13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Oil Recycling</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2,973,000</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1,075,000</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176.6</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 Overhead</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(4,248,000)</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(3,371,000)</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26.0</w:t>
            </w:r>
          </w:p>
        </w:tc>
      </w:tr>
      <w:tr>
        <w:trPr>
          <w:trHeight w:val="179"/>
        </w:trPr>
        <w:tc>
          <w:tcPr>
            <w:tcW w:w="200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Income From</w:t>
            </w: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Operations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$11,249,000</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$ 9,770,000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15.1%</w:t>
            </w:r>
          </w:p>
        </w:tc>
      </w:tr>
      <w:tr>
        <w:trPr>
          <w:trHeight w:val="179"/>
        </w:trPr>
        <w:tc>
          <w:tcPr>
            <w:tcW w:w="200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Income from operations of the aviation fueling segment increased $238,000, or 2.0%, for the fiscal year ended March 31, 1995, as compared to the fiscal year ended March 31, 1994. This increase resulted from higher product volume sold, and a decrease in operating expenses due to a lower provision for bad debts. Partially offsetting were narrower margin fuel sales due to bulk transactions, and lower operating income from the Company's fuel terminaling activities.</w:t>
      </w:r>
    </w:p>
    <w:p>
      <w:pPr>
        <w:spacing w:after="0" w:line="184"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 marine fueling segment earned $220,000 in income from operations for fiscal year 1995. The gross profit for this segment was $2,132,000, reduced by $1,912,000 in operating expenses.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Income from operations of the oil recycling segment increased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$1,898,000, or 176.6%, for the fiscal year ended March 31, 1995, as compared to</w:t>
      </w:r>
    </w:p>
    <w:p>
      <w:pPr>
        <w:spacing w:after="0" w:line="1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last year.</w:t>
      </w:r>
      <w:r>
        <w:rPr>
          <w:sz w:val="20"/>
          <w:szCs w:val="20"/>
          <w:color w:val="auto"/>
        </w:rPr>
        <w:tab/>
      </w:r>
      <w:r>
        <w:rPr>
          <w:rFonts w:ascii="Courier New" w:cs="Courier New" w:eastAsia="Courier New" w:hAnsi="Courier New"/>
          <w:sz w:val="14"/>
          <w:szCs w:val="14"/>
          <w:color w:val="auto"/>
        </w:rPr>
        <w:t>This increase resulted primarily from higher product volume sold,</w:t>
      </w:r>
    </w:p>
    <w:p>
      <w:pPr>
        <w:spacing w:after="0" w:line="236" w:lineRule="auto"/>
        <w:rPr>
          <w:sz w:val="20"/>
          <w:szCs w:val="20"/>
          <w:color w:val="auto"/>
        </w:rPr>
      </w:pPr>
      <w:r>
        <w:rPr>
          <w:rFonts w:ascii="Courier New" w:cs="Courier New" w:eastAsia="Courier New" w:hAnsi="Courier New"/>
          <w:sz w:val="16"/>
          <w:szCs w:val="16"/>
          <w:color w:val="auto"/>
        </w:rPr>
        <w:t>higher margins on recycled oil and lower operating expenses.</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Corporate overhead costs not charged to the business segments totalled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$4,248,000 for the fiscal year ended March 31, 1995, an increase of $877,000,</w:t>
      </w:r>
    </w:p>
    <w:p>
      <w:pPr>
        <w:spacing w:after="0"/>
        <w:tabs>
          <w:tab w:leader="none" w:pos="3420" w:val="left"/>
        </w:tabs>
        <w:rPr>
          <w:sz w:val="20"/>
          <w:szCs w:val="20"/>
          <w:color w:val="auto"/>
        </w:rPr>
      </w:pPr>
      <w:r>
        <w:rPr>
          <w:rFonts w:ascii="Courier New" w:cs="Courier New" w:eastAsia="Courier New" w:hAnsi="Courier New"/>
          <w:sz w:val="16"/>
          <w:szCs w:val="16"/>
          <w:color w:val="auto"/>
        </w:rPr>
        <w:t>or 26.0%, as compared to last year.</w:t>
      </w:r>
      <w:r>
        <w:rPr>
          <w:sz w:val="20"/>
          <w:szCs w:val="20"/>
          <w:color w:val="auto"/>
        </w:rPr>
        <w:tab/>
      </w:r>
      <w:r>
        <w:rPr>
          <w:rFonts w:ascii="Courier New" w:cs="Courier New" w:eastAsia="Courier New" w:hAnsi="Courier New"/>
          <w:sz w:val="14"/>
          <w:szCs w:val="14"/>
          <w:color w:val="auto"/>
        </w:rPr>
        <w:t>The increase was due to higher salaries and</w:t>
      </w:r>
    </w:p>
    <w:p>
      <w:pPr>
        <w:spacing w:after="0"/>
        <w:tabs>
          <w:tab w:leader="none" w:pos="2200" w:val="left"/>
        </w:tabs>
        <w:rPr>
          <w:sz w:val="20"/>
          <w:szCs w:val="20"/>
          <w:color w:val="auto"/>
        </w:rPr>
      </w:pPr>
      <w:r>
        <w:rPr>
          <w:rFonts w:ascii="Courier New" w:cs="Courier New" w:eastAsia="Courier New" w:hAnsi="Courier New"/>
          <w:sz w:val="16"/>
          <w:szCs w:val="16"/>
          <w:color w:val="auto"/>
        </w:rPr>
        <w:t>payroll related costs.</w:t>
      </w:r>
      <w:r>
        <w:rPr>
          <w:sz w:val="20"/>
          <w:szCs w:val="20"/>
          <w:color w:val="auto"/>
        </w:rPr>
        <w:tab/>
      </w:r>
      <w:r>
        <w:rPr>
          <w:rFonts w:ascii="Courier New" w:cs="Courier New" w:eastAsia="Courier New" w:hAnsi="Courier New"/>
          <w:sz w:val="14"/>
          <w:szCs w:val="14"/>
          <w:color w:val="auto"/>
        </w:rPr>
        <w:t>In relation to sales, total corporate overhead decreased</w:t>
      </w:r>
    </w:p>
    <w:p>
      <w:pPr>
        <w:spacing w:after="0" w:line="237" w:lineRule="auto"/>
        <w:rPr>
          <w:sz w:val="20"/>
          <w:szCs w:val="20"/>
          <w:color w:val="auto"/>
        </w:rPr>
      </w:pPr>
      <w:r>
        <w:rPr>
          <w:rFonts w:ascii="Courier New" w:cs="Courier New" w:eastAsia="Courier New" w:hAnsi="Courier New"/>
          <w:sz w:val="16"/>
          <w:szCs w:val="16"/>
          <w:color w:val="auto"/>
        </w:rPr>
        <w:t>to 1.2% for the fiscal year ended March 31, 1995, as compared to 1.3% for the</w:t>
      </w:r>
    </w:p>
    <w:p>
      <w:pPr>
        <w:spacing w:after="0" w:line="237" w:lineRule="auto"/>
        <w:rPr>
          <w:sz w:val="20"/>
          <w:szCs w:val="20"/>
          <w:color w:val="auto"/>
        </w:rPr>
      </w:pPr>
      <w:r>
        <w:rPr>
          <w:rFonts w:ascii="Courier New" w:cs="Courier New" w:eastAsia="Courier New" w:hAnsi="Courier New"/>
          <w:sz w:val="16"/>
          <w:szCs w:val="16"/>
          <w:color w:val="auto"/>
        </w:rPr>
        <w:t>prior year.</w:t>
      </w:r>
    </w:p>
    <w:p>
      <w:pPr>
        <w:spacing w:after="0" w:line="183" w:lineRule="exact"/>
        <w:rPr>
          <w:sz w:val="20"/>
          <w:szCs w:val="20"/>
          <w:color w:val="auto"/>
        </w:rPr>
      </w:pPr>
    </w:p>
    <w:p>
      <w:pPr>
        <w:ind w:right="2879" w:firstLine="837"/>
        <w:spacing w:after="0" w:line="274" w:lineRule="auto"/>
        <w:rPr>
          <w:sz w:val="20"/>
          <w:szCs w:val="20"/>
          <w:color w:val="auto"/>
        </w:rPr>
      </w:pPr>
      <w:r>
        <w:rPr>
          <w:rFonts w:ascii="Courier New" w:cs="Courier New" w:eastAsia="Courier New" w:hAnsi="Courier New"/>
          <w:sz w:val="14"/>
          <w:szCs w:val="14"/>
          <w:color w:val="auto"/>
        </w:rPr>
        <w:t>In the fiscal year ended March 31, 1995, the Company had $1,774,000 in other income, net, an increase of $3,107,000 as compared to $1,333,000 in other expense, net for the same period a year ago. In fiscal year 1994, the Company incurred a $1,300,000 expense related to the settlement of a shareholders class action, originally filed in June 1992. In fiscal year 1995, when compared to the previous fiscal year, the Company earned $737,000 in foreign currency transaction gains, $544,000 in equity earnings of a joint venture, and $502,000 in net interest income which is the result of the Company's improved liquidity.</w:t>
      </w:r>
    </w:p>
    <w:p>
      <w:pPr>
        <w:spacing w:after="0" w:line="340"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Net income for the fiscal year ended March 31, 1995 was $8,088,000, an increase of $2,893,000, as compared to net income for the fiscal year ended March 31, 1994. Earnings per share of $1.65 for the fiscal year ended March 31, 1995 exhibited a $0.55 increase over the $1.10 achieved during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3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Fiscal Year Ended March 31, 1994 Compared to</w:t>
      </w:r>
    </w:p>
    <w:p>
      <w:pPr>
        <w:ind w:left="280"/>
        <w:spacing w:after="0" w:line="236" w:lineRule="auto"/>
        <w:rPr>
          <w:sz w:val="20"/>
          <w:szCs w:val="20"/>
          <w:color w:val="auto"/>
        </w:rPr>
      </w:pPr>
      <w:r>
        <w:rPr>
          <w:rFonts w:ascii="Courier New" w:cs="Courier New" w:eastAsia="Courier New" w:hAnsi="Courier New"/>
          <w:sz w:val="16"/>
          <w:szCs w:val="16"/>
          <w:color w:val="auto"/>
        </w:rPr>
        <w:t>the Fiscal Year Ended March 31, 1993.</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 Company's revenues for the fiscal year ended March 31, 1994 were $250,527,000, a decrease of $4,240,000, or 1.7%, as compared to revenues of $254,767,000 for the prior year. The Company's revenues during these periods were attributable to the following segments:</w:t>
      </w:r>
    </w:p>
    <w:p>
      <w:pPr>
        <w:spacing w:after="0" w:line="178"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Percent</w:t>
            </w:r>
          </w:p>
        </w:tc>
      </w:tr>
      <w:tr>
        <w:trPr>
          <w:trHeight w:val="179"/>
        </w:trPr>
        <w:tc>
          <w:tcPr>
            <w:tcW w:w="2380" w:type="dxa"/>
            <w:vAlign w:val="bottom"/>
          </w:tcPr>
          <w:p>
            <w:pPr>
              <w:spacing w:after="0"/>
              <w:rPr>
                <w:sz w:val="15"/>
                <w:szCs w:val="15"/>
                <w:color w:val="auto"/>
              </w:rPr>
            </w:pPr>
          </w:p>
        </w:tc>
        <w:tc>
          <w:tcPr>
            <w:tcW w:w="2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Fiscal Year Ended March 31,</w:t>
            </w:r>
          </w:p>
        </w:tc>
        <w:tc>
          <w:tcPr>
            <w:tcW w:w="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Increase</w:t>
            </w:r>
          </w:p>
        </w:tc>
      </w:tr>
      <w:tr>
        <w:trPr>
          <w:trHeight w:val="179"/>
        </w:trPr>
        <w:tc>
          <w:tcPr>
            <w:tcW w:w="2380" w:type="dxa"/>
            <w:vAlign w:val="bottom"/>
          </w:tcPr>
          <w:p>
            <w:pPr>
              <w:spacing w:after="0"/>
              <w:rPr>
                <w:sz w:val="15"/>
                <w:szCs w:val="15"/>
                <w:color w:val="auto"/>
              </w:rPr>
            </w:pPr>
          </w:p>
        </w:tc>
        <w:tc>
          <w:tcPr>
            <w:tcW w:w="13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1993</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(Decrease)</w:t>
            </w:r>
          </w:p>
        </w:tc>
      </w:tr>
      <w:tr>
        <w:trPr>
          <w:trHeight w:val="179"/>
        </w:trPr>
        <w:tc>
          <w:tcPr>
            <w:tcW w:w="2380" w:type="dxa"/>
            <w:vAlign w:val="bottom"/>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Aviation Fueling</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$233,982,000</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$241,055,000</w:t>
            </w:r>
          </w:p>
        </w:tc>
        <w:tc>
          <w:tcPr>
            <w:tcW w:w="9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Oil Recycling</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16,554,000</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14,014,000</w:t>
            </w:r>
          </w:p>
        </w:tc>
        <w:tc>
          <w:tcPr>
            <w:tcW w:w="9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18.1</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Intersegment Eliminations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(9,000)</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(302,000)</w:t>
            </w:r>
          </w:p>
        </w:tc>
        <w:tc>
          <w:tcPr>
            <w:tcW w:w="9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80" w:type="dxa"/>
            <w:vAlign w:val="bottom"/>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80" w:type="dxa"/>
            <w:vAlign w:val="bottom"/>
          </w:tcPr>
          <w:p>
            <w:pPr>
              <w:spacing w:after="0"/>
              <w:rPr>
                <w:sz w:val="15"/>
                <w:szCs w:val="15"/>
                <w:color w:val="auto"/>
              </w:rPr>
            </w:pP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Revenue</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$250,527,000</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$254,767,000</w:t>
            </w:r>
          </w:p>
        </w:tc>
        <w:tc>
          <w:tcPr>
            <w:tcW w:w="9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2380" w:type="dxa"/>
            <w:vAlign w:val="bottom"/>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r>
    </w:tbl>
    <w:p>
      <w:pPr>
        <w:ind w:left="460" w:hanging="279"/>
        <w:spacing w:after="0" w:line="236" w:lineRule="auto"/>
        <w:tabs>
          <w:tab w:leader="none" w:pos="4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not meaningful.</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aviation fueling segment sold 321,154,000 gallons of fuel and contributed $233,982,000 of revenue for the fiscal year ended March 31, 1994. This represented a decrease in revenue of $7,073,000, or 2.9%, as compared to the prior year when the Company sold 312,485,000 gallons of fuel. This decrease in revenue was due to a price related revenue shortfall which reflects general market conditions as well as competitive pressures. Partially offsetting was an increase in volume, attributed to market expansion (both domestic and international), and $1,363,000 in higher revenue contributed by the fuel terminaling operation.</w:t>
      </w:r>
    </w:p>
    <w:p>
      <w:pPr>
        <w:spacing w:after="0" w:line="185"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The oil recycling segment sold 32,756,000 gallons of recycled oil products and contributed $16,554,000 of revenue for the fiscal year ended March 31, 1994. This was an increase in revenue of $2,540,000, or 18.1%, as compared to the prior year when the Company sold 25,484,000 gallons of recycled oil products. This reflects additional revenues provided by the Company's used oil and waste water collection activities and an improvement related to higher product volume sold. These increases reflect the opening of the Wilmington, Delaware operation. Partially offsetting was a price related decline on recycled product which resulted from an overall decline in fuel prices.</w:t>
      </w:r>
    </w:p>
    <w:p>
      <w:pPr>
        <w:spacing w:after="0" w:line="18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Company's gross profit of $26,951,000 increased by $3,031,000, or 12.7%, as compared to the prior year. The Company's gross margin increased from 9.4% for the fiscal year ended March 31, 1993 to 10.8% for the fiscal year ended March 31, 1994. The gross margin improvement in the Company's aviation segment offset the decline in the oil recycling segment gross margin, as explained below.</w:t>
      </w:r>
    </w:p>
    <w:p>
      <w:pPr>
        <w:spacing w:after="0" w:line="183" w:lineRule="exact"/>
        <w:rPr>
          <w:sz w:val="20"/>
          <w:szCs w:val="20"/>
          <w:color w:val="auto"/>
        </w:rPr>
      </w:pPr>
    </w:p>
    <w:p>
      <w:pPr>
        <w:ind w:right="2959" w:firstLine="837"/>
        <w:spacing w:after="0" w:line="270" w:lineRule="auto"/>
        <w:rPr>
          <w:sz w:val="20"/>
          <w:szCs w:val="20"/>
          <w:color w:val="auto"/>
        </w:rPr>
      </w:pPr>
      <w:r>
        <w:rPr>
          <w:rFonts w:ascii="Courier New" w:cs="Courier New" w:eastAsia="Courier New" w:hAnsi="Courier New"/>
          <w:sz w:val="14"/>
          <w:szCs w:val="14"/>
          <w:color w:val="auto"/>
        </w:rPr>
        <w:t>The Company's aviation fuel business achieved a 9.8% gross margin for the fiscal year ended March 31, 1994, as compared to 8.0% achieved for the same period during the prior fiscal year. Excluding the fuel terminaling operations, the aviation fueling business achieved a gross margin of 8.2%</w:t>
      </w:r>
    </w:p>
    <w:p>
      <w:pPr>
        <w:spacing w:after="0" w:line="2" w:lineRule="exact"/>
        <w:rPr>
          <w:sz w:val="20"/>
          <w:szCs w:val="20"/>
          <w:color w:val="auto"/>
        </w:rPr>
      </w:pPr>
    </w:p>
    <w:p>
      <w:pPr>
        <w:ind w:right="3339"/>
        <w:spacing w:after="0" w:line="283" w:lineRule="auto"/>
        <w:rPr>
          <w:sz w:val="20"/>
          <w:szCs w:val="20"/>
          <w:color w:val="auto"/>
        </w:rPr>
      </w:pPr>
      <w:r>
        <w:rPr>
          <w:rFonts w:ascii="Courier New" w:cs="Courier New" w:eastAsia="Courier New" w:hAnsi="Courier New"/>
          <w:sz w:val="14"/>
          <w:szCs w:val="14"/>
          <w:color w:val="auto"/>
        </w:rPr>
        <w:t>in fiscal year 1994, as compared to 6.8% in fiscal year 1993. The improvement in the gross margin was attributed to the decline in the average sales price per gallon while the gross profit per gallon improved.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27" w:right="1440" w:bottom="1440" w:gutter="0" w:footer="0" w:header="0"/>
        </w:sectPr>
      </w:pPr>
    </w:p>
    <w:bookmarkStart w:id="21" w:name="page22"/>
    <w:bookmarkEnd w:id="21"/>
    <w:p>
      <w:pPr>
        <w:ind w:right="3059" w:firstLine="837"/>
        <w:spacing w:after="0" w:line="236" w:lineRule="auto"/>
        <w:rPr>
          <w:sz w:val="20"/>
          <w:szCs w:val="20"/>
          <w:color w:val="auto"/>
        </w:rPr>
      </w:pPr>
      <w:r>
        <w:rPr>
          <w:rFonts w:ascii="Courier New" w:cs="Courier New" w:eastAsia="Courier New" w:hAnsi="Courier New"/>
          <w:sz w:val="16"/>
          <w:szCs w:val="16"/>
          <w:color w:val="auto"/>
        </w:rPr>
        <w:t>The gross margin in the Company's oil recycling operations decreased from 34.2% for the fiscal year ended March 31, 1993 to 24.8% for the fiscal year ended March 31, 1994. This resulted from the combined effects of a lower average sales price of recycled oil and a higher average cost of collecting and processing used oil, and blending recycled oil. These costs increased primarily because of the under-utilization of the Company's facilities.</w:t>
      </w:r>
    </w:p>
    <w:p>
      <w:pPr>
        <w:spacing w:after="0" w:line="184"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Total operating expenses for the fiscal year ended March 31, 1994 were $17,181,000, an increase of $1,327,000, or 8.4%, as compared to the fiscal year ended March 31, 1993. Of this increase, $626,000 was due to increased charges to the provision for bad debts. For the fiscal year ended March 31, 1994, the Company charged $5,063,000 to the provision for bad debts, primarily to replenish the allowance for bad debts for charge-offs. The charge-offs and increases to the provision for bad debts are due primarily to collection problems encountered by the Company in its aviation segment. During fiscal year 1994, the Company has seen improvement in the quality of its accounts receivable with a substantial reduction in accounts with balances over 90 days old. Also contributing to the increase in total operating expenses was $398,000 related to the opening of the Wilmington, Delaware plant and $500,000 in legal fees, an increase related primarily to the collection of past due accounts receivable.</w:t>
      </w:r>
    </w:p>
    <w:p>
      <w:pPr>
        <w:spacing w:after="0" w:line="200" w:lineRule="exact"/>
        <w:rPr>
          <w:sz w:val="20"/>
          <w:szCs w:val="20"/>
          <w:color w:val="auto"/>
        </w:rPr>
      </w:pPr>
    </w:p>
    <w:p>
      <w:pPr>
        <w:spacing w:after="0" w:line="319" w:lineRule="exact"/>
        <w:rPr>
          <w:sz w:val="20"/>
          <w:szCs w:val="20"/>
          <w:color w:val="auto"/>
        </w:rPr>
      </w:pPr>
    </w:p>
    <w:p>
      <w:pPr>
        <w:ind w:right="3059" w:firstLine="837"/>
        <w:spacing w:after="0" w:line="270" w:lineRule="auto"/>
        <w:rPr>
          <w:sz w:val="20"/>
          <w:szCs w:val="20"/>
          <w:color w:val="auto"/>
        </w:rPr>
      </w:pPr>
      <w:r>
        <w:rPr>
          <w:rFonts w:ascii="Courier New" w:cs="Courier New" w:eastAsia="Courier New" w:hAnsi="Courier New"/>
          <w:sz w:val="14"/>
          <w:szCs w:val="14"/>
          <w:color w:val="auto"/>
        </w:rPr>
        <w:t>The Company's income from operations for the fiscal year ended March 31, 1994 was $9,770,000, an increase of $1,704,000, or 21.1%, as compared</w:t>
      </w:r>
    </w:p>
    <w:p>
      <w:pPr>
        <w:spacing w:after="0" w:line="1" w:lineRule="exact"/>
        <w:rPr>
          <w:sz w:val="20"/>
          <w:szCs w:val="20"/>
          <w:color w:val="auto"/>
        </w:rPr>
      </w:pPr>
    </w:p>
    <w:p>
      <w:pPr>
        <w:ind w:right="3719"/>
        <w:spacing w:after="0" w:line="235" w:lineRule="auto"/>
        <w:rPr>
          <w:sz w:val="20"/>
          <w:szCs w:val="20"/>
          <w:color w:val="auto"/>
        </w:rPr>
      </w:pPr>
      <w:r>
        <w:rPr>
          <w:rFonts w:ascii="Courier New" w:cs="Courier New" w:eastAsia="Courier New" w:hAnsi="Courier New"/>
          <w:sz w:val="16"/>
          <w:szCs w:val="16"/>
          <w:color w:val="auto"/>
        </w:rPr>
        <w:t>to income from operations of $8,066,000 for the same period last year. Income from operations during these periods was attributable to the following segments:</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Percent</w:t>
            </w:r>
          </w:p>
        </w:tc>
      </w:tr>
      <w:tr>
        <w:trPr>
          <w:trHeight w:val="179"/>
        </w:trPr>
        <w:tc>
          <w:tcPr>
            <w:tcW w:w="2380" w:type="dxa"/>
            <w:vAlign w:val="bottom"/>
          </w:tcPr>
          <w:p>
            <w:pPr>
              <w:spacing w:after="0"/>
              <w:rPr>
                <w:sz w:val="15"/>
                <w:szCs w:val="15"/>
                <w:color w:val="auto"/>
              </w:rPr>
            </w:pPr>
          </w:p>
        </w:tc>
        <w:tc>
          <w:tcPr>
            <w:tcW w:w="26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7"/>
              </w:rPr>
              <w:t>Fiscal Year Ended March 31,</w:t>
            </w:r>
          </w:p>
        </w:tc>
        <w:tc>
          <w:tcPr>
            <w:tcW w:w="10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Increase</w:t>
            </w:r>
          </w:p>
        </w:tc>
      </w:tr>
      <w:tr>
        <w:trPr>
          <w:trHeight w:val="179"/>
        </w:trPr>
        <w:tc>
          <w:tcPr>
            <w:tcW w:w="2380" w:type="dxa"/>
            <w:vAlign w:val="bottom"/>
          </w:tcPr>
          <w:p>
            <w:pPr>
              <w:spacing w:after="0"/>
              <w:rPr>
                <w:sz w:val="15"/>
                <w:szCs w:val="15"/>
                <w:color w:val="auto"/>
              </w:rPr>
            </w:pPr>
          </w:p>
        </w:tc>
        <w:tc>
          <w:tcPr>
            <w:tcW w:w="124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1994</w:t>
            </w:r>
          </w:p>
        </w:tc>
        <w:tc>
          <w:tcPr>
            <w:tcW w:w="14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(Decrease)</w:t>
            </w:r>
          </w:p>
        </w:tc>
      </w:tr>
      <w:tr>
        <w:trPr>
          <w:trHeight w:val="179"/>
        </w:trPr>
        <w:tc>
          <w:tcPr>
            <w:tcW w:w="2380" w:type="dxa"/>
            <w:vAlign w:val="bottom"/>
          </w:tcPr>
          <w:p>
            <w:pPr>
              <w:spacing w:after="0"/>
              <w:rPr>
                <w:sz w:val="15"/>
                <w:szCs w:val="15"/>
                <w:color w:val="auto"/>
              </w:rPr>
            </w:pP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Aviation Fueling</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$12,066,000</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$ 8,911,000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35.4%</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Oil Recycling</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1,075,000</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2,333,000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(53.9)</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 Overhead</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(3,371,000)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(3,001,000)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12.3</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Intersegment Eliminations</w:t>
            </w:r>
          </w:p>
        </w:tc>
        <w:tc>
          <w:tcPr>
            <w:tcW w:w="12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(177,000)</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80" w:type="dxa"/>
            <w:vAlign w:val="bottom"/>
          </w:tcPr>
          <w:p>
            <w:pPr>
              <w:spacing w:after="0"/>
              <w:rPr>
                <w:sz w:val="15"/>
                <w:szCs w:val="15"/>
                <w:color w:val="auto"/>
              </w:rPr>
            </w:pP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Income From</w:t>
            </w: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Operations</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$ 9,770,000</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$ 8,066,000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21.1%</w:t>
            </w:r>
          </w:p>
        </w:tc>
      </w:tr>
      <w:tr>
        <w:trPr>
          <w:trHeight w:val="179"/>
        </w:trPr>
        <w:tc>
          <w:tcPr>
            <w:tcW w:w="2380" w:type="dxa"/>
            <w:vAlign w:val="bottom"/>
          </w:tcPr>
          <w:p>
            <w:pPr>
              <w:spacing w:after="0"/>
              <w:rPr>
                <w:sz w:val="15"/>
                <w:szCs w:val="15"/>
                <w:color w:val="auto"/>
              </w:rPr>
            </w:pP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ind w:left="460" w:hanging="279"/>
        <w:spacing w:after="0" w:line="236" w:lineRule="auto"/>
        <w:tabs>
          <w:tab w:leader="none" w:pos="4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not meaningful.</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Income from operations of the aviation fueling segment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$3,155,000, or 35.4%, for the fiscal year ended March 31, 1994, as compared to</w:t>
      </w:r>
    </w:p>
    <w:p>
      <w:pPr>
        <w:spacing w:after="0" w:line="1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the prior year.</w:t>
      </w:r>
      <w:r>
        <w:rPr>
          <w:sz w:val="20"/>
          <w:szCs w:val="20"/>
          <w:color w:val="auto"/>
        </w:rPr>
        <w:tab/>
      </w:r>
      <w:r>
        <w:rPr>
          <w:rFonts w:ascii="Courier New" w:cs="Courier New" w:eastAsia="Courier New" w:hAnsi="Courier New"/>
          <w:sz w:val="14"/>
          <w:szCs w:val="14"/>
          <w:color w:val="auto"/>
        </w:rPr>
        <w:t>This increase resulted from higher product volume</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sold, improved margins on fuel sales, and higher operating income from the Company's fuel terminaling activities. Partially offsetting was an increase in operating expenses, which included higher charges to the provision for bad debts and higher legal fees related to the collection of past due accounts receivables. The increase in operating expenses was partly offset by a reduction in salaries mostly associated with the December 31, 1992, expiration of certain employment and non-compete agreements. Also offsetting the increase in operating expenses was a decrease in administrative expenses.</w:t>
      </w:r>
    </w:p>
    <w:p>
      <w:pPr>
        <w:spacing w:after="0" w:line="184" w:lineRule="exact"/>
        <w:rPr>
          <w:sz w:val="20"/>
          <w:szCs w:val="20"/>
          <w:color w:val="auto"/>
        </w:rPr>
      </w:pPr>
    </w:p>
    <w:p>
      <w:pPr>
        <w:ind w:right="3239" w:firstLine="837"/>
        <w:spacing w:after="0" w:line="279" w:lineRule="auto"/>
        <w:rPr>
          <w:sz w:val="20"/>
          <w:szCs w:val="20"/>
          <w:color w:val="auto"/>
        </w:rPr>
      </w:pPr>
      <w:r>
        <w:rPr>
          <w:rFonts w:ascii="Courier New" w:cs="Courier New" w:eastAsia="Courier New" w:hAnsi="Courier New"/>
          <w:sz w:val="14"/>
          <w:szCs w:val="14"/>
          <w:color w:val="auto"/>
        </w:rPr>
        <w:t>The fuel terminaling business was conducted solely at Miami International Airport, pursuant to a month-to-month contract, and accounted for 34.3% of the aviation segment's operating income during the fiscal year. This contract was awarded to another company effective June 30, 1994.</w:t>
      </w:r>
    </w:p>
    <w:p>
      <w:pPr>
        <w:spacing w:after="0" w:line="200" w:lineRule="exact"/>
        <w:rPr>
          <w:sz w:val="20"/>
          <w:szCs w:val="20"/>
          <w:color w:val="auto"/>
        </w:rPr>
      </w:pPr>
    </w:p>
    <w:p>
      <w:pPr>
        <w:spacing w:after="0" w:line="309"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012" w:right="1440" w:bottom="1440" w:gutter="0" w:footer="0" w:header="0"/>
        </w:sectPr>
      </w:pPr>
    </w:p>
    <w:bookmarkStart w:id="22" w:name="page23"/>
    <w:bookmarkEnd w:id="22"/>
    <w:p>
      <w:pPr>
        <w:ind w:left="840"/>
        <w:spacing w:after="0"/>
        <w:rPr>
          <w:sz w:val="20"/>
          <w:szCs w:val="20"/>
          <w:color w:val="auto"/>
        </w:rPr>
      </w:pPr>
      <w:r>
        <w:rPr>
          <w:rFonts w:ascii="Courier New" w:cs="Courier New" w:eastAsia="Courier New" w:hAnsi="Courier New"/>
          <w:sz w:val="16"/>
          <w:szCs w:val="16"/>
          <w:color w:val="auto"/>
        </w:rPr>
        <w:t>Income from operations of the oil recycling segment decreased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$1,258,000, or 53.9%, for the fiscal year ended March 31, 1994, as compared to</w:t>
      </w:r>
    </w:p>
    <w:p>
      <w:pPr>
        <w:spacing w:after="0" w:line="1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the prior year.</w:t>
      </w:r>
      <w:r>
        <w:rPr>
          <w:sz w:val="20"/>
          <w:szCs w:val="20"/>
          <w:color w:val="auto"/>
        </w:rPr>
        <w:tab/>
      </w:r>
      <w:r>
        <w:rPr>
          <w:rFonts w:ascii="Courier New" w:cs="Courier New" w:eastAsia="Courier New" w:hAnsi="Courier New"/>
          <w:sz w:val="14"/>
          <w:szCs w:val="14"/>
          <w:color w:val="auto"/>
        </w:rPr>
        <w:t>This decrease in income from operations was in part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due to a decline in gross profit which resulted from the low utilization of the Company's two main recycling plants. The Florida plant was impacted by a slowdown in sales to phosphate mining customers and the Delaware plant was a start-up operation. Although used oil collection revenues were up, sales of recycled products were lower during fiscal year 1994, when compared to the prior year. The balance of the decline in income from operations was due to an increase in operating expenses which primarily related to the Delaware operation.</w:t>
      </w:r>
    </w:p>
    <w:p>
      <w:pPr>
        <w:spacing w:after="0" w:line="184" w:lineRule="exact"/>
        <w:rPr>
          <w:sz w:val="20"/>
          <w:szCs w:val="20"/>
          <w:color w:val="auto"/>
        </w:rPr>
      </w:pPr>
    </w:p>
    <w:p>
      <w:pPr>
        <w:ind w:right="2879" w:firstLine="837"/>
        <w:spacing w:after="0" w:line="276" w:lineRule="auto"/>
        <w:rPr>
          <w:sz w:val="20"/>
          <w:szCs w:val="20"/>
          <w:color w:val="auto"/>
        </w:rPr>
      </w:pPr>
      <w:r>
        <w:rPr>
          <w:rFonts w:ascii="Courier New" w:cs="Courier New" w:eastAsia="Courier New" w:hAnsi="Courier New"/>
          <w:sz w:val="14"/>
          <w:szCs w:val="14"/>
          <w:color w:val="auto"/>
        </w:rPr>
        <w:t>Corporate overhead costs not charged to the business segments totalled $3,371,000 for the fiscal year ended March 31, 1994, an increase of $370,000, or 12.3%, as compared to the prior year. The increase was due to higher salaries and payroll related costs. In relation to sales, total corporate overhead increased from 1.2% in fiscal year 1993 to 1.3% in fiscal year 1994.</w:t>
      </w:r>
    </w:p>
    <w:p>
      <w:pPr>
        <w:spacing w:after="0" w:line="161"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During the fiscal year ended March 31, 1993, the Company had other income, net of $180,000, reflecting the capitalization of interest during construction of the Delaware plant. In fiscal year 1994, the Company had other expense, net of $1,333,000, which included a non-recurring charge in the fourth quarter of fiscal year 1994 for the settlement of the shareholders class action which was filed on June 23, 1992.</w:t>
      </w:r>
    </w:p>
    <w:p>
      <w:pPr>
        <w:spacing w:after="0" w:line="183" w:lineRule="exact"/>
        <w:rPr>
          <w:sz w:val="20"/>
          <w:szCs w:val="20"/>
          <w:color w:val="auto"/>
        </w:rPr>
      </w:pPr>
    </w:p>
    <w:p>
      <w:pPr>
        <w:jc w:val="both"/>
        <w:ind w:right="2779" w:firstLine="837"/>
        <w:spacing w:after="0" w:line="270" w:lineRule="auto"/>
        <w:rPr>
          <w:sz w:val="20"/>
          <w:szCs w:val="20"/>
          <w:color w:val="auto"/>
        </w:rPr>
      </w:pPr>
      <w:r>
        <w:rPr>
          <w:rFonts w:ascii="Courier New" w:cs="Courier New" w:eastAsia="Courier New" w:hAnsi="Courier New"/>
          <w:sz w:val="14"/>
          <w:szCs w:val="14"/>
          <w:color w:val="auto"/>
        </w:rPr>
        <w:t>The Company's net income from continuing operations for the fiscal year ended March 31, 1994 was $5,195,000, a decrease of $67,000, or 1.3%, as compared to net income from continuing operations of $5,262,000 for the prior year.</w:t>
      </w:r>
    </w:p>
    <w:p>
      <w:pPr>
        <w:spacing w:after="0" w:line="1"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Earnings per share from continuing operations was $1.10 for the fiscal year ended March 31, 1994, and decreased 0.9%, as compared to the $1.11 earnings per share achieved during fiscal year 1993.</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Net income for the fiscal year ended March 31, 1994, was $5,195,000, an increase of $3,648,000, as compared to net income for fiscal year 1993. Last year's net income included a $3,715,000 after-tax loss from the Company's discontinued environmental services segment operations. Earnings per share of $1.10 for the fiscal year ended March 31, 1994, exhibited a $.77 increase over the $.33 achieved during the prior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In the Company's aviation and marine fuel businesses, the primary use of capital is to finance accounts receivable. The Company maintains aviation fuel inventories in the United States for competitive reasons. On average, inventory levels represent less than a three week demand. The Company's aviation and marine fuel businesses do not require significant capital investment in fixed assets as the Company subcontracts fueling services and maintains inventory at third party storage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006" w:right="1440" w:bottom="1440" w:gutter="0" w:footer="0" w:header="0"/>
        </w:sectPr>
      </w:pPr>
    </w:p>
    <w:bookmarkStart w:id="23" w:name="page24"/>
    <w:bookmarkEnd w:id="23"/>
    <w:p>
      <w:pPr>
        <w:ind w:right="2879" w:firstLine="837"/>
        <w:spacing w:after="0" w:line="270" w:lineRule="auto"/>
        <w:rPr>
          <w:sz w:val="20"/>
          <w:szCs w:val="20"/>
          <w:color w:val="auto"/>
        </w:rPr>
      </w:pPr>
      <w:r>
        <w:rPr>
          <w:rFonts w:ascii="Courier New" w:cs="Courier New" w:eastAsia="Courier New" w:hAnsi="Courier New"/>
          <w:sz w:val="14"/>
          <w:szCs w:val="14"/>
          <w:color w:val="auto"/>
        </w:rPr>
        <w:t>In relation to the Company's aviation and marine fueling segments, the oil recycling segment is capital intensive. The Company normally utilizes internally generated cash to fund capital expenditures, and secondarily the Company will utilize its available line of credit or enter into leasing or installment note arrangements to match-fund the useful life of certain long-term assets with the related debt. The Company's oil recycling operations also require working capital to purchase and carry an inventory</w:t>
      </w:r>
    </w:p>
    <w:p>
      <w:pPr>
        <w:spacing w:after="0" w:line="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of used oil, as well as the costs of operating the plant until the proceeds from the re-refined oil sales are received.</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Cash and cash equivalents amounted to $10,907,000 at March 31, 1995, as</w:t>
      </w:r>
    </w:p>
    <w:p>
      <w:pPr>
        <w:spacing w:after="0" w:line="1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compared to $7,699,000 at March 31, 1994.</w:t>
      </w:r>
      <w:r>
        <w:rPr>
          <w:sz w:val="20"/>
          <w:szCs w:val="20"/>
          <w:color w:val="auto"/>
        </w:rPr>
        <w:tab/>
      </w:r>
      <w:r>
        <w:rPr>
          <w:rFonts w:ascii="Courier New" w:cs="Courier New" w:eastAsia="Courier New" w:hAnsi="Courier New"/>
          <w:sz w:val="14"/>
          <w:szCs w:val="14"/>
          <w:color w:val="auto"/>
        </w:rPr>
        <w:t>The principal sources of cash during</w:t>
      </w:r>
    </w:p>
    <w:p>
      <w:pPr>
        <w:spacing w:after="0" w:line="236" w:lineRule="auto"/>
        <w:rPr>
          <w:sz w:val="20"/>
          <w:szCs w:val="20"/>
          <w:color w:val="auto"/>
        </w:rPr>
      </w:pPr>
      <w:r>
        <w:rPr>
          <w:rFonts w:ascii="Courier New" w:cs="Courier New" w:eastAsia="Courier New" w:hAnsi="Courier New"/>
          <w:sz w:val="16"/>
          <w:szCs w:val="16"/>
          <w:color w:val="auto"/>
        </w:rPr>
        <w:t>the fiscal year ended March 31, 1995 were $9,299,000 in net cash provided by</w:t>
      </w:r>
    </w:p>
    <w:p>
      <w:pPr>
        <w:spacing w:after="0" w:line="237" w:lineRule="auto"/>
        <w:rPr>
          <w:sz w:val="20"/>
          <w:szCs w:val="20"/>
          <w:color w:val="auto"/>
        </w:rPr>
      </w:pPr>
      <w:r>
        <w:rPr>
          <w:rFonts w:ascii="Courier New" w:cs="Courier New" w:eastAsia="Courier New" w:hAnsi="Courier New"/>
          <w:sz w:val="16"/>
          <w:szCs w:val="16"/>
          <w:color w:val="auto"/>
        </w:rPr>
        <w:t>operating activities, $768,000 from collections on notes receivable, and</w:t>
      </w:r>
    </w:p>
    <w:p>
      <w:pPr>
        <w:spacing w:after="0" w:line="237" w:lineRule="auto"/>
        <w:rPr>
          <w:sz w:val="20"/>
          <w:szCs w:val="20"/>
          <w:color w:val="auto"/>
        </w:rPr>
      </w:pPr>
      <w:r>
        <w:rPr>
          <w:rFonts w:ascii="Courier New" w:cs="Courier New" w:eastAsia="Courier New" w:hAnsi="Courier New"/>
          <w:sz w:val="16"/>
          <w:szCs w:val="16"/>
          <w:color w:val="auto"/>
        </w:rPr>
        <w:t>$918,000 from the issuance of common stock in connection with the exercise of</w:t>
      </w:r>
    </w:p>
    <w:p>
      <w:pPr>
        <w:spacing w:after="0"/>
        <w:tabs>
          <w:tab w:leader="none" w:pos="2120" w:val="left"/>
        </w:tabs>
        <w:rPr>
          <w:sz w:val="20"/>
          <w:szCs w:val="20"/>
          <w:color w:val="auto"/>
        </w:rPr>
      </w:pPr>
      <w:r>
        <w:rPr>
          <w:rFonts w:ascii="Courier New" w:cs="Courier New" w:eastAsia="Courier New" w:hAnsi="Courier New"/>
          <w:sz w:val="16"/>
          <w:szCs w:val="16"/>
          <w:color w:val="auto"/>
        </w:rPr>
        <w:t>warrants and options.</w:t>
      </w:r>
      <w:r>
        <w:rPr>
          <w:sz w:val="20"/>
          <w:szCs w:val="20"/>
          <w:color w:val="auto"/>
        </w:rPr>
        <w:tab/>
      </w:r>
      <w:r>
        <w:rPr>
          <w:rFonts w:ascii="Courier New" w:cs="Courier New" w:eastAsia="Courier New" w:hAnsi="Courier New"/>
          <w:sz w:val="14"/>
          <w:szCs w:val="14"/>
          <w:color w:val="auto"/>
        </w:rPr>
        <w:t>Partially offsetting the increase in cash and cash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 was $3,184,000 used for the purpose of acquiring the Trans-Tec group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companies, $2,194,000 used for the purchase and construction of plant,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and other capital expenditures, net of proceeds from sales of assets,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$717,000 in dividends paid on common stock, and $338,000 in advances to a joint</w:t>
      </w:r>
    </w:p>
    <w:p>
      <w:pPr>
        <w:spacing w:after="0" w:line="20"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venture.</w:t>
      </w:r>
      <w:r>
        <w:rPr>
          <w:sz w:val="20"/>
          <w:szCs w:val="20"/>
          <w:color w:val="auto"/>
        </w:rPr>
        <w:tab/>
      </w:r>
      <w:r>
        <w:rPr>
          <w:rFonts w:ascii="Courier New" w:cs="Courier New" w:eastAsia="Courier New" w:hAnsi="Courier New"/>
          <w:sz w:val="14"/>
          <w:szCs w:val="14"/>
          <w:color w:val="auto"/>
        </w:rPr>
        <w:t>Other components of changes in cash and cash equivalents are detailed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Consolidated Statements of Cash Flows.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Working capital as of March 31, 1995 was $27,520,000, exhibiting a</w:t>
      </w:r>
    </w:p>
    <w:p>
      <w:pPr>
        <w:spacing w:after="0"/>
        <w:tabs>
          <w:tab w:leader="none" w:pos="5920" w:val="left"/>
        </w:tabs>
        <w:rPr>
          <w:sz w:val="20"/>
          <w:szCs w:val="20"/>
          <w:color w:val="auto"/>
        </w:rPr>
      </w:pPr>
      <w:r>
        <w:rPr>
          <w:rFonts w:ascii="Courier New" w:cs="Courier New" w:eastAsia="Courier New" w:hAnsi="Courier New"/>
          <w:sz w:val="16"/>
          <w:szCs w:val="16"/>
          <w:color w:val="auto"/>
        </w:rPr>
        <w:t>$6,979,000 increase from working capital as of March 31, 1994.</w:t>
      </w:r>
      <w:r>
        <w:rPr>
          <w:sz w:val="20"/>
          <w:szCs w:val="20"/>
          <w:color w:val="auto"/>
        </w:rPr>
        <w:tab/>
      </w:r>
      <w:r>
        <w:rPr>
          <w:rFonts w:ascii="Courier New" w:cs="Courier New" w:eastAsia="Courier New" w:hAnsi="Courier New"/>
          <w:sz w:val="14"/>
          <w:szCs w:val="14"/>
          <w:color w:val="auto"/>
        </w:rPr>
        <w:t>As of 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the Company's accounts receivable, excluding the allowance for bad debts,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amounted to $43,366,000, an increase of $21,025,000 as compared to the March 31,</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1994 balance.</w:t>
      </w:r>
      <w:r>
        <w:rPr>
          <w:sz w:val="20"/>
          <w:szCs w:val="20"/>
          <w:color w:val="auto"/>
        </w:rPr>
        <w:tab/>
      </w:r>
      <w:r>
        <w:rPr>
          <w:rFonts w:ascii="Courier New" w:cs="Courier New" w:eastAsia="Courier New" w:hAnsi="Courier New"/>
          <w:sz w:val="14"/>
          <w:szCs w:val="14"/>
          <w:color w:val="auto"/>
        </w:rPr>
        <w:t>This increase was due primarily to the acquisition of the marine</w:t>
      </w:r>
    </w:p>
    <w:p>
      <w:pPr>
        <w:spacing w:after="0"/>
        <w:tabs>
          <w:tab w:leader="none" w:pos="5280" w:val="left"/>
        </w:tabs>
        <w:rPr>
          <w:sz w:val="20"/>
          <w:szCs w:val="20"/>
          <w:color w:val="auto"/>
        </w:rPr>
      </w:pPr>
      <w:r>
        <w:rPr>
          <w:rFonts w:ascii="Courier New" w:cs="Courier New" w:eastAsia="Courier New" w:hAnsi="Courier New"/>
          <w:sz w:val="16"/>
          <w:szCs w:val="16"/>
          <w:color w:val="auto"/>
        </w:rPr>
        <w:t>segment which added $18,347,000 in accounts receivable.</w:t>
      </w:r>
      <w:r>
        <w:rPr>
          <w:sz w:val="20"/>
          <w:szCs w:val="20"/>
          <w:color w:val="auto"/>
        </w:rPr>
        <w:tab/>
      </w:r>
      <w:r>
        <w:rPr>
          <w:rFonts w:ascii="Courier New" w:cs="Courier New" w:eastAsia="Courier New" w:hAnsi="Courier New"/>
          <w:sz w:val="14"/>
          <w:szCs w:val="14"/>
          <w:color w:val="auto"/>
        </w:rPr>
        <w:t>The allowance for</w:t>
      </w:r>
    </w:p>
    <w:p>
      <w:pPr>
        <w:spacing w:after="0" w:line="237" w:lineRule="auto"/>
        <w:rPr>
          <w:sz w:val="20"/>
          <w:szCs w:val="20"/>
          <w:color w:val="auto"/>
        </w:rPr>
      </w:pPr>
      <w:r>
        <w:rPr>
          <w:rFonts w:ascii="Courier New" w:cs="Courier New" w:eastAsia="Courier New" w:hAnsi="Courier New"/>
          <w:sz w:val="16"/>
          <w:szCs w:val="16"/>
          <w:color w:val="auto"/>
        </w:rPr>
        <w:t>doubtful accounts as of March 31, 1995 amounted to $4,566,000, an increase of</w:t>
      </w:r>
    </w:p>
    <w:p>
      <w:pPr>
        <w:spacing w:after="0"/>
        <w:tabs>
          <w:tab w:leader="none" w:pos="5380" w:val="left"/>
        </w:tabs>
        <w:rPr>
          <w:sz w:val="20"/>
          <w:szCs w:val="20"/>
          <w:color w:val="auto"/>
        </w:rPr>
      </w:pPr>
      <w:r>
        <w:rPr>
          <w:rFonts w:ascii="Courier New" w:cs="Courier New" w:eastAsia="Courier New" w:hAnsi="Courier New"/>
          <w:sz w:val="16"/>
          <w:szCs w:val="16"/>
          <w:color w:val="auto"/>
        </w:rPr>
        <w:t>$2,102,000, when compared to the March 31, 1994 balance.</w:t>
      </w:r>
      <w:r>
        <w:rPr>
          <w:sz w:val="20"/>
          <w:szCs w:val="20"/>
          <w:color w:val="auto"/>
        </w:rPr>
        <w:tab/>
      </w:r>
      <w:r>
        <w:rPr>
          <w:rFonts w:ascii="Courier New" w:cs="Courier New" w:eastAsia="Courier New" w:hAnsi="Courier New"/>
          <w:sz w:val="14"/>
          <w:szCs w:val="14"/>
          <w:color w:val="auto"/>
        </w:rPr>
        <w:t>During the fiscal year</w:t>
      </w:r>
    </w:p>
    <w:p>
      <w:pPr>
        <w:spacing w:after="0" w:line="237" w:lineRule="auto"/>
        <w:rPr>
          <w:sz w:val="20"/>
          <w:szCs w:val="20"/>
          <w:color w:val="auto"/>
        </w:rPr>
      </w:pPr>
      <w:r>
        <w:rPr>
          <w:rFonts w:ascii="Courier New" w:cs="Courier New" w:eastAsia="Courier New" w:hAnsi="Courier New"/>
          <w:sz w:val="16"/>
          <w:szCs w:val="16"/>
          <w:color w:val="auto"/>
        </w:rPr>
        <w:t>ended March 31, 1995, the Company charged $2,062,000 to the provision for bad</w:t>
      </w:r>
    </w:p>
    <w:p>
      <w:pPr>
        <w:spacing w:after="0" w:line="237" w:lineRule="auto"/>
        <w:rPr>
          <w:sz w:val="20"/>
          <w:szCs w:val="20"/>
          <w:color w:val="auto"/>
        </w:rPr>
      </w:pPr>
      <w:r>
        <w:rPr>
          <w:rFonts w:ascii="Courier New" w:cs="Courier New" w:eastAsia="Courier New" w:hAnsi="Courier New"/>
          <w:sz w:val="16"/>
          <w:szCs w:val="16"/>
          <w:color w:val="auto"/>
        </w:rPr>
        <w:t>debts and had charge-offs in excess of recoveries of $271,000.</w:t>
      </w:r>
    </w:p>
    <w:p>
      <w:pPr>
        <w:spacing w:after="0" w:line="183" w:lineRule="exact"/>
        <w:rPr>
          <w:sz w:val="20"/>
          <w:szCs w:val="20"/>
          <w:color w:val="auto"/>
        </w:rPr>
      </w:pPr>
    </w:p>
    <w:p>
      <w:pPr>
        <w:ind w:right="3239" w:firstLine="837"/>
        <w:spacing w:after="0" w:line="235" w:lineRule="auto"/>
        <w:rPr>
          <w:sz w:val="20"/>
          <w:szCs w:val="20"/>
          <w:color w:val="auto"/>
        </w:rPr>
      </w:pPr>
      <w:r>
        <w:rPr>
          <w:rFonts w:ascii="Courier New" w:cs="Courier New" w:eastAsia="Courier New" w:hAnsi="Courier New"/>
          <w:sz w:val="16"/>
          <w:szCs w:val="16"/>
          <w:color w:val="auto"/>
        </w:rPr>
        <w:t>Inventories at March 31, 1995 were $933,000 higher as compared to March 31, 1994. This consisted of a $427,000 increase in inventories in the oil recycling segment, and a $506,000 increase in the aviation fueling segment.</w:t>
      </w:r>
    </w:p>
    <w:p>
      <w:pPr>
        <w:spacing w:after="0" w:line="185" w:lineRule="exact"/>
        <w:rPr>
          <w:sz w:val="20"/>
          <w:szCs w:val="20"/>
          <w:color w:val="auto"/>
        </w:rPr>
      </w:pPr>
    </w:p>
    <w:p>
      <w:pPr>
        <w:ind w:right="3719" w:firstLine="837"/>
        <w:spacing w:after="0" w:line="234" w:lineRule="auto"/>
        <w:rPr>
          <w:sz w:val="20"/>
          <w:szCs w:val="20"/>
          <w:color w:val="auto"/>
        </w:rPr>
      </w:pPr>
      <w:r>
        <w:rPr>
          <w:rFonts w:ascii="Courier New" w:cs="Courier New" w:eastAsia="Courier New" w:hAnsi="Courier New"/>
          <w:sz w:val="16"/>
          <w:szCs w:val="16"/>
          <w:color w:val="auto"/>
        </w:rPr>
        <w:t>Capital expenditures for the fiscal year ended March 31, 1995 consisted primarily of $474,000 in construction costs</w:t>
      </w:r>
    </w:p>
    <w:p>
      <w:pPr>
        <w:spacing w:after="0" w:line="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6"/>
          <w:szCs w:val="16"/>
          <w:color w:val="auto"/>
        </w:rPr>
        <w:t>related to the Company's Louisiana plant, $958,000 to acquire trucks utilized in the collection of used oil and petroleum contaminated water, and delivery of recycled products, as well as $298,000 in office equipment and furniture. During fiscal year 1996, the Company anticipates spending approximately $1,000,000 to upgrade plant, machinery and equipment. The Company also anticipates spending an additional estimated $1,000,000 over the next several years to clean up contamination which was present at one of the Company's sites when it was acquired by the Company. Clean up will be capitalized as part of the cost of the site, up to the fair market value of the site.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4" w:right="1440" w:bottom="1440" w:gutter="0" w:footer="0" w:header="0"/>
        </w:sectPr>
      </w:pPr>
    </w:p>
    <w:bookmarkStart w:id="24" w:name="page25"/>
    <w:bookmarkEnd w:id="24"/>
    <w:p>
      <w:pPr>
        <w:ind w:right="3339" w:firstLine="837"/>
        <w:spacing w:after="0" w:line="235" w:lineRule="auto"/>
        <w:rPr>
          <w:sz w:val="20"/>
          <w:szCs w:val="20"/>
          <w:color w:val="auto"/>
        </w:rPr>
      </w:pPr>
      <w:r>
        <w:rPr>
          <w:rFonts w:ascii="Courier New" w:cs="Courier New" w:eastAsia="Courier New" w:hAnsi="Courier New"/>
          <w:sz w:val="16"/>
          <w:szCs w:val="16"/>
          <w:color w:val="auto"/>
        </w:rPr>
        <w:t>Current maturities of long-term debt amounted to $2,128,000 as of March 31, 1995, an increase of $1,842,000. This increase resulted from the issuance of promissory notes, of which $1,830,000 is current, related to the acquisition of the Trans-Tec group of companies.</w:t>
      </w:r>
    </w:p>
    <w:p>
      <w:pPr>
        <w:spacing w:after="0" w:line="185" w:lineRule="exact"/>
        <w:rPr>
          <w:sz w:val="20"/>
          <w:szCs w:val="20"/>
          <w:color w:val="auto"/>
        </w:rPr>
      </w:pPr>
    </w:p>
    <w:p>
      <w:pPr>
        <w:ind w:right="3339" w:firstLine="837"/>
        <w:spacing w:after="0" w:line="235" w:lineRule="auto"/>
        <w:rPr>
          <w:sz w:val="20"/>
          <w:szCs w:val="20"/>
          <w:color w:val="auto"/>
        </w:rPr>
      </w:pPr>
      <w:r>
        <w:rPr>
          <w:rFonts w:ascii="Courier New" w:cs="Courier New" w:eastAsia="Courier New" w:hAnsi="Courier New"/>
          <w:sz w:val="16"/>
          <w:szCs w:val="16"/>
          <w:color w:val="auto"/>
        </w:rPr>
        <w:t>In the aggregate, accounts payable, accrued expenses and customer deposits increased $14,885,000. This increase was largely due to the acquisition of the Trans-Tec group of companies which added</w:t>
      </w:r>
    </w:p>
    <w:p>
      <w:pPr>
        <w:spacing w:after="0" w:line="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$12,316,000 in accounts payable, accrued expenses and customer deposits. Accrued salaries and wages increased $461,000, principally as the result of accrued sales and management performance bonuses pursuant to employment agreements.</w:t>
      </w:r>
    </w:p>
    <w:p>
      <w:pPr>
        <w:spacing w:after="0" w:line="17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Long-term liabilities as of March 31, 1995, were $6,984,000,</w:t>
      </w:r>
    </w:p>
    <w:p>
      <w:pPr>
        <w:spacing w:after="0" w:line="236" w:lineRule="auto"/>
        <w:rPr>
          <w:sz w:val="20"/>
          <w:szCs w:val="20"/>
          <w:color w:val="auto"/>
        </w:rPr>
      </w:pPr>
      <w:r>
        <w:rPr>
          <w:rFonts w:ascii="Courier New" w:cs="Courier New" w:eastAsia="Courier New" w:hAnsi="Courier New"/>
          <w:sz w:val="16"/>
          <w:szCs w:val="16"/>
          <w:color w:val="auto"/>
        </w:rPr>
        <w:t>exhibiting a $6,409,000 increase as compared to March 31, 1994. This</w:t>
      </w:r>
    </w:p>
    <w:p>
      <w:pPr>
        <w:spacing w:after="0" w:line="237" w:lineRule="auto"/>
        <w:rPr>
          <w:sz w:val="20"/>
          <w:szCs w:val="20"/>
          <w:color w:val="auto"/>
        </w:rPr>
      </w:pPr>
      <w:r>
        <w:rPr>
          <w:rFonts w:ascii="Courier New" w:cs="Courier New" w:eastAsia="Courier New" w:hAnsi="Courier New"/>
          <w:sz w:val="16"/>
          <w:szCs w:val="16"/>
          <w:color w:val="auto"/>
        </w:rPr>
        <w:t>increase resulted from the issuance of promissory notes, of which</w:t>
      </w:r>
    </w:p>
    <w:p>
      <w:pPr>
        <w:spacing w:after="0" w:line="237" w:lineRule="auto"/>
        <w:rPr>
          <w:sz w:val="20"/>
          <w:szCs w:val="20"/>
          <w:color w:val="auto"/>
        </w:rPr>
      </w:pPr>
      <w:r>
        <w:rPr>
          <w:rFonts w:ascii="Courier New" w:cs="Courier New" w:eastAsia="Courier New" w:hAnsi="Courier New"/>
          <w:sz w:val="16"/>
          <w:szCs w:val="16"/>
          <w:color w:val="auto"/>
        </w:rPr>
        <w:t>$4,170,000 is long-term, related to the acquisition of the Trans-Tec</w:t>
      </w:r>
    </w:p>
    <w:p>
      <w:pPr>
        <w:spacing w:after="0" w:line="237" w:lineRule="auto"/>
        <w:rPr>
          <w:sz w:val="20"/>
          <w:szCs w:val="20"/>
          <w:color w:val="auto"/>
        </w:rPr>
      </w:pPr>
      <w:r>
        <w:rPr>
          <w:rFonts w:ascii="Courier New" w:cs="Courier New" w:eastAsia="Courier New" w:hAnsi="Courier New"/>
          <w:sz w:val="16"/>
          <w:szCs w:val="16"/>
          <w:color w:val="auto"/>
        </w:rPr>
        <w:t>group of companies. The balance of the increase is the result of</w:t>
      </w:r>
    </w:p>
    <w:p>
      <w:pPr>
        <w:spacing w:after="0" w:line="4"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the reclassification of the $1,300,000 accrued litigation settlement expense from current liabilities to a long-term liability and the assumption of obligations under the Trans-Tec deferred compensation plan which</w:t>
      </w:r>
    </w:p>
    <w:p>
      <w:pPr>
        <w:spacing w:after="0" w:line="1"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amounted to $1,237,000. For additional information, see the accompanying financial statements.</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Stockholders' equity amounted to $52,066,000, or $10.01 per share, at March 31, 1995 compared to $39,971,000, or $8.44 per share, at March 31, 1994. This increase of $12,095,000 was due to $8,088,000 in earnings for</w:t>
      </w:r>
    </w:p>
    <w:p>
      <w:pPr>
        <w:spacing w:after="0" w:line="4"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the period, $4,584,000 resulting from the issuance of common stock in connection with the acquisition of the Trans-Tec group of companies, and $455,000 and $463,000 due to the issuance of common stock pursuant to the exercise of stock options and warrants, respectively. Partially offsetting was $1,509,000 in cash dividends declared.</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The Company's working capital requirements for fiscal year 1996 will increase as a result of acquiring the Trans-Tec group of companies. The Company expects to meet its working capital requirements for fiscal year 1996 from existing cash, operations and additional borrowings, as necessary, under its existing line of credit.</w:t>
      </w:r>
    </w:p>
    <w:p>
      <w:pPr>
        <w:spacing w:after="0" w:line="186"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The Company's business has not been significantly affected by inflation during the periods discussed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25" w:name="page26"/>
    <w:bookmarkEnd w:id="25"/>
    <w:p>
      <w:pPr>
        <w:spacing w:after="0"/>
        <w:tabs>
          <w:tab w:leader="none" w:pos="90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83" w:lineRule="exact"/>
        <w:rPr>
          <w:sz w:val="20"/>
          <w:szCs w:val="20"/>
          <w:color w:val="auto"/>
        </w:rPr>
      </w:pPr>
    </w:p>
    <w:p>
      <w:pPr>
        <w:ind w:right="3339" w:firstLine="837"/>
        <w:spacing w:after="0" w:line="235" w:lineRule="auto"/>
        <w:rPr>
          <w:sz w:val="20"/>
          <w:szCs w:val="20"/>
          <w:color w:val="auto"/>
        </w:rPr>
      </w:pPr>
      <w:r>
        <w:rPr>
          <w:rFonts w:ascii="Courier New" w:cs="Courier New" w:eastAsia="Courier New" w:hAnsi="Courier New"/>
          <w:sz w:val="16"/>
          <w:szCs w:val="16"/>
          <w:color w:val="auto"/>
        </w:rPr>
        <w:t>Attached hereto and filed as a part of this Form 10-K are the financial statements required by Regulation S-X and the supplementary data required by Regulation S-K.</w:t>
      </w:r>
    </w:p>
    <w:p>
      <w:pPr>
        <w:spacing w:after="0" w:line="183" w:lineRule="exact"/>
        <w:rPr>
          <w:sz w:val="20"/>
          <w:szCs w:val="20"/>
          <w:color w:val="auto"/>
        </w:rPr>
      </w:pPr>
    </w:p>
    <w:p>
      <w:pPr>
        <w:ind w:left="920" w:right="481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CHANGES IN AND DISAGREEMENTS WITH ACCOUNTANTS ON ACCOUNTING AND FINANCIAL DISCLOSURE</w:t>
      </w:r>
    </w:p>
    <w:p>
      <w:pPr>
        <w:spacing w:after="0" w:line="4" w:lineRule="exact"/>
        <w:rPr>
          <w:sz w:val="20"/>
          <w:szCs w:val="20"/>
          <w:color w:val="auto"/>
        </w:rPr>
      </w:pPr>
    </w:p>
    <w:p>
      <w:pPr>
        <w:ind w:right="3439" w:firstLine="837"/>
        <w:spacing w:after="0" w:line="235" w:lineRule="auto"/>
        <w:rPr>
          <w:sz w:val="20"/>
          <w:szCs w:val="20"/>
          <w:color w:val="auto"/>
        </w:rPr>
      </w:pPr>
      <w:r>
        <w:rPr>
          <w:rFonts w:ascii="Courier New" w:cs="Courier New" w:eastAsia="Courier New" w:hAnsi="Courier New"/>
          <w:sz w:val="16"/>
          <w:szCs w:val="16"/>
          <w:color w:val="auto"/>
        </w:rPr>
        <w:t>No disagreements with accountants on any matter of accounting principles or practices or financial statement disclosure have been reported on a Form 8-K within the twenty-four months prior to the date of the most recent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27" w:right="1440" w:bottom="1440" w:gutter="0" w:footer="0" w:header="0"/>
        </w:sectPr>
      </w:pPr>
    </w:p>
    <w:bookmarkStart w:id="26" w:name="page27"/>
    <w:bookmarkEnd w:id="26"/>
    <w:p>
      <w:pPr>
        <w:ind w:left="298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83" w:lineRule="exact"/>
        <w:rPr>
          <w:sz w:val="20"/>
          <w:szCs w:val="20"/>
          <w:color w:val="auto"/>
        </w:rPr>
      </w:pPr>
    </w:p>
    <w:p>
      <w:pPr>
        <w:ind w:right="3239" w:firstLine="837"/>
        <w:spacing w:after="0" w:line="276" w:lineRule="auto"/>
        <w:rPr>
          <w:sz w:val="20"/>
          <w:szCs w:val="20"/>
          <w:color w:val="auto"/>
        </w:rPr>
      </w:pPr>
      <w:r>
        <w:rPr>
          <w:rFonts w:ascii="Courier New" w:cs="Courier New" w:eastAsia="Courier New" w:hAnsi="Courier New"/>
          <w:sz w:val="14"/>
          <w:szCs w:val="14"/>
          <w:color w:val="auto"/>
        </w:rPr>
        <w:t>The information concerning the directors and executive officers of the Company set forth under the captions "Election of Directors" and "Information Concerning Executive Officers", respectively in the definitive Proxy Statement of the Company for its 1995 Annual Meeting of Shareholders (the "1995 Proxy Statement") is incorporated herein by reference.</w:t>
      </w:r>
    </w:p>
    <w:p>
      <w:pPr>
        <w:spacing w:after="0" w:line="15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83" w:lineRule="exact"/>
        <w:rPr>
          <w:sz w:val="20"/>
          <w:szCs w:val="20"/>
          <w:color w:val="auto"/>
        </w:rPr>
      </w:pPr>
    </w:p>
    <w:p>
      <w:pPr>
        <w:jc w:val="both"/>
        <w:ind w:right="3439" w:firstLine="837"/>
        <w:spacing w:after="0" w:line="235" w:lineRule="auto"/>
        <w:rPr>
          <w:sz w:val="20"/>
          <w:szCs w:val="20"/>
          <w:color w:val="auto"/>
        </w:rPr>
      </w:pPr>
      <w:r>
        <w:rPr>
          <w:rFonts w:ascii="Courier New" w:cs="Courier New" w:eastAsia="Courier New" w:hAnsi="Courier New"/>
          <w:sz w:val="16"/>
          <w:szCs w:val="16"/>
          <w:color w:val="auto"/>
        </w:rPr>
        <w:t>The information set forth in the 1995 Proxy Statement under the caption "Compensation of Officers" and "Board of Directors - Compensation of Directors" is incorporated herein by reference.</w:t>
      </w:r>
    </w:p>
    <w:p>
      <w:pPr>
        <w:spacing w:after="0" w:line="17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83"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The information set forth under the caption "Principal Stockholders and Security Ownership of Management" in the 1995 Proxy Statement is incorporated herein by reference.</w:t>
      </w:r>
    </w:p>
    <w:p>
      <w:pPr>
        <w:spacing w:after="0" w:line="17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83" w:lineRule="exact"/>
        <w:rPr>
          <w:sz w:val="20"/>
          <w:szCs w:val="20"/>
          <w:color w:val="auto"/>
        </w:rPr>
      </w:pPr>
    </w:p>
    <w:p>
      <w:pPr>
        <w:ind w:right="3439" w:firstLine="837"/>
        <w:spacing w:after="0" w:line="235" w:lineRule="auto"/>
        <w:rPr>
          <w:sz w:val="20"/>
          <w:szCs w:val="20"/>
          <w:color w:val="auto"/>
        </w:rPr>
      </w:pPr>
      <w:r>
        <w:rPr>
          <w:rFonts w:ascii="Courier New" w:cs="Courier New" w:eastAsia="Courier New" w:hAnsi="Courier New"/>
          <w:sz w:val="16"/>
          <w:szCs w:val="16"/>
          <w:color w:val="auto"/>
        </w:rPr>
        <w:t>The information set forth under the caption "Transactions with Management and Others" in the 1995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27" w:right="1440" w:bottom="1440" w:gutter="0" w:footer="0" w:header="0"/>
        </w:sectPr>
      </w:pPr>
    </w:p>
    <w:bookmarkStart w:id="27" w:name="page28"/>
    <w:bookmarkEnd w:id="27"/>
    <w:p>
      <w:pPr>
        <w:ind w:left="2980"/>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EXHIBITS, FINANCIAL STATEMENT</w:t>
      </w:r>
    </w:p>
    <w:p>
      <w:pPr>
        <w:ind w:left="920"/>
        <w:spacing w:after="0" w:line="236" w:lineRule="auto"/>
        <w:rPr>
          <w:sz w:val="20"/>
          <w:szCs w:val="20"/>
          <w:color w:val="auto"/>
        </w:rPr>
      </w:pPr>
      <w:r>
        <w:rPr>
          <w:rFonts w:ascii="Courier New" w:cs="Courier New" w:eastAsia="Courier New" w:hAnsi="Courier New"/>
          <w:sz w:val="16"/>
          <w:szCs w:val="16"/>
          <w:color w:val="auto"/>
        </w:rPr>
        <w:t>SCHEDULES AND REPORTS ON FORM 8-K</w:t>
      </w:r>
    </w:p>
    <w:p>
      <w:pPr>
        <w:spacing w:after="0" w:line="362"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4"/>
          <w:szCs w:val="14"/>
          <w:color w:val="auto"/>
        </w:rPr>
        <w:t>Sequential</w:t>
      </w:r>
    </w:p>
    <w:p>
      <w:pPr>
        <w:spacing w:after="0" w:line="1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color w:val="auto"/>
        </w:rPr>
        <w:t>Page</w:t>
      </w:r>
    </w:p>
    <w:p>
      <w:pPr>
        <w:jc w:val="center"/>
        <w:ind w:right="-1120"/>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(a)(1)</w:t>
      </w:r>
      <w:r>
        <w:rPr>
          <w:sz w:val="20"/>
          <w:szCs w:val="20"/>
          <w:color w:val="auto"/>
        </w:rPr>
        <w:tab/>
      </w:r>
      <w:r>
        <w:rPr>
          <w:rFonts w:ascii="Courier New" w:cs="Courier New" w:eastAsia="Courier New" w:hAnsi="Courier New"/>
          <w:sz w:val="16"/>
          <w:szCs w:val="16"/>
          <w:color w:val="auto"/>
        </w:rPr>
        <w:t>The following Financial Statements</w:t>
      </w:r>
    </w:p>
    <w:p>
      <w:pPr>
        <w:ind w:left="920"/>
        <w:spacing w:after="0" w:line="236" w:lineRule="auto"/>
        <w:rPr>
          <w:sz w:val="20"/>
          <w:szCs w:val="20"/>
          <w:color w:val="auto"/>
        </w:rPr>
      </w:pPr>
      <w:r>
        <w:rPr>
          <w:rFonts w:ascii="Courier New" w:cs="Courier New" w:eastAsia="Courier New" w:hAnsi="Courier New"/>
          <w:sz w:val="16"/>
          <w:szCs w:val="16"/>
          <w:color w:val="auto"/>
        </w:rPr>
        <w:t>are filed as a part of this report:</w:t>
      </w:r>
    </w:p>
    <w:p>
      <w:pPr>
        <w:spacing w:after="0" w:line="177" w:lineRule="exact"/>
        <w:rPr>
          <w:sz w:val="20"/>
          <w:szCs w:val="20"/>
          <w:color w:val="auto"/>
        </w:rPr>
      </w:pPr>
    </w:p>
    <w:p>
      <w:pPr>
        <w:ind w:left="1580" w:hanging="468"/>
        <w:spacing w:after="0"/>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of Independent Certified</w:t>
      </w:r>
    </w:p>
    <w:tbl>
      <w:tblPr>
        <w:tblLayout w:type="fixed"/>
        <w:tblInd w:w="1580" w:type="dxa"/>
        <w:tblCellMar>
          <w:top w:w="0" w:type="dxa"/>
          <w:left w:w="0" w:type="dxa"/>
          <w:bottom w:w="0" w:type="dxa"/>
          <w:right w:w="0" w:type="dxa"/>
        </w:tblCellMar>
      </w:tblP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Public Accountants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bl>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81"/>
        </w:trPr>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w w:val="96"/>
              </w:rPr>
              <w:t>(ii)  Consolidated Balance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Sheets</w:t>
            </w:r>
          </w:p>
        </w:tc>
        <w:tc>
          <w:tcPr>
            <w:tcW w:w="840" w:type="dxa"/>
            <w:vAlign w:val="bottom"/>
          </w:tcPr>
          <w:p>
            <w:pPr>
              <w:spacing w:after="0"/>
              <w:rPr>
                <w:sz w:val="15"/>
                <w:szCs w:val="15"/>
                <w:color w:val="auto"/>
              </w:rPr>
            </w:pPr>
          </w:p>
        </w:tc>
      </w:tr>
      <w:tr>
        <w:trPr>
          <w:trHeight w:val="179"/>
        </w:trPr>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as of March 31, 1995</w:t>
            </w:r>
          </w:p>
        </w:tc>
        <w:tc>
          <w:tcPr>
            <w:tcW w:w="14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and 1994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w:t>
            </w:r>
          </w:p>
        </w:tc>
      </w:tr>
    </w:tbl>
    <w:p>
      <w:pPr>
        <w:spacing w:after="0" w:line="177" w:lineRule="exact"/>
        <w:rPr>
          <w:sz w:val="20"/>
          <w:szCs w:val="20"/>
          <w:color w:val="auto"/>
        </w:rPr>
      </w:pPr>
    </w:p>
    <w:p>
      <w:pPr>
        <w:ind w:left="1580" w:hanging="654"/>
        <w:spacing w:after="0"/>
        <w:tabs>
          <w:tab w:leader="none" w:pos="1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Statements of Income</w:t>
      </w:r>
    </w:p>
    <w:p>
      <w:pPr>
        <w:sectPr>
          <w:pgSz w:w="11900" w:h="16838" w:orient="portrait"/>
          <w:cols w:equalWidth="0" w:num="1">
            <w:col w:w="10219"/>
          </w:cols>
          <w:pgMar w:left="240" w:top="648" w:right="1440" w:bottom="1440" w:gutter="0" w:footer="0" w:header="0"/>
        </w:sectPr>
      </w:pP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the Years Ended March 31,</w:t>
      </w:r>
    </w:p>
    <w:p>
      <w:pPr>
        <w:spacing w:after="0" w:line="1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1995, 1994 and 1993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pacing w:after="0" w:line="199" w:lineRule="exact"/>
        <w:rPr>
          <w:sz w:val="20"/>
          <w:szCs w:val="20"/>
          <w:color w:val="auto"/>
        </w:rPr>
      </w:pPr>
    </w:p>
    <w:p>
      <w:pPr>
        <w:sectPr>
          <w:pgSz w:w="11900" w:h="16838" w:orient="portrait"/>
          <w:cols w:equalWidth="0" w:num="2">
            <w:col w:w="4860" w:space="720"/>
            <w:col w:w="4639"/>
          </w:cols>
          <w:pgMar w:left="240" w:top="648" w:right="1440" w:bottom="1440" w:gutter="0" w:footer="0" w:header="0"/>
          <w:type w:val="continuous"/>
        </w:sectPr>
      </w:pPr>
    </w:p>
    <w:p>
      <w:pPr>
        <w:ind w:left="1580" w:right="5579" w:hanging="561"/>
        <w:spacing w:after="0" w:line="270"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Stock-holders' Equity for the Years</w:t>
      </w:r>
    </w:p>
    <w:tbl>
      <w:tblPr>
        <w:tblLayout w:type="fixed"/>
        <w:tblInd w:w="1120" w:type="dxa"/>
        <w:tblCellMar>
          <w:top w:w="0" w:type="dxa"/>
          <w:left w:w="0" w:type="dxa"/>
          <w:bottom w:w="0" w:type="dxa"/>
          <w:right w:w="0" w:type="dxa"/>
        </w:tblCellMar>
      </w:tblPr>
      <w:tr>
        <w:trPr>
          <w:trHeight w:val="176"/>
        </w:trPr>
        <w:tc>
          <w:tcPr>
            <w:tcW w:w="3900" w:type="dxa"/>
            <w:vAlign w:val="bottom"/>
          </w:tcPr>
          <w:p>
            <w:pPr>
              <w:ind w:left="460"/>
              <w:spacing w:after="0" w:line="176" w:lineRule="exact"/>
              <w:rPr>
                <w:sz w:val="20"/>
                <w:szCs w:val="20"/>
                <w:color w:val="auto"/>
              </w:rPr>
            </w:pPr>
            <w:r>
              <w:rPr>
                <w:rFonts w:ascii="Courier New" w:cs="Courier New" w:eastAsia="Courier New" w:hAnsi="Courier New"/>
                <w:sz w:val="16"/>
                <w:szCs w:val="16"/>
                <w:color w:val="auto"/>
              </w:rPr>
              <w:t>Ended March 31, 1995, 1994 and</w:t>
            </w:r>
          </w:p>
        </w:tc>
        <w:tc>
          <w:tcPr>
            <w:tcW w:w="740" w:type="dxa"/>
            <w:vAlign w:val="bottom"/>
          </w:tcPr>
          <w:p>
            <w:pPr>
              <w:spacing w:after="0"/>
              <w:rPr>
                <w:sz w:val="15"/>
                <w:szCs w:val="15"/>
                <w:color w:val="auto"/>
              </w:rPr>
            </w:pPr>
          </w:p>
        </w:tc>
      </w:tr>
      <w:tr>
        <w:trPr>
          <w:trHeight w:val="179"/>
        </w:trPr>
        <w:tc>
          <w:tcPr>
            <w:tcW w:w="3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(v)  Consolidated Statements of Cash</w:t>
            </w:r>
          </w:p>
        </w:tc>
        <w:tc>
          <w:tcPr>
            <w:tcW w:w="740" w:type="dxa"/>
            <w:vAlign w:val="bottom"/>
          </w:tcPr>
          <w:p>
            <w:pPr>
              <w:spacing w:after="0"/>
              <w:rPr>
                <w:sz w:val="24"/>
                <w:szCs w:val="24"/>
                <w:color w:val="auto"/>
              </w:rPr>
            </w:pPr>
          </w:p>
        </w:tc>
      </w:tr>
      <w:tr>
        <w:trPr>
          <w:trHeight w:val="179"/>
        </w:trPr>
        <w:tc>
          <w:tcPr>
            <w:tcW w:w="3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Flows for the Years Ended March</w:t>
            </w:r>
          </w:p>
        </w:tc>
        <w:tc>
          <w:tcPr>
            <w:tcW w:w="740" w:type="dxa"/>
            <w:vAlign w:val="bottom"/>
          </w:tcPr>
          <w:p>
            <w:pPr>
              <w:spacing w:after="0"/>
              <w:rPr>
                <w:sz w:val="15"/>
                <w:szCs w:val="15"/>
                <w:color w:val="auto"/>
              </w:rPr>
            </w:pPr>
          </w:p>
        </w:tc>
      </w:tr>
      <w:tr>
        <w:trPr>
          <w:trHeight w:val="179"/>
        </w:trPr>
        <w:tc>
          <w:tcPr>
            <w:tcW w:w="3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31, 1995, 1994 and 1993</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w:t>
            </w:r>
          </w:p>
        </w:tc>
      </w:tr>
    </w:tbl>
    <w:p>
      <w:pPr>
        <w:spacing w:after="0" w:line="177" w:lineRule="exact"/>
        <w:rPr>
          <w:sz w:val="20"/>
          <w:szCs w:val="20"/>
          <w:color w:val="auto"/>
        </w:rPr>
      </w:pPr>
    </w:p>
    <w:p>
      <w:pPr>
        <w:ind w:left="1580" w:hanging="561"/>
        <w:spacing w:after="0"/>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to Consolidated Financial</w:t>
      </w:r>
    </w:p>
    <w:tbl>
      <w:tblPr>
        <w:tblLayout w:type="fixed"/>
        <w:tblInd w:w="1580" w:type="dxa"/>
        <w:tblCellMar>
          <w:top w:w="0" w:type="dxa"/>
          <w:left w:w="0" w:type="dxa"/>
          <w:bottom w:w="0" w:type="dxa"/>
          <w:right w:w="0" w:type="dxa"/>
        </w:tblCellMar>
      </w:tblPr>
      <w:tr>
        <w:trPr>
          <w:trHeight w:val="179"/>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Statements</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r>
    </w:tbl>
    <w:p>
      <w:pPr>
        <w:spacing w:after="0" w:line="355"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(a)(2)</w:t>
      </w:r>
      <w:r>
        <w:rPr>
          <w:sz w:val="20"/>
          <w:szCs w:val="20"/>
          <w:color w:val="auto"/>
        </w:rPr>
        <w:tab/>
      </w:r>
      <w:r>
        <w:rPr>
          <w:rFonts w:ascii="Courier New" w:cs="Courier New" w:eastAsia="Courier New" w:hAnsi="Courier New"/>
          <w:sz w:val="16"/>
          <w:szCs w:val="16"/>
          <w:color w:val="auto"/>
        </w:rPr>
        <w:t>The following Financial Statement</w:t>
      </w:r>
    </w:p>
    <w:p>
      <w:pPr>
        <w:ind w:left="1020"/>
        <w:spacing w:after="0" w:line="236" w:lineRule="auto"/>
        <w:rPr>
          <w:sz w:val="20"/>
          <w:szCs w:val="20"/>
          <w:color w:val="auto"/>
        </w:rPr>
      </w:pPr>
      <w:r>
        <w:rPr>
          <w:rFonts w:ascii="Courier New" w:cs="Courier New" w:eastAsia="Courier New" w:hAnsi="Courier New"/>
          <w:sz w:val="16"/>
          <w:szCs w:val="16"/>
          <w:color w:val="auto"/>
        </w:rPr>
        <w:t>Schedule is filed as a part of</w:t>
      </w:r>
    </w:p>
    <w:p>
      <w:pPr>
        <w:ind w:left="1020"/>
        <w:spacing w:after="0" w:line="237" w:lineRule="auto"/>
        <w:rPr>
          <w:sz w:val="20"/>
          <w:szCs w:val="20"/>
          <w:color w:val="auto"/>
        </w:rPr>
      </w:pPr>
      <w:r>
        <w:rPr>
          <w:rFonts w:ascii="Courier New" w:cs="Courier New" w:eastAsia="Courier New" w:hAnsi="Courier New"/>
          <w:sz w:val="16"/>
          <w:szCs w:val="16"/>
          <w:color w:val="auto"/>
        </w:rPr>
        <w:t>this report:</w:t>
      </w:r>
    </w:p>
    <w:p>
      <w:pPr>
        <w:spacing w:after="0" w:line="177" w:lineRule="exact"/>
        <w:rPr>
          <w:sz w:val="20"/>
          <w:szCs w:val="20"/>
          <w:color w:val="auto"/>
        </w:rPr>
      </w:pPr>
    </w:p>
    <w:p>
      <w:pPr>
        <w:ind w:left="2700" w:hanging="1030"/>
        <w:spacing w:after="0"/>
        <w:tabs>
          <w:tab w:leader="none" w:pos="2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II - Valuation and</w:t>
      </w:r>
    </w:p>
    <w:tbl>
      <w:tblPr>
        <w:tblLayout w:type="fixed"/>
        <w:tblInd w:w="2700" w:type="dxa"/>
        <w:tblCellMar>
          <w:top w:w="0" w:type="dxa"/>
          <w:left w:w="0" w:type="dxa"/>
          <w:bottom w:w="0" w:type="dxa"/>
          <w:right w:w="0" w:type="dxa"/>
        </w:tblCellMar>
      </w:tblPr>
      <w:tr>
        <w:trPr>
          <w:trHeight w:val="179"/>
        </w:trPr>
        <w:tc>
          <w:tcPr>
            <w:tcW w:w="2360" w:type="dxa"/>
            <w:vAlign w:val="bottom"/>
          </w:tcPr>
          <w:p>
            <w:pPr>
              <w:spacing w:after="0" w:line="179" w:lineRule="exact"/>
              <w:rPr>
                <w:sz w:val="20"/>
                <w:szCs w:val="20"/>
                <w:color w:val="auto"/>
              </w:rPr>
            </w:pPr>
            <w:r>
              <w:rPr>
                <w:rFonts w:ascii="Courier New" w:cs="Courier New" w:eastAsia="Courier New" w:hAnsi="Courier New"/>
                <w:sz w:val="16"/>
                <w:szCs w:val="16"/>
                <w:color w:val="auto"/>
              </w:rPr>
              <w:t>Qualifying Accounts.</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19"/>
          </w:cols>
          <w:pgMar w:left="240" w:top="648" w:right="1440" w:bottom="1440" w:gutter="0" w:footer="0" w:header="0"/>
          <w:type w:val="continuous"/>
        </w:sectPr>
      </w:pPr>
    </w:p>
    <w:bookmarkStart w:id="28" w:name="page29"/>
    <w:bookmarkEnd w:id="28"/>
    <w:p>
      <w:pPr>
        <w:ind w:left="1580"/>
        <w:spacing w:after="0"/>
        <w:rPr>
          <w:sz w:val="20"/>
          <w:szCs w:val="20"/>
          <w:color w:val="auto"/>
        </w:rPr>
      </w:pPr>
      <w:r>
        <w:rPr>
          <w:rFonts w:ascii="Courier New" w:cs="Courier New" w:eastAsia="Courier New" w:hAnsi="Courier New"/>
          <w:sz w:val="16"/>
          <w:szCs w:val="16"/>
          <w:color w:val="auto"/>
        </w:rPr>
        <w:t>Schedules not set forth herein</w:t>
      </w:r>
    </w:p>
    <w:p>
      <w:pPr>
        <w:ind w:left="1580"/>
        <w:spacing w:after="0" w:line="236" w:lineRule="auto"/>
        <w:rPr>
          <w:sz w:val="20"/>
          <w:szCs w:val="20"/>
          <w:color w:val="auto"/>
        </w:rPr>
      </w:pPr>
      <w:r>
        <w:rPr>
          <w:rFonts w:ascii="Courier New" w:cs="Courier New" w:eastAsia="Courier New" w:hAnsi="Courier New"/>
          <w:sz w:val="16"/>
          <w:szCs w:val="16"/>
          <w:color w:val="auto"/>
        </w:rPr>
        <w:t>have been omitted either because</w:t>
      </w:r>
    </w:p>
    <w:p>
      <w:pPr>
        <w:ind w:left="1580"/>
        <w:spacing w:after="0" w:line="237" w:lineRule="auto"/>
        <w:rPr>
          <w:sz w:val="20"/>
          <w:szCs w:val="20"/>
          <w:color w:val="auto"/>
        </w:rPr>
      </w:pPr>
      <w:r>
        <w:rPr>
          <w:rFonts w:ascii="Courier New" w:cs="Courier New" w:eastAsia="Courier New" w:hAnsi="Courier New"/>
          <w:sz w:val="16"/>
          <w:szCs w:val="16"/>
          <w:color w:val="auto"/>
        </w:rPr>
        <w:t>the required information is set</w:t>
      </w:r>
    </w:p>
    <w:p>
      <w:pPr>
        <w:ind w:left="1580"/>
        <w:spacing w:after="0" w:line="237" w:lineRule="auto"/>
        <w:rPr>
          <w:sz w:val="20"/>
          <w:szCs w:val="20"/>
          <w:color w:val="auto"/>
        </w:rPr>
      </w:pPr>
      <w:r>
        <w:rPr>
          <w:rFonts w:ascii="Courier New" w:cs="Courier New" w:eastAsia="Courier New" w:hAnsi="Courier New"/>
          <w:sz w:val="16"/>
          <w:szCs w:val="16"/>
          <w:color w:val="auto"/>
        </w:rPr>
        <w:t>forth in the Consolidated Financial</w:t>
      </w:r>
    </w:p>
    <w:p>
      <w:pPr>
        <w:ind w:left="1580"/>
        <w:spacing w:after="0" w:line="237" w:lineRule="auto"/>
        <w:rPr>
          <w:sz w:val="20"/>
          <w:szCs w:val="20"/>
          <w:color w:val="auto"/>
        </w:rPr>
      </w:pPr>
      <w:r>
        <w:rPr>
          <w:rFonts w:ascii="Courier New" w:cs="Courier New" w:eastAsia="Courier New" w:hAnsi="Courier New"/>
          <w:sz w:val="16"/>
          <w:szCs w:val="16"/>
          <w:color w:val="auto"/>
        </w:rPr>
        <w:t>Statements or Notes thereto, or the</w:t>
      </w:r>
    </w:p>
    <w:p>
      <w:pPr>
        <w:ind w:left="1580"/>
        <w:spacing w:after="0" w:line="237" w:lineRule="auto"/>
        <w:rPr>
          <w:sz w:val="20"/>
          <w:szCs w:val="20"/>
          <w:color w:val="auto"/>
        </w:rPr>
      </w:pPr>
      <w:r>
        <w:rPr>
          <w:rFonts w:ascii="Courier New" w:cs="Courier New" w:eastAsia="Courier New" w:hAnsi="Courier New"/>
          <w:sz w:val="16"/>
          <w:szCs w:val="16"/>
          <w:color w:val="auto"/>
        </w:rPr>
        <w:t>information called for is not required.</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(a)(3)</w:t>
      </w:r>
      <w:r>
        <w:rPr>
          <w:sz w:val="20"/>
          <w:szCs w:val="20"/>
          <w:color w:val="auto"/>
        </w:rPr>
        <w:tab/>
      </w:r>
      <w:r>
        <w:rPr>
          <w:rFonts w:ascii="Courier New" w:cs="Courier New" w:eastAsia="Courier New" w:hAnsi="Courier New"/>
          <w:sz w:val="16"/>
          <w:szCs w:val="16"/>
          <w:color w:val="auto"/>
        </w:rPr>
        <w:t>The Exhibits set forth in the following</w:t>
      </w:r>
    </w:p>
    <w:p>
      <w:pPr>
        <w:ind w:left="920"/>
        <w:spacing w:after="0" w:line="236" w:lineRule="auto"/>
        <w:rPr>
          <w:sz w:val="20"/>
          <w:szCs w:val="20"/>
          <w:color w:val="auto"/>
        </w:rPr>
      </w:pPr>
      <w:r>
        <w:rPr>
          <w:rFonts w:ascii="Courier New" w:cs="Courier New" w:eastAsia="Courier New" w:hAnsi="Courier New"/>
          <w:sz w:val="16"/>
          <w:szCs w:val="16"/>
          <w:color w:val="auto"/>
        </w:rPr>
        <w:t>index of Exhibits are filed as a part</w:t>
      </w:r>
    </w:p>
    <w:p>
      <w:pPr>
        <w:ind w:left="920"/>
        <w:spacing w:after="0" w:line="237" w:lineRule="auto"/>
        <w:rPr>
          <w:sz w:val="20"/>
          <w:szCs w:val="20"/>
          <w:color w:val="auto"/>
        </w:rPr>
      </w:pPr>
      <w:r>
        <w:rPr>
          <w:rFonts w:ascii="Courier New" w:cs="Courier New" w:eastAsia="Courier New" w:hAnsi="Courier New"/>
          <w:sz w:val="16"/>
          <w:szCs w:val="16"/>
          <w:color w:val="auto"/>
        </w:rPr>
        <w:t>of this report:</w:t>
      </w:r>
    </w:p>
    <w:p>
      <w:pPr>
        <w:spacing w:after="0" w:line="177" w:lineRule="exact"/>
        <w:rPr>
          <w:sz w:val="20"/>
          <w:szCs w:val="20"/>
          <w:color w:val="auto"/>
        </w:rPr>
      </w:pPr>
    </w:p>
    <w:p>
      <w:pPr>
        <w:ind w:left="1660"/>
        <w:spacing w:after="0"/>
        <w:tabs>
          <w:tab w:leader="none" w:pos="4060"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4"/>
          <w:szCs w:val="14"/>
          <w:color w:val="auto"/>
        </w:rPr>
        <w:t>DESCRIPTION</w:t>
      </w:r>
    </w:p>
    <w:p>
      <w:pPr>
        <w:ind w:left="1660"/>
        <w:spacing w:after="0" w:line="236" w:lineRule="auto"/>
        <w:tabs>
          <w:tab w:leader="none" w:pos="40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140" w:right="3519" w:hanging="470"/>
        <w:spacing w:after="0" w:line="234" w:lineRule="auto"/>
        <w:tabs>
          <w:tab w:leader="none" w:pos="2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of acquisition, reorganization, arrangement, liquidation or succession:</w:t>
      </w:r>
    </w:p>
    <w:p>
      <w:pPr>
        <w:spacing w:after="0" w:line="183" w:lineRule="exact"/>
        <w:rPr>
          <w:rFonts w:ascii="Courier New" w:cs="Courier New" w:eastAsia="Courier New" w:hAnsi="Courier New"/>
          <w:sz w:val="16"/>
          <w:szCs w:val="16"/>
          <w:color w:val="auto"/>
        </w:rPr>
      </w:pPr>
    </w:p>
    <w:p>
      <w:pPr>
        <w:ind w:left="3340" w:right="3519" w:hanging="833"/>
        <w:spacing w:after="0" w:line="273" w:lineRule="auto"/>
        <w:tabs>
          <w:tab w:leader="none" w:pos="33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Agreement dated December 9, 1994 among International Recovery Corp., Trans-Tec Services, Inc., Trans-Tec Servicios, S.A., Theofilos A. Vatis, Michael J. Kasbar, Paul H. Stebbins, and Stacey A. Polites is incorporated by reference to the Company's Form 8-K filed January 18, 1995.</w:t>
      </w:r>
    </w:p>
    <w:p>
      <w:pPr>
        <w:spacing w:after="0" w:line="159" w:lineRule="exact"/>
        <w:rPr>
          <w:rFonts w:ascii="Courier New" w:cs="Courier New" w:eastAsia="Courier New" w:hAnsi="Courier New"/>
          <w:sz w:val="14"/>
          <w:szCs w:val="14"/>
          <w:color w:val="auto"/>
        </w:rPr>
      </w:pPr>
    </w:p>
    <w:p>
      <w:pPr>
        <w:ind w:left="2500" w:hanging="830"/>
        <w:spacing w:after="0"/>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Incorporation and By-laws:</w:t>
      </w:r>
    </w:p>
    <w:p>
      <w:pPr>
        <w:spacing w:after="0" w:line="182" w:lineRule="exact"/>
        <w:rPr>
          <w:rFonts w:ascii="Courier New" w:cs="Courier New" w:eastAsia="Courier New" w:hAnsi="Courier New"/>
          <w:sz w:val="16"/>
          <w:szCs w:val="16"/>
          <w:color w:val="auto"/>
        </w:rPr>
      </w:pPr>
    </w:p>
    <w:p>
      <w:pPr>
        <w:ind w:left="3340" w:right="4179" w:hanging="833"/>
        <w:spacing w:after="0" w:line="276" w:lineRule="auto"/>
        <w:tabs>
          <w:tab w:leader="none" w:pos="33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are incorporated by reference to the Company's Registration Statement on Form S-18 filed February 3, 1986.</w:t>
      </w:r>
    </w:p>
    <w:p>
      <w:pPr>
        <w:spacing w:after="0" w:line="161" w:lineRule="exact"/>
        <w:rPr>
          <w:rFonts w:ascii="Courier New" w:cs="Courier New" w:eastAsia="Courier New" w:hAnsi="Courier New"/>
          <w:sz w:val="14"/>
          <w:szCs w:val="14"/>
          <w:color w:val="auto"/>
        </w:rPr>
      </w:pPr>
    </w:p>
    <w:p>
      <w:pPr>
        <w:ind w:left="3340" w:right="4079" w:hanging="833"/>
        <w:spacing w:after="0" w:line="279" w:lineRule="auto"/>
        <w:tabs>
          <w:tab w:leader="none" w:pos="33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are incorporated by reference to the Company's Registration Statement on Form S-18 filed February 3, 1986.</w:t>
      </w:r>
    </w:p>
    <w:p>
      <w:pPr>
        <w:spacing w:after="0" w:line="156" w:lineRule="exact"/>
        <w:rPr>
          <w:rFonts w:ascii="Courier New" w:cs="Courier New" w:eastAsia="Courier New" w:hAnsi="Courier New"/>
          <w:sz w:val="14"/>
          <w:szCs w:val="14"/>
          <w:color w:val="auto"/>
        </w:rPr>
      </w:pPr>
    </w:p>
    <w:p>
      <w:pPr>
        <w:ind w:left="2500" w:right="4079" w:hanging="830"/>
        <w:spacing w:after="0" w:line="234" w:lineRule="auto"/>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rights of security holders:</w:t>
      </w:r>
    </w:p>
    <w:p>
      <w:pPr>
        <w:spacing w:after="0" w:line="183" w:lineRule="exact"/>
        <w:rPr>
          <w:rFonts w:ascii="Courier New" w:cs="Courier New" w:eastAsia="Courier New" w:hAnsi="Courier New"/>
          <w:sz w:val="16"/>
          <w:szCs w:val="16"/>
          <w:color w:val="auto"/>
        </w:rPr>
      </w:pPr>
    </w:p>
    <w:p>
      <w:pPr>
        <w:ind w:left="3340" w:right="4179" w:hanging="833"/>
        <w:spacing w:after="0" w:line="276" w:lineRule="auto"/>
        <w:tabs>
          <w:tab w:leader="none" w:pos="33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Stock Option Plan is incorporated by reference to the Company's Registration Statement on Form S-18 filed February 3, 1986.</w:t>
      </w:r>
    </w:p>
    <w:p>
      <w:pPr>
        <w:spacing w:after="0" w:line="161" w:lineRule="exact"/>
        <w:rPr>
          <w:rFonts w:ascii="Courier New" w:cs="Courier New" w:eastAsia="Courier New" w:hAnsi="Courier New"/>
          <w:sz w:val="14"/>
          <w:szCs w:val="14"/>
          <w:color w:val="auto"/>
        </w:rPr>
      </w:pPr>
    </w:p>
    <w:p>
      <w:pPr>
        <w:ind w:left="3340" w:right="3619" w:hanging="833"/>
        <w:spacing w:after="0" w:line="235" w:lineRule="auto"/>
        <w:tabs>
          <w:tab w:leader="none" w:pos="334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1993 Non-Employee Directors Stock Option Plan is incorporated by reference to the Company's Schedule 14A filed June 28, 1994.</w:t>
      </w:r>
    </w:p>
    <w:p>
      <w:pPr>
        <w:spacing w:after="0" w:line="178"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827" w:right="1440" w:bottom="1440" w:gutter="0" w:footer="0" w:header="0"/>
        </w:sectPr>
      </w:pPr>
    </w:p>
    <w:bookmarkStart w:id="29" w:name="page30"/>
    <w:bookmarkEnd w:id="29"/>
    <w:p>
      <w:pPr>
        <w:ind w:left="1300" w:hanging="1295"/>
        <w:spacing w:after="0"/>
        <w:tabs>
          <w:tab w:leader="none" w:pos="13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w:t>
      </w:r>
    </w:p>
    <w:p>
      <w:pPr>
        <w:spacing w:after="0" w:line="182" w:lineRule="exact"/>
        <w:rPr>
          <w:rFonts w:ascii="Courier New" w:cs="Courier New" w:eastAsia="Courier New" w:hAnsi="Courier New"/>
          <w:sz w:val="16"/>
          <w:szCs w:val="16"/>
          <w:color w:val="auto"/>
        </w:rPr>
      </w:pPr>
    </w:p>
    <w:p>
      <w:pPr>
        <w:ind w:left="2140" w:right="3519" w:hanging="833"/>
        <w:spacing w:after="0" w:line="235" w:lineRule="auto"/>
        <w:tabs>
          <w:tab w:leader="none" w:pos="21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 incorporated by reference to the Company's Report on Form 10-K filed June 17, 1991:</w:t>
      </w:r>
    </w:p>
    <w:p>
      <w:pPr>
        <w:spacing w:after="0" w:line="183" w:lineRule="exact"/>
        <w:rPr>
          <w:rFonts w:ascii="Courier New" w:cs="Courier New" w:eastAsia="Courier New" w:hAnsi="Courier New"/>
          <w:sz w:val="16"/>
          <w:szCs w:val="16"/>
          <w:color w:val="auto"/>
        </w:rPr>
      </w:pPr>
    </w:p>
    <w:p>
      <w:pPr>
        <w:ind w:left="2800" w:right="3159" w:hanging="470"/>
        <w:spacing w:after="0" w:line="236" w:lineRule="auto"/>
        <w:tabs>
          <w:tab w:leader="none" w:pos="2800" w:val="left"/>
        </w:tabs>
        <w:numPr>
          <w:ilvl w:val="3"/>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Loan Agreement and Credit Facility, dated March 1, 1991, among The Citizens &amp; Southern National Bank (now known as NationsBank of Florida, N.A.), International Recovery and its subsidiaries.</w:t>
      </w:r>
    </w:p>
    <w:p>
      <w:pPr>
        <w:spacing w:after="0" w:line="183" w:lineRule="exact"/>
        <w:rPr>
          <w:rFonts w:ascii="Courier New" w:cs="Courier New" w:eastAsia="Courier New" w:hAnsi="Courier New"/>
          <w:sz w:val="16"/>
          <w:szCs w:val="16"/>
          <w:color w:val="auto"/>
        </w:rPr>
      </w:pPr>
    </w:p>
    <w:p>
      <w:pPr>
        <w:ind w:left="2800" w:right="2959" w:hanging="563"/>
        <w:spacing w:after="0" w:line="275" w:lineRule="auto"/>
        <w:tabs>
          <w:tab w:leader="none" w:pos="2800" w:val="left"/>
        </w:tabs>
        <w:numPr>
          <w:ilvl w:val="3"/>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dated March 1, 1991, executed by International Recovery Corp. and its subsidiaries in favor of The Citizens &amp; Southern National Bank (now known as NationsBank of Florida, N.A.)</w:t>
      </w:r>
    </w:p>
    <w:p>
      <w:pPr>
        <w:spacing w:after="0" w:line="161" w:lineRule="exact"/>
        <w:rPr>
          <w:rFonts w:ascii="Courier New" w:cs="Courier New" w:eastAsia="Courier New" w:hAnsi="Courier New"/>
          <w:sz w:val="14"/>
          <w:szCs w:val="14"/>
          <w:color w:val="auto"/>
        </w:rPr>
      </w:pPr>
    </w:p>
    <w:p>
      <w:pPr>
        <w:jc w:val="both"/>
        <w:ind w:left="2140" w:right="3799" w:hanging="833"/>
        <w:spacing w:after="0" w:line="283" w:lineRule="auto"/>
        <w:tabs>
          <w:tab w:leader="none" w:pos="214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 incorporated by reference to the Company's Report on Form 10-K filed May 24, 1993.</w:t>
      </w:r>
    </w:p>
    <w:p>
      <w:pPr>
        <w:spacing w:after="0" w:line="154" w:lineRule="exact"/>
        <w:rPr>
          <w:rFonts w:ascii="Courier New" w:cs="Courier New" w:eastAsia="Courier New" w:hAnsi="Courier New"/>
          <w:sz w:val="14"/>
          <w:szCs w:val="14"/>
          <w:color w:val="auto"/>
        </w:rPr>
      </w:pPr>
    </w:p>
    <w:p>
      <w:pPr>
        <w:ind w:left="2880" w:right="3159" w:hanging="550"/>
        <w:spacing w:after="0" w:line="236" w:lineRule="auto"/>
        <w:tabs>
          <w:tab w:leader="none" w:pos="2880" w:val="left"/>
        </w:tabs>
        <w:numPr>
          <w:ilvl w:val="3"/>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Employment Agreement with Phillip S. Bradley, dated November 10, 1992, amending and restating his employment and non-competition agreements.</w:t>
      </w:r>
    </w:p>
    <w:p>
      <w:pPr>
        <w:spacing w:after="0" w:line="182" w:lineRule="exact"/>
        <w:rPr>
          <w:rFonts w:ascii="Courier New" w:cs="Courier New" w:eastAsia="Courier New" w:hAnsi="Courier New"/>
          <w:sz w:val="16"/>
          <w:szCs w:val="16"/>
          <w:color w:val="auto"/>
        </w:rPr>
      </w:pPr>
    </w:p>
    <w:p>
      <w:pPr>
        <w:ind w:left="2140" w:right="3519" w:hanging="833"/>
        <w:spacing w:after="0" w:line="235" w:lineRule="auto"/>
        <w:tabs>
          <w:tab w:leader="none" w:pos="21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 incorporated by reference to the Company's Report on Form 10-K filed May 9, 1994.</w:t>
      </w:r>
    </w:p>
    <w:p>
      <w:pPr>
        <w:spacing w:after="0" w:line="183" w:lineRule="exact"/>
        <w:rPr>
          <w:rFonts w:ascii="Courier New" w:cs="Courier New" w:eastAsia="Courier New" w:hAnsi="Courier New"/>
          <w:sz w:val="16"/>
          <w:szCs w:val="16"/>
          <w:color w:val="auto"/>
        </w:rPr>
      </w:pPr>
    </w:p>
    <w:p>
      <w:pPr>
        <w:ind w:left="3080" w:right="3239" w:hanging="936"/>
        <w:spacing w:after="0" w:line="235" w:lineRule="auto"/>
        <w:tabs>
          <w:tab w:leader="none" w:pos="308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Amendment No. 2 dated January 21, 1994 among NationsBank of Florida, N.A., International Recovery Corp. and its subsidiaries.</w:t>
      </w:r>
    </w:p>
    <w:p>
      <w:pPr>
        <w:spacing w:after="0" w:line="185" w:lineRule="exact"/>
        <w:rPr>
          <w:rFonts w:ascii="Courier New" w:cs="Courier New" w:eastAsia="Courier New" w:hAnsi="Courier New"/>
          <w:sz w:val="16"/>
          <w:szCs w:val="16"/>
          <w:color w:val="auto"/>
        </w:rPr>
      </w:pPr>
    </w:p>
    <w:p>
      <w:pPr>
        <w:ind w:left="3080" w:right="3059" w:hanging="936"/>
        <w:spacing w:after="0" w:line="276" w:lineRule="auto"/>
        <w:tabs>
          <w:tab w:leader="none" w:pos="3080"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dated January 21, 1994, executed by International Recovery Corp. and its subsidiaries in favor of NationsBank of Florida,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019"/>
          </w:cols>
          <w:pgMar w:left="1440" w:top="648" w:right="1440" w:bottom="1440" w:gutter="0" w:footer="0" w:header="0"/>
        </w:sectPr>
      </w:pPr>
    </w:p>
    <w:bookmarkStart w:id="30" w:name="page31"/>
    <w:bookmarkEnd w:id="30"/>
    <w:p>
      <w:pPr>
        <w:ind w:left="3265" w:hanging="753"/>
        <w:spacing w:after="0"/>
        <w:tabs>
          <w:tab w:leader="none" w:pos="326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filed with this Form 10-K.</w:t>
      </w:r>
    </w:p>
    <w:p>
      <w:pPr>
        <w:spacing w:after="0" w:line="199" w:lineRule="exact"/>
        <w:rPr>
          <w:rFonts w:ascii="Courier New" w:cs="Courier New" w:eastAsia="Courier New" w:hAnsi="Courier New"/>
          <w:sz w:val="14"/>
          <w:szCs w:val="14"/>
          <w:color w:val="auto"/>
        </w:rPr>
      </w:pPr>
    </w:p>
    <w:p>
      <w:pPr>
        <w:ind w:left="4285" w:right="3059" w:hanging="936"/>
        <w:spacing w:after="0" w:line="283" w:lineRule="auto"/>
        <w:tabs>
          <w:tab w:leader="none" w:pos="4285"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Employment Agreement with Jerrold Blair, dated February 15, 1995.</w:t>
      </w:r>
    </w:p>
    <w:p>
      <w:pPr>
        <w:spacing w:after="0" w:line="154" w:lineRule="exact"/>
        <w:rPr>
          <w:rFonts w:ascii="Courier New" w:cs="Courier New" w:eastAsia="Courier New" w:hAnsi="Courier New"/>
          <w:sz w:val="14"/>
          <w:szCs w:val="14"/>
          <w:color w:val="auto"/>
        </w:rPr>
      </w:pPr>
    </w:p>
    <w:p>
      <w:pPr>
        <w:ind w:left="4285" w:right="3059" w:hanging="936"/>
        <w:spacing w:after="0" w:line="283" w:lineRule="auto"/>
        <w:tabs>
          <w:tab w:leader="none" w:pos="4285"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Employment Agreement with Ralph Weiser, dated February 15, 1995.</w:t>
      </w:r>
    </w:p>
    <w:p>
      <w:pPr>
        <w:spacing w:after="0" w:line="154" w:lineRule="exact"/>
        <w:rPr>
          <w:rFonts w:ascii="Courier New" w:cs="Courier New" w:eastAsia="Courier New" w:hAnsi="Courier New"/>
          <w:sz w:val="14"/>
          <w:szCs w:val="14"/>
          <w:color w:val="auto"/>
        </w:rPr>
      </w:pPr>
    </w:p>
    <w:p>
      <w:pPr>
        <w:ind w:left="4285" w:right="2959" w:hanging="936"/>
        <w:spacing w:after="0" w:line="276" w:lineRule="auto"/>
        <w:tabs>
          <w:tab w:leader="none" w:pos="4285"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Amendment Agreement dated May 5, 1995, No. 3 among NationsBank of Florida, N.A., International Recovery Corp. and its subsidiaries.</w:t>
      </w:r>
    </w:p>
    <w:p>
      <w:pPr>
        <w:spacing w:after="0" w:line="161" w:lineRule="exact"/>
        <w:rPr>
          <w:rFonts w:ascii="Courier New" w:cs="Courier New" w:eastAsia="Courier New" w:hAnsi="Courier New"/>
          <w:sz w:val="14"/>
          <w:szCs w:val="14"/>
          <w:color w:val="auto"/>
        </w:rPr>
      </w:pPr>
    </w:p>
    <w:p>
      <w:pPr>
        <w:ind w:left="4285" w:right="2959" w:hanging="936"/>
        <w:spacing w:after="0" w:line="235" w:lineRule="auto"/>
        <w:tabs>
          <w:tab w:leader="none" w:pos="428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 dated January 3, 1995, executed by International Recovery Corp. in favor of Theofilos A. Vatis.</w:t>
      </w:r>
    </w:p>
    <w:p>
      <w:pPr>
        <w:spacing w:after="0" w:line="184" w:lineRule="exact"/>
        <w:rPr>
          <w:rFonts w:ascii="Courier New" w:cs="Courier New" w:eastAsia="Courier New" w:hAnsi="Courier New"/>
          <w:sz w:val="16"/>
          <w:szCs w:val="16"/>
          <w:color w:val="auto"/>
        </w:rPr>
      </w:pPr>
    </w:p>
    <w:p>
      <w:pPr>
        <w:ind w:left="4285" w:right="2959" w:hanging="936"/>
        <w:spacing w:after="0" w:line="235" w:lineRule="auto"/>
        <w:tabs>
          <w:tab w:leader="none" w:pos="428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 dated January 3, 1995, executed by International Recovery Corp. in favor of Michael J. Kasbar.</w:t>
      </w:r>
    </w:p>
    <w:p>
      <w:pPr>
        <w:spacing w:after="0" w:line="184" w:lineRule="exact"/>
        <w:rPr>
          <w:rFonts w:ascii="Courier New" w:cs="Courier New" w:eastAsia="Courier New" w:hAnsi="Courier New"/>
          <w:sz w:val="16"/>
          <w:szCs w:val="16"/>
          <w:color w:val="auto"/>
        </w:rPr>
      </w:pPr>
    </w:p>
    <w:p>
      <w:pPr>
        <w:ind w:left="4285" w:right="2959" w:hanging="936"/>
        <w:spacing w:after="0" w:line="235" w:lineRule="auto"/>
        <w:tabs>
          <w:tab w:leader="none" w:pos="428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 dated January 3, 1995, executed by International Recovery Corp. in favor of Paul H. Stebbins.</w:t>
      </w:r>
    </w:p>
    <w:p>
      <w:pPr>
        <w:spacing w:after="0" w:line="184" w:lineRule="exact"/>
        <w:rPr>
          <w:rFonts w:ascii="Courier New" w:cs="Courier New" w:eastAsia="Courier New" w:hAnsi="Courier New"/>
          <w:sz w:val="16"/>
          <w:szCs w:val="16"/>
          <w:color w:val="auto"/>
        </w:rPr>
      </w:pPr>
    </w:p>
    <w:p>
      <w:pPr>
        <w:ind w:left="4285" w:right="2959" w:hanging="936"/>
        <w:spacing w:after="0" w:line="235" w:lineRule="auto"/>
        <w:tabs>
          <w:tab w:leader="none" w:pos="428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 dated January 3, 1995, executed by International Recovery Corp. in favor of Stacey A. Polites.</w:t>
      </w:r>
    </w:p>
    <w:p>
      <w:pPr>
        <w:spacing w:after="0" w:line="178"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(21) Subsidiaries of the Registrant</w:t>
      </w:r>
    </w:p>
    <w:p>
      <w:pPr>
        <w:spacing w:after="0" w:line="183" w:lineRule="exact"/>
        <w:rPr>
          <w:sz w:val="20"/>
          <w:szCs w:val="20"/>
          <w:color w:val="auto"/>
        </w:rPr>
      </w:pPr>
    </w:p>
    <w:p>
      <w:pPr>
        <w:ind w:left="2985" w:right="4279" w:hanging="473"/>
        <w:spacing w:after="0" w:line="234" w:lineRule="auto"/>
        <w:tabs>
          <w:tab w:leader="none" w:pos="29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Independent Certified Public Accountants</w:t>
      </w:r>
    </w:p>
    <w:p>
      <w:pPr>
        <w:spacing w:after="0" w:line="177" w:lineRule="exact"/>
        <w:rPr>
          <w:sz w:val="20"/>
          <w:szCs w:val="20"/>
          <w:color w:val="auto"/>
        </w:rPr>
      </w:pPr>
    </w:p>
    <w:p>
      <w:pPr>
        <w:ind w:left="2985" w:hanging="473"/>
        <w:spacing w:after="0"/>
        <w:tabs>
          <w:tab w:leader="none" w:pos="298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82" w:lineRule="exact"/>
        <w:rPr>
          <w:rFonts w:ascii="Courier New" w:cs="Courier New" w:eastAsia="Courier New" w:hAnsi="Courier New"/>
          <w:sz w:val="16"/>
          <w:szCs w:val="16"/>
          <w:color w:val="auto"/>
        </w:rPr>
      </w:pPr>
    </w:p>
    <w:p>
      <w:pPr>
        <w:ind w:left="845" w:right="2959" w:hanging="845"/>
        <w:spacing w:after="0" w:line="234" w:lineRule="auto"/>
        <w:tabs>
          <w:tab w:leader="none" w:pos="8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Form 8-K was filed during the Company's fiscal year ended March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65"/>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4"/>
          </w:cols>
          <w:pgMar w:left="235" w:top="654" w:right="1440" w:bottom="1440" w:gutter="0" w:footer="0" w:header="0"/>
        </w:sectPr>
      </w:pPr>
    </w:p>
    <w:bookmarkStart w:id="31" w:name="page32"/>
    <w:bookmarkEnd w:id="31"/>
    <w:p>
      <w:pPr>
        <w:ind w:left="2780"/>
        <w:spacing w:after="0"/>
        <w:rPr>
          <w:sz w:val="20"/>
          <w:szCs w:val="20"/>
          <w:color w:val="auto"/>
        </w:rPr>
      </w:pPr>
      <w:r>
        <w:rPr>
          <w:rFonts w:ascii="Courier New" w:cs="Courier New" w:eastAsia="Courier New" w:hAnsi="Courier New"/>
          <w:sz w:val="16"/>
          <w:szCs w:val="16"/>
          <w:color w:val="auto"/>
        </w:rPr>
        <w:t>SIGNATURES</w:t>
      </w:r>
    </w:p>
    <w:p>
      <w:pPr>
        <w:spacing w:after="0" w:line="362" w:lineRule="exact"/>
        <w:rPr>
          <w:sz w:val="20"/>
          <w:szCs w:val="20"/>
          <w:color w:val="auto"/>
        </w:rPr>
      </w:pPr>
    </w:p>
    <w:p>
      <w:pPr>
        <w:jc w:val="both"/>
        <w:ind w:right="3719"/>
        <w:spacing w:after="0" w:line="283"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INTERNATIONAL RECOVERY CORP.</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3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By: /S/ Jerrold Blair</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Jerrold Blair, President</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By: /S/ Carlos A. Abaunza</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Carlos A. Abaunza, Chief</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Financial Officer</w:t>
            </w:r>
          </w:p>
        </w:tc>
      </w:tr>
    </w:tbl>
    <w:p>
      <w:pPr>
        <w:spacing w:after="0" w:line="18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760" w:type="dxa"/>
            <w:vAlign w:val="bottom"/>
          </w:tcPr>
          <w:p>
            <w:pPr>
              <w:ind w:left="700"/>
              <w:spacing w:after="0"/>
              <w:rPr>
                <w:sz w:val="20"/>
                <w:szCs w:val="20"/>
                <w:color w:val="auto"/>
              </w:rPr>
            </w:pPr>
            <w:r>
              <w:rPr>
                <w:rFonts w:ascii="Courier New" w:cs="Courier New" w:eastAsia="Courier New" w:hAnsi="Courier New"/>
                <w:sz w:val="16"/>
                <w:szCs w:val="16"/>
                <w:color w:val="auto"/>
              </w:rPr>
              <w:t>By: /S/ Ralph R. Weiser</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Ralph R. Weiser, Director</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760" w:type="dxa"/>
            <w:vAlign w:val="bottom"/>
          </w:tcPr>
          <w:p>
            <w:pPr>
              <w:ind w:left="700"/>
              <w:spacing w:after="0"/>
              <w:rPr>
                <w:sz w:val="20"/>
                <w:szCs w:val="20"/>
                <w:color w:val="auto"/>
              </w:rPr>
            </w:pPr>
            <w:r>
              <w:rPr>
                <w:rFonts w:ascii="Courier New" w:cs="Courier New" w:eastAsia="Courier New" w:hAnsi="Courier New"/>
                <w:sz w:val="16"/>
                <w:szCs w:val="16"/>
                <w:color w:val="auto"/>
              </w:rPr>
              <w:t>By: /S/ Jerrold Blair</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Jerrold Blair, Director</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760" w:type="dxa"/>
            <w:vAlign w:val="bottom"/>
          </w:tcPr>
          <w:p>
            <w:pPr>
              <w:ind w:left="700"/>
              <w:spacing w:after="0"/>
              <w:rPr>
                <w:sz w:val="20"/>
                <w:szCs w:val="20"/>
                <w:color w:val="auto"/>
              </w:rPr>
            </w:pPr>
            <w:r>
              <w:rPr>
                <w:rFonts w:ascii="Courier New" w:cs="Courier New" w:eastAsia="Courier New" w:hAnsi="Courier New"/>
                <w:sz w:val="16"/>
                <w:szCs w:val="16"/>
                <w:color w:val="auto"/>
              </w:rPr>
              <w:t>By: /S/ Phillip S. Bradley</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w w:val="99"/>
              </w:rPr>
              <w:t>Phillip S. Bradley, Director</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760" w:type="dxa"/>
            <w:vAlign w:val="bottom"/>
          </w:tcPr>
          <w:p>
            <w:pPr>
              <w:ind w:left="700"/>
              <w:spacing w:after="0"/>
              <w:rPr>
                <w:sz w:val="20"/>
                <w:szCs w:val="20"/>
                <w:color w:val="auto"/>
              </w:rPr>
            </w:pPr>
            <w:r>
              <w:rPr>
                <w:rFonts w:ascii="Courier New" w:cs="Courier New" w:eastAsia="Courier New" w:hAnsi="Courier New"/>
                <w:sz w:val="16"/>
                <w:szCs w:val="16"/>
                <w:color w:val="auto"/>
              </w:rPr>
              <w:t>By: /S/ Ralph Feuerring</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Ralph Feuerring, Director</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760" w:type="dxa"/>
            <w:vAlign w:val="bottom"/>
          </w:tcPr>
          <w:p>
            <w:pPr>
              <w:ind w:left="700"/>
              <w:spacing w:after="0"/>
              <w:rPr>
                <w:sz w:val="20"/>
                <w:szCs w:val="20"/>
                <w:color w:val="auto"/>
              </w:rPr>
            </w:pPr>
            <w:r>
              <w:rPr>
                <w:rFonts w:ascii="Courier New" w:cs="Courier New" w:eastAsia="Courier New" w:hAnsi="Courier New"/>
                <w:sz w:val="16"/>
                <w:szCs w:val="16"/>
                <w:color w:val="auto"/>
              </w:rPr>
              <w:t>By: /S/ John R. Benbow</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John R. Benbow, Director</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760" w:type="dxa"/>
            <w:vAlign w:val="bottom"/>
          </w:tcPr>
          <w:p>
            <w:pPr>
              <w:ind w:left="700"/>
              <w:spacing w:after="0"/>
              <w:rPr>
                <w:sz w:val="20"/>
                <w:szCs w:val="20"/>
                <w:color w:val="auto"/>
              </w:rPr>
            </w:pPr>
            <w:r>
              <w:rPr>
                <w:rFonts w:ascii="Courier New" w:cs="Courier New" w:eastAsia="Courier New" w:hAnsi="Courier New"/>
                <w:sz w:val="16"/>
                <w:szCs w:val="16"/>
                <w:color w:val="auto"/>
              </w:rPr>
              <w:t>By: /S/ Celestin Durand III</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w w:val="96"/>
              </w:rPr>
              <w:t>Celestin Durand III, Director</w:t>
            </w:r>
          </w:p>
        </w:tc>
      </w:tr>
      <w:tr>
        <w:trPr>
          <w:trHeight w:val="537"/>
        </w:trPr>
        <w:tc>
          <w:tcPr>
            <w:tcW w:w="64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May 22, 1995</w:t>
            </w:r>
          </w:p>
        </w:tc>
        <w:tc>
          <w:tcPr>
            <w:tcW w:w="3760" w:type="dxa"/>
            <w:vAlign w:val="bottom"/>
          </w:tcPr>
          <w:p>
            <w:pPr>
              <w:ind w:left="700"/>
              <w:spacing w:after="0"/>
              <w:rPr>
                <w:sz w:val="20"/>
                <w:szCs w:val="20"/>
                <w:color w:val="auto"/>
              </w:rPr>
            </w:pPr>
            <w:r>
              <w:rPr>
                <w:rFonts w:ascii="Courier New" w:cs="Courier New" w:eastAsia="Courier New" w:hAnsi="Courier New"/>
                <w:sz w:val="16"/>
                <w:szCs w:val="16"/>
                <w:color w:val="auto"/>
              </w:rPr>
              <w:t>By: /S/ Myles Klein</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Myles Klein, Director</w:t>
            </w:r>
          </w:p>
        </w:tc>
      </w:tr>
      <w:tr>
        <w:trPr>
          <w:trHeight w:val="716"/>
        </w:trPr>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tcPr>
          <w:p>
            <w:pPr>
              <w:ind w:left="3100"/>
              <w:spacing w:after="0"/>
              <w:rPr>
                <w:sz w:val="20"/>
                <w:szCs w:val="20"/>
                <w:color w:val="auto"/>
              </w:rPr>
            </w:pPr>
            <w:r>
              <w:rPr>
                <w:rFonts w:ascii="Courier New" w:cs="Courier New" w:eastAsia="Courier New" w:hAnsi="Courier New"/>
                <w:sz w:val="16"/>
                <w:szCs w:val="16"/>
                <w:color w:val="auto"/>
              </w:rPr>
              <w:t>-30-</w:t>
            </w:r>
          </w:p>
        </w:tc>
      </w:tr>
    </w:tbl>
    <w:p>
      <w:pPr>
        <w:sectPr>
          <w:pgSz w:w="11900" w:h="16838" w:orient="portrait"/>
          <w:cols w:equalWidth="0" w:num="1">
            <w:col w:w="10219"/>
          </w:cols>
          <w:pgMar w:left="240" w:top="827" w:right="1440" w:bottom="1440" w:gutter="0" w:footer="0" w:header="0"/>
        </w:sectPr>
      </w:pPr>
    </w:p>
    <w:bookmarkStart w:id="32" w:name="page33"/>
    <w:bookmarkEnd w:id="32"/>
    <w:p>
      <w:pPr>
        <w:ind w:left="1300"/>
        <w:spacing w:after="0"/>
        <w:rPr>
          <w:sz w:val="20"/>
          <w:szCs w:val="20"/>
          <w:color w:val="auto"/>
        </w:rPr>
      </w:pPr>
      <w:r>
        <w:rPr>
          <w:rFonts w:ascii="Courier New" w:cs="Courier New" w:eastAsia="Courier New" w:hAnsi="Courier New"/>
          <w:sz w:val="16"/>
          <w:szCs w:val="16"/>
          <w:color w:val="auto"/>
        </w:rPr>
        <w:t>REPORT OF INDEPENDENT CERTIFIED PUBLIC ACCOUNTANTS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ind w:left="180"/>
        <w:spacing w:after="0" w:line="236" w:lineRule="auto"/>
        <w:rPr>
          <w:sz w:val="20"/>
          <w:szCs w:val="20"/>
          <w:color w:val="auto"/>
        </w:rPr>
      </w:pPr>
      <w:r>
        <w:rPr>
          <w:rFonts w:ascii="Courier New" w:cs="Courier New" w:eastAsia="Courier New" w:hAnsi="Courier New"/>
          <w:sz w:val="16"/>
          <w:szCs w:val="16"/>
          <w:color w:val="auto"/>
        </w:rPr>
        <w:t>International Recovery Corp.:</w:t>
      </w:r>
    </w:p>
    <w:p>
      <w:pPr>
        <w:spacing w:after="0" w:line="183" w:lineRule="exact"/>
        <w:rPr>
          <w:sz w:val="20"/>
          <w:szCs w:val="20"/>
          <w:color w:val="auto"/>
        </w:rPr>
      </w:pPr>
    </w:p>
    <w:p>
      <w:pPr>
        <w:ind w:right="3439"/>
        <w:spacing w:after="0" w:line="236" w:lineRule="auto"/>
        <w:rPr>
          <w:sz w:val="20"/>
          <w:szCs w:val="20"/>
          <w:color w:val="auto"/>
        </w:rPr>
      </w:pPr>
      <w:r>
        <w:rPr>
          <w:rFonts w:ascii="Courier New" w:cs="Courier New" w:eastAsia="Courier New" w:hAnsi="Courier New"/>
          <w:sz w:val="16"/>
          <w:szCs w:val="16"/>
          <w:color w:val="auto"/>
        </w:rPr>
        <w:t>We have audited the accompanying consolidated balance sheets of International Recovery Corp. (a Florida corporation) and subsidiaries as of March 31, 1995 and 1994, and the related consolidated statements of income, stockholders' equity and cash flows for each of the three years in the period ended March 31, 1995.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185" w:lineRule="exact"/>
        <w:rPr>
          <w:sz w:val="20"/>
          <w:szCs w:val="20"/>
          <w:color w:val="auto"/>
        </w:rPr>
      </w:pPr>
    </w:p>
    <w:p>
      <w:pPr>
        <w:ind w:right="3439"/>
        <w:spacing w:after="0" w:line="23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3439"/>
        <w:spacing w:after="0" w:line="236"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International Recovery Corp. and subsidiaries as of March 31, 1995 and 1994, and the results of their operations and their cash flows for each of the three years in the period ended March 31, 1995 in conformity with generally accepted accounting principles.</w:t>
      </w:r>
    </w:p>
    <w:p>
      <w:pPr>
        <w:spacing w:after="0" w:line="183" w:lineRule="exact"/>
        <w:rPr>
          <w:sz w:val="20"/>
          <w:szCs w:val="20"/>
          <w:color w:val="auto"/>
        </w:rPr>
      </w:pPr>
    </w:p>
    <w:p>
      <w:pPr>
        <w:ind w:right="3519"/>
        <w:spacing w:after="0" w:line="236" w:lineRule="auto"/>
        <w:rPr>
          <w:sz w:val="20"/>
          <w:szCs w:val="20"/>
          <w:color w:val="auto"/>
        </w:rPr>
      </w:pPr>
      <w:r>
        <w:rPr>
          <w:rFonts w:ascii="Courier New" w:cs="Courier New" w:eastAsia="Courier New" w:hAnsi="Courier New"/>
          <w:sz w:val="16"/>
          <w:szCs w:val="16"/>
          <w:color w:val="auto"/>
        </w:rPr>
        <w:t>Our audit was made for the purpose of forming an opinion on the basic financial statements taken as a whole. The schedule listed in Item 14 (a)(2)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ANDERSEN LLP</w:t>
      </w:r>
    </w:p>
    <w:p>
      <w:pPr>
        <w:spacing w:after="0" w:line="362" w:lineRule="exact"/>
        <w:rPr>
          <w:sz w:val="20"/>
          <w:szCs w:val="20"/>
          <w:color w:val="auto"/>
        </w:rPr>
      </w:pPr>
    </w:p>
    <w:p>
      <w:pPr>
        <w:jc w:val="right"/>
        <w:ind w:right="8819"/>
        <w:spacing w:after="0"/>
        <w:rPr>
          <w:sz w:val="20"/>
          <w:szCs w:val="20"/>
          <w:color w:val="auto"/>
        </w:rPr>
      </w:pPr>
      <w:r>
        <w:rPr>
          <w:rFonts w:ascii="Courier New" w:cs="Courier New" w:eastAsia="Courier New" w:hAnsi="Courier New"/>
          <w:sz w:val="14"/>
          <w:szCs w:val="14"/>
          <w:color w:val="auto"/>
        </w:rPr>
        <w:t>Miami, Florida,</w:t>
      </w:r>
    </w:p>
    <w:p>
      <w:pPr>
        <w:spacing w:after="0" w:line="14" w:lineRule="exact"/>
        <w:rPr>
          <w:sz w:val="20"/>
          <w:szCs w:val="20"/>
          <w:color w:val="auto"/>
        </w:rPr>
      </w:pPr>
    </w:p>
    <w:p>
      <w:pPr>
        <w:jc w:val="right"/>
        <w:ind w:right="8819"/>
        <w:spacing w:after="0"/>
        <w:rPr>
          <w:sz w:val="20"/>
          <w:szCs w:val="20"/>
          <w:color w:val="auto"/>
        </w:rPr>
      </w:pPr>
      <w:r>
        <w:rPr>
          <w:rFonts w:ascii="Courier New" w:cs="Courier New" w:eastAsia="Courier New" w:hAnsi="Courier New"/>
          <w:sz w:val="16"/>
          <w:szCs w:val="16"/>
          <w:color w:val="auto"/>
        </w:rPr>
        <w:t>May 19,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48" w:right="1440" w:bottom="1440" w:gutter="0" w:footer="0" w:header="0"/>
        </w:sectPr>
      </w:pPr>
    </w:p>
    <w:bookmarkStart w:id="33" w:name="page34"/>
    <w:bookmarkEnd w:id="33"/>
    <w:p>
      <w:pPr>
        <w:ind w:left="2140"/>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 BALANCE SHEETS</w:t>
            </w:r>
          </w:p>
        </w:tc>
        <w:tc>
          <w:tcPr>
            <w:tcW w:w="1060" w:type="dxa"/>
            <w:vAlign w:val="bottom"/>
          </w:tcPr>
          <w:p>
            <w:pPr>
              <w:spacing w:after="0"/>
              <w:rPr>
                <w:sz w:val="15"/>
                <w:szCs w:val="15"/>
                <w:color w:val="auto"/>
              </w:rPr>
            </w:pPr>
          </w:p>
        </w:tc>
      </w:tr>
      <w:tr>
        <w:trPr>
          <w:trHeight w:val="358"/>
        </w:trPr>
        <w:tc>
          <w:tcPr>
            <w:tcW w:w="3900" w:type="dxa"/>
            <w:vAlign w:val="bottom"/>
          </w:tcPr>
          <w:p>
            <w:pPr>
              <w:spacing w:after="0"/>
              <w:rPr>
                <w:sz w:val="24"/>
                <w:szCs w:val="24"/>
                <w:color w:val="auto"/>
              </w:rPr>
            </w:pPr>
          </w:p>
        </w:tc>
        <w:tc>
          <w:tcPr>
            <w:tcW w:w="182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ASSETS</w:t>
            </w:r>
          </w:p>
        </w:tc>
        <w:tc>
          <w:tcPr>
            <w:tcW w:w="1060" w:type="dxa"/>
            <w:vAlign w:val="bottom"/>
          </w:tcPr>
          <w:p>
            <w:pPr>
              <w:spacing w:after="0"/>
              <w:rPr>
                <w:sz w:val="24"/>
                <w:szCs w:val="24"/>
                <w:color w:val="auto"/>
              </w:rPr>
            </w:pPr>
          </w:p>
        </w:tc>
      </w:tr>
      <w:tr>
        <w:trPr>
          <w:trHeight w:val="358"/>
        </w:trPr>
        <w:tc>
          <w:tcPr>
            <w:tcW w:w="3900" w:type="dxa"/>
            <w:vAlign w:val="bottom"/>
          </w:tcPr>
          <w:p>
            <w:pPr>
              <w:spacing w:after="0"/>
              <w:rPr>
                <w:sz w:val="24"/>
                <w:szCs w:val="24"/>
                <w:color w:val="auto"/>
              </w:rPr>
            </w:pPr>
          </w:p>
        </w:tc>
        <w:tc>
          <w:tcPr>
            <w:tcW w:w="288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3900" w:type="dxa"/>
            <w:vAlign w:val="bottom"/>
          </w:tcPr>
          <w:p>
            <w:pPr>
              <w:spacing w:after="0"/>
              <w:rPr>
                <w:sz w:val="15"/>
                <w:szCs w:val="15"/>
                <w:color w:val="auto"/>
              </w:rPr>
            </w:pPr>
          </w:p>
        </w:tc>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$10,907,000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$ 7,699,000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net of allowance</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for bad debts of $4,566,000 and</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$2,464,000 at March 31,1995</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and 1994, respectively</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38,800,000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19,877,000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Inventories</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3,714,000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2,781,000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Prepaid expenses and other current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assets</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4,585,000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3,325,000</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9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58,006,000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33,682,000</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 cost: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Land</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705,000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705,000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Buildings and improvements</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2,929,000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3,272,000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Office equipment and furniture</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2,394,000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1,549,000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Plant, machinery and equipment</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15,052,000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12,751,000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Construction in progress</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184,000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1,089,000</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21,264,000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19,366,000</w:t>
            </w:r>
          </w:p>
        </w:tc>
      </w:tr>
      <w:tr>
        <w:trPr>
          <w:trHeight w:val="358"/>
        </w:trPr>
        <w:tc>
          <w:tcPr>
            <w:tcW w:w="3900" w:type="dxa"/>
            <w:vAlign w:val="bottom"/>
          </w:tcPr>
          <w:p>
            <w:pPr>
              <w:ind w:left="180"/>
              <w:spacing w:after="0"/>
              <w:rPr>
                <w:sz w:val="20"/>
                <w:szCs w:val="20"/>
                <w:color w:val="auto"/>
              </w:rPr>
            </w:pPr>
            <w:r>
              <w:rPr>
                <w:rFonts w:ascii="Courier New" w:cs="Courier New" w:eastAsia="Courier New" w:hAnsi="Courier New"/>
                <w:sz w:val="16"/>
                <w:szCs w:val="16"/>
                <w:color w:val="auto"/>
              </w:rPr>
              <w:t>Less accumulated depreciation</w:t>
            </w: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and amortization</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5,680,000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4,950,000</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15,584,000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14,416,000</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Unamortized cost in excess of net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assets of acquired companies, net of</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accumulated amortization</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12,391,000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1,847,000</w:t>
            </w:r>
          </w:p>
        </w:tc>
      </w:tr>
      <w:tr>
        <w:trPr>
          <w:trHeight w:val="179"/>
        </w:trPr>
        <w:tc>
          <w:tcPr>
            <w:tcW w:w="3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w:t>
            </w: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3,555,000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3,742,000</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$89,536,000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$53,687,000</w:t>
            </w:r>
          </w:p>
        </w:tc>
      </w:tr>
      <w:tr>
        <w:trPr>
          <w:trHeight w:val="179"/>
        </w:trPr>
        <w:tc>
          <w:tcPr>
            <w:tcW w:w="39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(Continued)</w:t>
      </w:r>
    </w:p>
    <w:p>
      <w:pPr>
        <w:spacing w:after="0" w:line="177"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827" w:right="1440" w:bottom="1440" w:gutter="0" w:footer="0" w:header="0"/>
        </w:sectPr>
      </w:pPr>
    </w:p>
    <w:bookmarkStart w:id="34" w:name="page35"/>
    <w:bookmarkEnd w:id="34"/>
    <w:p>
      <w:pPr>
        <w:ind w:left="2040"/>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CONSOLIDATED BALANCE SHEETS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8"/>
        </w:trPr>
        <w:tc>
          <w:tcPr>
            <w:tcW w:w="5660" w:type="dxa"/>
            <w:vAlign w:val="bottom"/>
            <w:gridSpan w:val="2"/>
          </w:tcPr>
          <w:p>
            <w:pPr>
              <w:jc w:val="right"/>
              <w:ind w:right="942"/>
              <w:spacing w:after="0"/>
              <w:rPr>
                <w:sz w:val="20"/>
                <w:szCs w:val="20"/>
                <w:color w:val="auto"/>
              </w:rPr>
            </w:pPr>
            <w:r>
              <w:rPr>
                <w:rFonts w:ascii="Courier New" w:cs="Courier New" w:eastAsia="Courier New" w:hAnsi="Courier New"/>
                <w:sz w:val="16"/>
                <w:szCs w:val="16"/>
                <w:color w:val="auto"/>
              </w:rPr>
              <w:t>(Continued)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LIABILITIES AND STOCKHOLDERS' EQUITY</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4040" w:type="dxa"/>
            <w:vAlign w:val="bottom"/>
          </w:tcPr>
          <w:p>
            <w:pPr>
              <w:spacing w:after="0"/>
              <w:rPr>
                <w:sz w:val="24"/>
                <w:szCs w:val="24"/>
                <w:color w:val="auto"/>
              </w:rPr>
            </w:pPr>
          </w:p>
        </w:tc>
        <w:tc>
          <w:tcPr>
            <w:tcW w:w="266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4040" w:type="dxa"/>
            <w:vAlign w:val="bottom"/>
          </w:tcPr>
          <w:p>
            <w:pPr>
              <w:spacing w:after="0"/>
              <w:rPr>
                <w:sz w:val="15"/>
                <w:szCs w:val="15"/>
                <w:color w:val="auto"/>
              </w:rPr>
            </w:pPr>
          </w:p>
        </w:tc>
        <w:tc>
          <w:tcPr>
            <w:tcW w:w="26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Current maturities of long-term debt</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$ 2,128,000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286,000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24,334,000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9,908,000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Customer deposits</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1,559,000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1,100,000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salaries and wages</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747,000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286,000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litigation settlement expense</w:t>
            </w:r>
          </w:p>
        </w:tc>
        <w:tc>
          <w:tcPr>
            <w:tcW w:w="16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1,300,000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1,718,000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261,000</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0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30,486,000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13,141,000</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Long-term debt, net of current maturities</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4,447,000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575,000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litigation settlement expense</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1,300,000</w:t>
            </w:r>
          </w:p>
        </w:tc>
        <w:tc>
          <w:tcPr>
            <w:tcW w:w="1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Deferred compensation</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1,237,000</w:t>
            </w:r>
          </w:p>
        </w:tc>
        <w:tc>
          <w:tcPr>
            <w:tcW w:w="1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6,984,000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575,000</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(Notes 2, 3, 5, 6, and 7)</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stock, $1.00 par value;</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100,000 shares authorized, none</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issued</w:t>
            </w:r>
          </w:p>
        </w:tc>
        <w:tc>
          <w:tcPr>
            <w:tcW w:w="16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$.01 par value;</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10,000,000 shares authorized,</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5,203,000 and 4,738,000 shares</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issued and outstanding at</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0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March 31, 1995 and 1994, respectively</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52,000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20,440,000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14,929,000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31,631,000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25,052,000</w:t>
            </w:r>
          </w:p>
        </w:tc>
      </w:tr>
      <w:tr>
        <w:trPr>
          <w:trHeight w:val="179"/>
        </w:trPr>
        <w:tc>
          <w:tcPr>
            <w:tcW w:w="4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Less treasury stock, at cost</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57,000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57,000</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52,066,000</w:t>
            </w:r>
          </w:p>
        </w:tc>
        <w:tc>
          <w:tcPr>
            <w:tcW w:w="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39,971,000</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$89,536,000</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$53,687,000</w:t>
            </w:r>
          </w:p>
        </w:tc>
      </w:tr>
      <w:tr>
        <w:trPr>
          <w:trHeight w:val="179"/>
        </w:trPr>
        <w:tc>
          <w:tcPr>
            <w:tcW w:w="404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20" w:right="3619" w:hanging="278"/>
        <w:spacing w:after="0" w:line="29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balance sheets.</w:t>
      </w:r>
    </w:p>
    <w:p>
      <w:pPr>
        <w:spacing w:after="0" w:line="14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827" w:right="1440" w:bottom="1440" w:gutter="0" w:footer="0" w:header="0"/>
        </w:sectPr>
      </w:pPr>
    </w:p>
    <w:bookmarkStart w:id="35" w:name="page36"/>
    <w:bookmarkEnd w:id="35"/>
    <w:p>
      <w:pPr>
        <w:ind w:left="1760"/>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4000" w:type="dxa"/>
            <w:vAlign w:val="bottom"/>
            <w:gridSpan w:val="3"/>
          </w:tcPr>
          <w:p>
            <w:pPr>
              <w:jc w:val="right"/>
              <w:ind w:right="562"/>
              <w:spacing w:after="0"/>
              <w:rPr>
                <w:sz w:val="20"/>
                <w:szCs w:val="20"/>
                <w:color w:val="auto"/>
              </w:rPr>
            </w:pPr>
            <w:r>
              <w:rPr>
                <w:rFonts w:ascii="Courier New" w:cs="Courier New" w:eastAsia="Courier New" w:hAnsi="Courier New"/>
                <w:sz w:val="16"/>
                <w:szCs w:val="16"/>
                <w:color w:val="auto"/>
              </w:rPr>
              <w:t>For the Year Ended March 31,</w:t>
            </w:r>
          </w:p>
        </w:tc>
      </w:tr>
      <w:tr>
        <w:trPr>
          <w:trHeight w:val="179"/>
        </w:trPr>
        <w:tc>
          <w:tcPr>
            <w:tcW w:w="2780" w:type="dxa"/>
            <w:vAlign w:val="bottom"/>
          </w:tcPr>
          <w:p>
            <w:pPr>
              <w:spacing w:after="0"/>
              <w:rPr>
                <w:sz w:val="15"/>
                <w:szCs w:val="15"/>
                <w:color w:val="auto"/>
              </w:rPr>
            </w:pPr>
          </w:p>
        </w:tc>
        <w:tc>
          <w:tcPr>
            <w:tcW w:w="40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1995</w:t>
            </w:r>
          </w:p>
        </w:tc>
        <w:tc>
          <w:tcPr>
            <w:tcW w:w="14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1993</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$361,891,000</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$250,527,000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$254,767,000</w:t>
            </w: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334,134,000</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223,576,000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230,847,000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Gross profit</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27,757,000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26,951,000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23,920,000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Salaries and wages</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8,117,000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6,558,000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6,039,000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Provision for bad debts</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2,062,000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5,063,000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4,437,000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6,329,000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5,560,000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5,378,000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16,508,000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17,181,000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15,854,000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11,249,000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9,770,000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8,066,000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Litigation settlement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(1,300,000)</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net</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1,774,000</w:t>
            </w:r>
          </w:p>
        </w:tc>
        <w:tc>
          <w:tcPr>
            <w:tcW w:w="1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180,000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1,774,000</w:t>
            </w:r>
          </w:p>
        </w:tc>
        <w:tc>
          <w:tcPr>
            <w:tcW w:w="1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(1,333,000)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180,000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Income from continuing</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operations before</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income taxes</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13,023,000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8,437,000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8,246,000</w:t>
            </w: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4,935,000</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3,242,000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2,984,000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income from</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continuing operations</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8,088,000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5,195,000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5,262,000</w:t>
            </w:r>
          </w:p>
        </w:tc>
      </w:tr>
      <w:tr>
        <w:trPr>
          <w:trHeight w:val="179"/>
        </w:trPr>
        <w:tc>
          <w:tcPr>
            <w:tcW w:w="278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(Continued)</w:t>
      </w:r>
    </w:p>
    <w:p>
      <w:pPr>
        <w:spacing w:after="0" w:line="177"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1006" w:right="1440" w:bottom="1440" w:gutter="0" w:footer="0" w:header="0"/>
        </w:sectPr>
      </w:pPr>
    </w:p>
    <w:bookmarkStart w:id="36" w:name="page37"/>
    <w:bookmarkEnd w:id="36"/>
    <w:p>
      <w:pPr>
        <w:jc w:val="center"/>
        <w:ind w:right="1959"/>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(Continued)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For the Year Ended March 31,</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260"/>
        <w:spacing w:after="0"/>
        <w:tabs>
          <w:tab w:leader="none" w:pos="4540" w:val="left"/>
          <w:tab w:leader="none" w:pos="592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4"/>
          <w:szCs w:val="14"/>
          <w:color w:val="auto"/>
        </w:rPr>
        <w:t>1993</w:t>
      </w:r>
    </w:p>
    <w:p>
      <w:pPr>
        <w:ind w:left="2880"/>
        <w:spacing w:after="0"/>
        <w:tabs>
          <w:tab w:leader="none" w:pos="4160" w:val="left"/>
          <w:tab w:leader="none" w:pos="5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spacing w:after="0" w:line="183"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4"/>
          <w:szCs w:val="14"/>
          <w:color w:val="auto"/>
        </w:rPr>
        <w:t>Discontinued operations:</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Loss from operations</w:t>
      </w:r>
    </w:p>
    <w:p>
      <w:pPr>
        <w:ind w:left="360"/>
        <w:spacing w:after="0" w:line="236" w:lineRule="auto"/>
        <w:rPr>
          <w:sz w:val="20"/>
          <w:szCs w:val="20"/>
          <w:color w:val="auto"/>
        </w:rPr>
      </w:pPr>
      <w:r>
        <w:rPr>
          <w:rFonts w:ascii="Courier New" w:cs="Courier New" w:eastAsia="Courier New" w:hAnsi="Courier New"/>
          <w:sz w:val="16"/>
          <w:szCs w:val="16"/>
          <w:color w:val="auto"/>
        </w:rPr>
        <w:t>of discontinued</w:t>
      </w:r>
    </w:p>
    <w:p>
      <w:pPr>
        <w:ind w:left="360"/>
        <w:spacing w:after="0" w:line="237" w:lineRule="auto"/>
        <w:rPr>
          <w:sz w:val="20"/>
          <w:szCs w:val="20"/>
          <w:color w:val="auto"/>
        </w:rPr>
      </w:pPr>
      <w:r>
        <w:rPr>
          <w:rFonts w:ascii="Courier New" w:cs="Courier New" w:eastAsia="Courier New" w:hAnsi="Courier New"/>
          <w:sz w:val="16"/>
          <w:szCs w:val="16"/>
          <w:color w:val="auto"/>
        </w:rPr>
        <w:t>environmental services</w:t>
      </w:r>
    </w:p>
    <w:p>
      <w:pPr>
        <w:ind w:left="360"/>
        <w:spacing w:after="0" w:line="237" w:lineRule="auto"/>
        <w:rPr>
          <w:sz w:val="20"/>
          <w:szCs w:val="20"/>
          <w:color w:val="auto"/>
        </w:rPr>
      </w:pPr>
      <w:r>
        <w:rPr>
          <w:rFonts w:ascii="Courier New" w:cs="Courier New" w:eastAsia="Courier New" w:hAnsi="Courier New"/>
          <w:sz w:val="16"/>
          <w:szCs w:val="16"/>
          <w:color w:val="auto"/>
        </w:rPr>
        <w:t>segment (net of applicable</w:t>
      </w:r>
    </w:p>
    <w:p>
      <w:pPr>
        <w:ind w:left="360"/>
        <w:spacing w:after="0" w:line="237" w:lineRule="auto"/>
        <w:rPr>
          <w:sz w:val="20"/>
          <w:szCs w:val="20"/>
          <w:color w:val="auto"/>
        </w:rPr>
      </w:pPr>
      <w:r>
        <w:rPr>
          <w:rFonts w:ascii="Courier New" w:cs="Courier New" w:eastAsia="Courier New" w:hAnsi="Courier New"/>
          <w:sz w:val="16"/>
          <w:szCs w:val="16"/>
          <w:color w:val="auto"/>
        </w:rPr>
        <w:t>income tax benefit</w:t>
      </w:r>
    </w:p>
    <w:p>
      <w:pPr>
        <w:sectPr>
          <w:pgSz w:w="11900" w:h="16838" w:orient="portrait"/>
          <w:cols w:equalWidth="0" w:num="1">
            <w:col w:w="10219"/>
          </w:cols>
          <w:pgMar w:left="240" w:top="1185" w:right="1440" w:bottom="1440" w:gutter="0" w:footer="0" w:header="0"/>
        </w:sectPr>
      </w:pP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$1,033,000)</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(1,793,000)</w:t>
      </w:r>
    </w:p>
    <w:p>
      <w:pPr>
        <w:spacing w:after="0" w:line="193" w:lineRule="exact"/>
        <w:rPr>
          <w:sz w:val="20"/>
          <w:szCs w:val="20"/>
          <w:color w:val="auto"/>
        </w:rPr>
      </w:pPr>
    </w:p>
    <w:p>
      <w:pPr>
        <w:sectPr>
          <w:pgSz w:w="11900" w:h="16838" w:orient="portrait"/>
          <w:cols w:equalWidth="0" w:num="4">
            <w:col w:w="2720" w:space="720"/>
            <w:col w:w="760" w:space="720"/>
            <w:col w:w="120" w:space="720"/>
            <w:col w:w="4459"/>
          </w:cols>
          <w:pgMar w:left="240" w:top="11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Loss on disposal of</w:t>
      </w:r>
    </w:p>
    <w:p>
      <w:pPr>
        <w:ind w:left="360"/>
        <w:spacing w:after="0" w:line="236" w:lineRule="auto"/>
        <w:rPr>
          <w:sz w:val="20"/>
          <w:szCs w:val="20"/>
          <w:color w:val="auto"/>
        </w:rPr>
      </w:pPr>
      <w:r>
        <w:rPr>
          <w:rFonts w:ascii="Courier New" w:cs="Courier New" w:eastAsia="Courier New" w:hAnsi="Courier New"/>
          <w:sz w:val="16"/>
          <w:szCs w:val="16"/>
          <w:color w:val="auto"/>
        </w:rPr>
        <w:t>environmental services segment</w:t>
      </w:r>
    </w:p>
    <w:p>
      <w:pPr>
        <w:ind w:left="360"/>
        <w:spacing w:after="0" w:line="237" w:lineRule="auto"/>
        <w:rPr>
          <w:sz w:val="20"/>
          <w:szCs w:val="20"/>
          <w:color w:val="auto"/>
        </w:rPr>
      </w:pPr>
      <w:r>
        <w:rPr>
          <w:rFonts w:ascii="Courier New" w:cs="Courier New" w:eastAsia="Courier New" w:hAnsi="Courier New"/>
          <w:sz w:val="16"/>
          <w:szCs w:val="16"/>
          <w:color w:val="auto"/>
        </w:rPr>
        <w:t>including a provision of</w:t>
      </w:r>
    </w:p>
    <w:p>
      <w:pPr>
        <w:ind w:left="360"/>
        <w:spacing w:after="0" w:line="237" w:lineRule="auto"/>
        <w:rPr>
          <w:sz w:val="20"/>
          <w:szCs w:val="20"/>
          <w:color w:val="auto"/>
        </w:rPr>
      </w:pPr>
      <w:r>
        <w:rPr>
          <w:rFonts w:ascii="Courier New" w:cs="Courier New" w:eastAsia="Courier New" w:hAnsi="Courier New"/>
          <w:sz w:val="16"/>
          <w:szCs w:val="16"/>
          <w:color w:val="auto"/>
        </w:rPr>
        <w:t>$1,350,000 for operating</w:t>
      </w:r>
    </w:p>
    <w:p>
      <w:pPr>
        <w:ind w:left="360"/>
        <w:spacing w:after="0" w:line="237" w:lineRule="auto"/>
        <w:rPr>
          <w:sz w:val="20"/>
          <w:szCs w:val="20"/>
          <w:color w:val="auto"/>
        </w:rPr>
      </w:pPr>
      <w:r>
        <w:rPr>
          <w:rFonts w:ascii="Courier New" w:cs="Courier New" w:eastAsia="Courier New" w:hAnsi="Courier New"/>
          <w:sz w:val="16"/>
          <w:szCs w:val="16"/>
          <w:color w:val="auto"/>
        </w:rPr>
        <w:t>losses during the phase-out</w:t>
      </w:r>
    </w:p>
    <w:p>
      <w:pPr>
        <w:ind w:left="360"/>
        <w:spacing w:after="0" w:line="237" w:lineRule="auto"/>
        <w:rPr>
          <w:sz w:val="20"/>
          <w:szCs w:val="20"/>
          <w:color w:val="auto"/>
        </w:rPr>
      </w:pPr>
      <w:r>
        <w:rPr>
          <w:rFonts w:ascii="Courier New" w:cs="Courier New" w:eastAsia="Courier New" w:hAnsi="Courier New"/>
          <w:sz w:val="16"/>
          <w:szCs w:val="16"/>
          <w:color w:val="auto"/>
        </w:rPr>
        <w:t>period (net of applicable</w:t>
      </w:r>
    </w:p>
    <w:p>
      <w:pPr>
        <w:ind w:left="360"/>
        <w:spacing w:after="0" w:line="237" w:lineRule="auto"/>
        <w:rPr>
          <w:sz w:val="20"/>
          <w:szCs w:val="20"/>
          <w:color w:val="auto"/>
        </w:rPr>
      </w:pPr>
      <w:r>
        <w:rPr>
          <w:rFonts w:ascii="Courier New" w:cs="Courier New" w:eastAsia="Courier New" w:hAnsi="Courier New"/>
          <w:sz w:val="16"/>
          <w:szCs w:val="16"/>
          <w:color w:val="auto"/>
        </w:rPr>
        <w:t>income tax benefit</w:t>
      </w:r>
    </w:p>
    <w:p>
      <w:pPr>
        <w:ind w:left="360"/>
        <w:spacing w:after="0" w:line="237" w:lineRule="auto"/>
        <w:tabs>
          <w:tab w:leader="none" w:pos="3420" w:val="left"/>
        </w:tabs>
        <w:rPr>
          <w:sz w:val="20"/>
          <w:szCs w:val="20"/>
          <w:color w:val="auto"/>
        </w:rPr>
      </w:pPr>
      <w:r>
        <w:rPr>
          <w:rFonts w:ascii="Courier New" w:cs="Courier New" w:eastAsia="Courier New" w:hAnsi="Courier New"/>
          <w:sz w:val="16"/>
          <w:szCs w:val="16"/>
          <w:color w:val="auto"/>
        </w:rPr>
        <w:t>of $993,000)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Net loss from discontinued</w:t>
      </w:r>
    </w:p>
    <w:p>
      <w:pPr>
        <w:ind w:left="740"/>
        <w:spacing w:after="0" w:line="236" w:lineRule="auto"/>
        <w:tabs>
          <w:tab w:leader="none" w:pos="3420"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20"/>
        <w:spacing w:after="0"/>
        <w:tabs>
          <w:tab w:leader="none" w:pos="286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4"/>
          <w:szCs w:val="14"/>
          <w:color w:val="auto"/>
        </w:rPr>
        <w:t>$8,088,000</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5,195,000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(1,922,000)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(3,715,000)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tabs>
          <w:tab w:leader="none" w:pos="260" w:val="left"/>
        </w:tabs>
        <w:rPr>
          <w:sz w:val="20"/>
          <w:szCs w:val="20"/>
          <w:color w:val="auto"/>
        </w:rPr>
      </w:pPr>
      <w:r>
        <w:rPr>
          <w:rFonts w:ascii="Courier New" w:cs="Courier New" w:eastAsia="Courier New" w:hAnsi="Courier New"/>
          <w:sz w:val="16"/>
          <w:szCs w:val="16"/>
          <w:color w:val="auto"/>
        </w:rPr>
        <w:t>$</w:t>
        <w:tab/>
        <w:t>1,547,000</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800" w:space="380"/>
            <w:col w:w="1120" w:space="280"/>
            <w:col w:w="4639"/>
          </w:cols>
          <w:pgMar w:left="240" w:top="118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(losses) per common</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and common equivalent</w:t>
      </w:r>
    </w:p>
    <w:p>
      <w:pPr>
        <w:ind w:left="180"/>
        <w:spacing w:after="0" w:line="236" w:lineRule="auto"/>
        <w:rPr>
          <w:sz w:val="20"/>
          <w:szCs w:val="20"/>
          <w:color w:val="auto"/>
        </w:rPr>
      </w:pPr>
      <w:r>
        <w:rPr>
          <w:rFonts w:ascii="Courier New" w:cs="Courier New" w:eastAsia="Courier New" w:hAnsi="Courier New"/>
          <w:sz w:val="16"/>
          <w:szCs w:val="16"/>
          <w:color w:val="auto"/>
        </w:rPr>
        <w:t>share: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from continuing</w:t>
      </w:r>
    </w:p>
    <w:p>
      <w:pPr>
        <w:sectPr>
          <w:pgSz w:w="11900" w:h="16838" w:orient="portrait"/>
          <w:cols w:equalWidth="0" w:num="1">
            <w:col w:w="10219"/>
          </w:cols>
          <w:pgMar w:left="240" w:top="1185" w:right="1440" w:bottom="1440" w:gutter="0" w:footer="0" w:header="0"/>
          <w:type w:val="continuous"/>
        </w:sectPr>
      </w:pP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operations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6" w:lineRule="auto"/>
        <w:tabs>
          <w:tab w:leader="none" w:pos="720" w:val="left"/>
        </w:tabs>
        <w:rPr>
          <w:sz w:val="20"/>
          <w:szCs w:val="20"/>
          <w:color w:val="auto"/>
        </w:rPr>
      </w:pPr>
      <w:r>
        <w:rPr>
          <w:rFonts w:ascii="Courier New" w:cs="Courier New" w:eastAsia="Courier New" w:hAnsi="Courier New"/>
          <w:sz w:val="16"/>
          <w:szCs w:val="16"/>
          <w:color w:val="auto"/>
        </w:rPr>
        <w:t>1.65</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spacing w:after="0"/>
        <w:tabs>
          <w:tab w:leader="none" w:pos="260" w:val="left"/>
        </w:tabs>
        <w:rPr>
          <w:sz w:val="20"/>
          <w:szCs w:val="20"/>
          <w:color w:val="auto"/>
        </w:rPr>
      </w:pPr>
      <w:r>
        <w:rPr>
          <w:rFonts w:ascii="Courier New" w:cs="Courier New" w:eastAsia="Courier New" w:hAnsi="Courier New"/>
          <w:sz w:val="16"/>
          <w:szCs w:val="16"/>
          <w:color w:val="auto"/>
        </w:rPr>
        <w:t>1.10</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w:t>
      </w:r>
    </w:p>
    <w:p>
      <w:pPr>
        <w:spacing w:after="0" w:line="198" w:lineRule="exact"/>
        <w:rPr>
          <w:sz w:val="20"/>
          <w:szCs w:val="20"/>
          <w:color w:val="auto"/>
        </w:rPr>
      </w:pPr>
    </w:p>
    <w:p>
      <w:pPr>
        <w:sectPr>
          <w:pgSz w:w="11900" w:h="16838" w:orient="portrait"/>
          <w:cols w:equalWidth="0" w:num="5">
            <w:col w:w="2160" w:space="720"/>
            <w:col w:w="100" w:space="460"/>
            <w:col w:w="840" w:space="640"/>
            <w:col w:w="740" w:space="660"/>
            <w:col w:w="3899"/>
          </w:cols>
          <w:pgMar w:left="240" w:top="11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Loss from discontinued</w:t>
      </w:r>
    </w:p>
    <w:p>
      <w:pPr>
        <w:sectPr>
          <w:pgSz w:w="11900" w:h="16838" w:orient="portrait"/>
          <w:cols w:equalWidth="0" w:num="1">
            <w:col w:w="10219"/>
          </w:cols>
          <w:pgMar w:left="240" w:top="1185" w:right="1440" w:bottom="1440" w:gutter="0" w:footer="0" w:header="0"/>
          <w:type w:val="continuous"/>
        </w:sectPr>
      </w:pP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operations</w:t>
      </w:r>
    </w:p>
    <w:p>
      <w:pPr>
        <w:spacing w:after="0" w:line="18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4"/>
          <w:szCs w:val="14"/>
          <w:color w:val="auto"/>
        </w:rPr>
        <w:t>(.78)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tabs>
          <w:tab w:leader="none" w:pos="8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.33</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4">
            <w:col w:w="2160" w:space="720"/>
            <w:col w:w="920" w:space="380"/>
            <w:col w:w="1120" w:space="280"/>
            <w:col w:w="4639"/>
          </w:cols>
          <w:pgMar w:left="240" w:top="11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Weighted average shares</w:t>
      </w:r>
    </w:p>
    <w:p>
      <w:pPr>
        <w:sectPr>
          <w:pgSz w:w="11900" w:h="16838" w:orient="portrait"/>
          <w:cols w:equalWidth="0" w:num="1">
            <w:col w:w="10219"/>
          </w:cols>
          <w:pgMar w:left="240" w:top="1185"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4,906,000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firstLine="279"/>
        <w:spacing w:after="0" w:line="295" w:lineRule="auto"/>
        <w:rPr>
          <w:sz w:val="20"/>
          <w:szCs w:val="20"/>
          <w:color w:val="auto"/>
        </w:rPr>
      </w:pPr>
      <w:r>
        <w:rPr>
          <w:rFonts w:ascii="Courier New" w:cs="Courier New" w:eastAsia="Courier New" w:hAnsi="Courier New"/>
          <w:sz w:val="14"/>
          <w:szCs w:val="14"/>
          <w:color w:val="auto"/>
        </w:rPr>
        <w:t>4,734,000 ============</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4,749,000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4">
            <w:col w:w="2160" w:space="720"/>
            <w:col w:w="920" w:space="380"/>
            <w:col w:w="1120" w:space="280"/>
            <w:col w:w="4639"/>
          </w:cols>
          <w:pgMar w:left="240" w:top="1185" w:right="1440" w:bottom="1440" w:gutter="0" w:footer="0" w:header="0"/>
          <w:type w:val="continuous"/>
        </w:sectPr>
      </w:pPr>
    </w:p>
    <w:p>
      <w:pPr>
        <w:ind w:left="1480" w:right="3239" w:hanging="371"/>
        <w:spacing w:after="0" w:line="29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statements.</w:t>
      </w:r>
    </w:p>
    <w:p>
      <w:pPr>
        <w:spacing w:after="0" w:line="141"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1185"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4420" w:type="dxa"/>
            <w:vAlign w:val="bottom"/>
            <w:gridSpan w:val="6"/>
          </w:tcPr>
          <w:p>
            <w:pPr>
              <w:ind w:left="240"/>
              <w:spacing w:after="0"/>
              <w:rPr>
                <w:sz w:val="20"/>
                <w:szCs w:val="20"/>
                <w:color w:val="auto"/>
              </w:rPr>
            </w:pPr>
            <w:r>
              <w:rPr>
                <w:rFonts w:ascii="Courier New" w:cs="Courier New" w:eastAsia="Courier New" w:hAnsi="Courier New"/>
                <w:sz w:val="16"/>
                <w:szCs w:val="16"/>
                <w:color w:val="auto"/>
                <w:w w:val="96"/>
              </w:rPr>
              <w:t>INTERNATIONAL RECOVERY CORP. AND SUBSIDIARIES</w:t>
            </w:r>
          </w:p>
        </w:tc>
        <w:tc>
          <w:tcPr>
            <w:tcW w:w="760" w:type="dxa"/>
            <w:vAlign w:val="bottom"/>
          </w:tcPr>
          <w:p>
            <w:pPr>
              <w:spacing w:after="0"/>
              <w:rPr>
                <w:sz w:val="15"/>
                <w:szCs w:val="15"/>
                <w:color w:val="auto"/>
              </w:rPr>
            </w:pPr>
          </w:p>
        </w:tc>
      </w:tr>
      <w:tr>
        <w:trPr>
          <w:trHeight w:val="179"/>
        </w:trPr>
        <w:tc>
          <w:tcPr>
            <w:tcW w:w="2080" w:type="dxa"/>
            <w:vAlign w:val="bottom"/>
          </w:tcPr>
          <w:p>
            <w:pPr>
              <w:spacing w:after="0"/>
              <w:rPr>
                <w:sz w:val="15"/>
                <w:szCs w:val="15"/>
                <w:color w:val="auto"/>
              </w:rPr>
            </w:pPr>
          </w:p>
        </w:tc>
        <w:tc>
          <w:tcPr>
            <w:tcW w:w="5180" w:type="dxa"/>
            <w:vAlign w:val="bottom"/>
            <w:gridSpan w:val="7"/>
          </w:tcPr>
          <w:p>
            <w:pPr>
              <w:jc w:val="right"/>
              <w:ind w:right="582"/>
              <w:spacing w:after="0" w:line="179" w:lineRule="exact"/>
              <w:rPr>
                <w:sz w:val="20"/>
                <w:szCs w:val="20"/>
                <w:color w:val="auto"/>
              </w:rPr>
            </w:pPr>
            <w:r>
              <w:rPr>
                <w:rFonts w:ascii="Courier New" w:cs="Courier New" w:eastAsia="Courier New" w:hAnsi="Courier New"/>
                <w:sz w:val="16"/>
                <w:szCs w:val="16"/>
                <w:color w:val="auto"/>
                <w:w w:val="99"/>
              </w:rPr>
              <w:t>CONSOLIDATED STATEMENTS OF STOCKHOLDERS' EQUITY</w:t>
            </w:r>
          </w:p>
        </w:tc>
      </w:tr>
      <w:tr>
        <w:trPr>
          <w:trHeight w:val="537"/>
        </w:trPr>
        <w:tc>
          <w:tcPr>
            <w:tcW w:w="2080" w:type="dxa"/>
            <w:vAlign w:val="bottom"/>
          </w:tcPr>
          <w:p>
            <w:pPr>
              <w:spacing w:after="0"/>
              <w:rPr>
                <w:sz w:val="24"/>
                <w:szCs w:val="24"/>
                <w:color w:val="auto"/>
              </w:rPr>
            </w:pPr>
          </w:p>
        </w:tc>
        <w:tc>
          <w:tcPr>
            <w:tcW w:w="196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Common Stock</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Capital in</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2080" w:type="dxa"/>
            <w:vAlign w:val="bottom"/>
          </w:tcPr>
          <w:p>
            <w:pPr>
              <w:spacing w:after="0"/>
              <w:rPr>
                <w:sz w:val="15"/>
                <w:szCs w:val="15"/>
                <w:color w:val="auto"/>
              </w:rPr>
            </w:pPr>
          </w:p>
        </w:tc>
        <w:tc>
          <w:tcPr>
            <w:tcW w:w="3080" w:type="dxa"/>
            <w:vAlign w:val="bottom"/>
            <w:gridSpan w:val="4"/>
          </w:tcPr>
          <w:p>
            <w:pPr>
              <w:jc w:val="right"/>
              <w:ind w:right="162"/>
              <w:spacing w:after="0" w:line="179" w:lineRule="exact"/>
              <w:rPr>
                <w:sz w:val="20"/>
                <w:szCs w:val="20"/>
                <w:color w:val="auto"/>
              </w:rPr>
            </w:pPr>
            <w:r>
              <w:rPr>
                <w:rFonts w:ascii="Courier New" w:cs="Courier New" w:eastAsia="Courier New" w:hAnsi="Courier New"/>
                <w:sz w:val="16"/>
                <w:szCs w:val="16"/>
                <w:color w:val="auto"/>
              </w:rPr>
              <w:t>------------------- Excess of</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Retained</w:t>
            </w:r>
          </w:p>
        </w:tc>
        <w:tc>
          <w:tcPr>
            <w:tcW w:w="9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Treasury</w:t>
            </w:r>
          </w:p>
        </w:tc>
      </w:tr>
      <w:tr>
        <w:trPr>
          <w:trHeight w:val="179"/>
        </w:trPr>
        <w:tc>
          <w:tcPr>
            <w:tcW w:w="2080" w:type="dxa"/>
            <w:vAlign w:val="bottom"/>
          </w:tcPr>
          <w:p>
            <w:pPr>
              <w:spacing w:after="0"/>
              <w:rPr>
                <w:sz w:val="15"/>
                <w:szCs w:val="15"/>
                <w:color w:val="auto"/>
              </w:rPr>
            </w:pPr>
          </w:p>
        </w:tc>
        <w:tc>
          <w:tcPr>
            <w:tcW w:w="10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Shares</w:t>
            </w:r>
          </w:p>
        </w:tc>
        <w:tc>
          <w:tcPr>
            <w:tcW w:w="1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Par Value</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Earnings</w:t>
            </w:r>
          </w:p>
        </w:tc>
        <w:tc>
          <w:tcPr>
            <w:tcW w:w="18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Stock</w:t>
            </w:r>
          </w:p>
        </w:tc>
      </w:tr>
      <w:tr>
        <w:trPr>
          <w:trHeight w:val="179"/>
        </w:trPr>
        <w:tc>
          <w:tcPr>
            <w:tcW w:w="20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10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 =========== =========</w:t>
            </w:r>
          </w:p>
        </w:tc>
      </w:tr>
      <w:tr>
        <w:trPr>
          <w:trHeight w:val="179"/>
        </w:trPr>
        <w:tc>
          <w:tcPr>
            <w:tcW w:w="20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Balance at March 31,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1992</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4,689,000</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$ 47,000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$14,332,000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$18,310,000</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w w:val="97"/>
              </w:rPr>
              <w:t>Exercise of warrants</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15,000</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105,000</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1,547,000</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29,000</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410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 ----------- ---------</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March 31,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1993</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4,704,000</w:t>
            </w:r>
          </w:p>
        </w:tc>
        <w:tc>
          <w:tcPr>
            <w:tcW w:w="1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14,466,000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19,857,000</w:t>
            </w:r>
          </w:p>
        </w:tc>
        <w:tc>
          <w:tcPr>
            <w:tcW w:w="180" w:type="dxa"/>
            <w:vAlign w:val="bottom"/>
          </w:tcPr>
          <w:p>
            <w:pPr>
              <w:spacing w:after="0"/>
              <w:rPr>
                <w:sz w:val="15"/>
                <w:szCs w:val="15"/>
                <w:color w:val="auto"/>
              </w:rPr>
            </w:pPr>
          </w:p>
        </w:tc>
        <w:tc>
          <w:tcPr>
            <w:tcW w:w="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w w:val="97"/>
              </w:rPr>
              <w:t>Exercise of warrants</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39,000</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463,000</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w w:val="97"/>
              </w:rPr>
              <w:t>Repurchase of common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20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stock</w:t>
            </w: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(5,000)</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(57,000)</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5,195,000</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410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 ----------- ---------</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March 31,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1994</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4,738,000</w:t>
            </w:r>
          </w:p>
        </w:tc>
        <w:tc>
          <w:tcPr>
            <w:tcW w:w="1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14,929,000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25,052,000</w:t>
            </w:r>
          </w:p>
        </w:tc>
        <w:tc>
          <w:tcPr>
            <w:tcW w:w="18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(57,000)</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w w:val="97"/>
              </w:rPr>
              <w:t>Exercise of warrants</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38,000</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463,000</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Exercise of options</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40,000</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455,000</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Issuance of shares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20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for acquisition</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387,000</w:t>
            </w:r>
          </w:p>
        </w:tc>
        <w:tc>
          <w:tcPr>
            <w:tcW w:w="1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4,579,000</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Cash dividends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20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declared</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(1,509,000)</w:t>
            </w:r>
          </w:p>
        </w:tc>
        <w:tc>
          <w:tcPr>
            <w:tcW w:w="180" w:type="dxa"/>
            <w:vAlign w:val="bottom"/>
          </w:tcPr>
          <w:p>
            <w:pPr>
              <w:spacing w:after="0"/>
              <w:rPr>
                <w:sz w:val="15"/>
                <w:szCs w:val="15"/>
                <w:color w:val="auto"/>
              </w:rPr>
            </w:pPr>
          </w:p>
        </w:tc>
        <w:tc>
          <w:tcPr>
            <w:tcW w:w="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8,088,000</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58"/>
        </w:trPr>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10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 ----------- ---------</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March 31,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5,203,000</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$ 52,000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$20,440,000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$31,631,000</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(57,000)</w:t>
            </w:r>
          </w:p>
        </w:tc>
      </w:tr>
      <w:tr>
        <w:trPr>
          <w:trHeight w:val="179"/>
        </w:trPr>
        <w:tc>
          <w:tcPr>
            <w:tcW w:w="20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1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60" w:right="3239" w:hanging="650"/>
        <w:spacing w:after="0" w:line="29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statements.</w:t>
      </w:r>
    </w:p>
    <w:p>
      <w:pPr>
        <w:spacing w:after="0" w:line="141"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827" w:right="1440" w:bottom="1440" w:gutter="0" w:footer="0" w:header="0"/>
        </w:sectPr>
      </w:pPr>
    </w:p>
    <w:bookmarkStart w:id="38" w:name="page39"/>
    <w:bookmarkEnd w:id="38"/>
    <w:p>
      <w:pPr>
        <w:ind w:left="2600"/>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344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For the Year Ended March 31,</w:t>
            </w:r>
          </w:p>
        </w:tc>
      </w:tr>
      <w:tr>
        <w:trPr>
          <w:trHeight w:val="179"/>
        </w:trPr>
        <w:tc>
          <w:tcPr>
            <w:tcW w:w="3620" w:type="dxa"/>
            <w:vAlign w:val="bottom"/>
          </w:tcPr>
          <w:p>
            <w:pPr>
              <w:spacing w:after="0"/>
              <w:rPr>
                <w:sz w:val="15"/>
                <w:szCs w:val="15"/>
                <w:color w:val="auto"/>
              </w:rPr>
            </w:pPr>
          </w:p>
        </w:tc>
        <w:tc>
          <w:tcPr>
            <w:tcW w:w="344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6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1995</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1994</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1993</w:t>
            </w:r>
          </w:p>
        </w:tc>
      </w:tr>
      <w:tr>
        <w:trPr>
          <w:trHeight w:val="179"/>
        </w:trPr>
        <w:tc>
          <w:tcPr>
            <w:tcW w:w="362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 ===========</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$ 8,088,000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$ 5,195,000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$ 1,547,000</w:t>
            </w:r>
          </w:p>
        </w:tc>
      </w:tr>
      <w:tr>
        <w:trPr>
          <w:trHeight w:val="179"/>
        </w:trPr>
        <w:tc>
          <w:tcPr>
            <w:tcW w:w="362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 -----------</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 net cash provided by (used in)</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Estimated loss on disposal of</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discontinued operations</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1,233,000</w:t>
            </w: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1,373,000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1,502,000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1,473,000</w:t>
            </w: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Provision for bad debts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2,062,000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5,063,000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4,437,000</w:t>
            </w: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Litigation settlement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1,300,000</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Deferred income tax (benefit)</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provision</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181,000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(176,000)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(441,000)</w:t>
            </w: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Equity in earnings of</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joint venture</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(544,000)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w w:val="96"/>
              </w:rPr>
              <w:t>Deferred compensation expense</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29,000</w:t>
            </w: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8"/>
              </w:rPr>
              <w:t>Other non-cash operating charges</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(credits)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19,000</w:t>
            </w:r>
          </w:p>
        </w:tc>
      </w:tr>
      <w:tr>
        <w:trPr>
          <w:trHeight w:val="358"/>
        </w:trPr>
        <w:tc>
          <w:tcPr>
            <w:tcW w:w="47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Changes in assets and liabilities,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36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net of assets acquired and</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liabilities assumed:</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(Increase) decrease in-</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1,959,000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223,000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(6,921,000)</w:t>
            </w: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Inventories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(933,000)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165,000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(278,000)</w:t>
            </w: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current assets</w:t>
            </w: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(72,000) (1,347,000)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(36,000)</w:t>
            </w: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Net cash provided by</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discontinued operations</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2,431,000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1,033,000</w:t>
            </w: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Other assets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332,000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(29,000)</w:t>
            </w:r>
          </w:p>
        </w:tc>
      </w:tr>
      <w:tr>
        <w:trPr>
          <w:trHeight w:val="358"/>
        </w:trPr>
        <w:tc>
          <w:tcPr>
            <w:tcW w:w="3620" w:type="dxa"/>
            <w:vAlign w:val="bottom"/>
          </w:tcPr>
          <w:p>
            <w:pPr>
              <w:ind w:left="740"/>
              <w:spacing w:after="0"/>
              <w:rPr>
                <w:sz w:val="20"/>
                <w:szCs w:val="20"/>
                <w:color w:val="auto"/>
              </w:rPr>
            </w:pPr>
            <w:r>
              <w:rPr>
                <w:rFonts w:ascii="Courier New" w:cs="Courier New" w:eastAsia="Courier New" w:hAnsi="Courier New"/>
                <w:sz w:val="16"/>
                <w:szCs w:val="16"/>
                <w:color w:val="auto"/>
              </w:rPr>
              <w:t>Increase (decrease) in-</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Accounts payable, accrued</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w w:val="95"/>
              </w:rPr>
              <w:t>expenses, customer deposits</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and deferred compensation</w:t>
            </w: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(4,148,000) (1,751,000)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(3,957,000)</w:t>
            </w: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Accrued salaries and wages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461,000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(299,000)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79,000</w:t>
            </w:r>
          </w:p>
        </w:tc>
      </w:tr>
      <w:tr>
        <w:trPr>
          <w:trHeight w:val="179"/>
        </w:trPr>
        <w:tc>
          <w:tcPr>
            <w:tcW w:w="36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852,000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(1,510,000)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1,703,000</w:t>
            </w:r>
          </w:p>
        </w:tc>
      </w:tr>
      <w:tr>
        <w:trPr>
          <w:trHeight w:val="179"/>
        </w:trPr>
        <w:tc>
          <w:tcPr>
            <w:tcW w:w="3620" w:type="dxa"/>
            <w:vAlign w:val="bottom"/>
          </w:tcPr>
          <w:p>
            <w:pPr>
              <w:spacing w:after="0"/>
              <w:rPr>
                <w:sz w:val="15"/>
                <w:szCs w:val="15"/>
                <w:color w:val="auto"/>
              </w:rPr>
            </w:pP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Total adjustments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1,211,000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5,929,000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(1,656,000)</w:t>
            </w:r>
          </w:p>
        </w:tc>
      </w:tr>
      <w:tr>
        <w:trPr>
          <w:trHeight w:val="179"/>
        </w:trPr>
        <w:tc>
          <w:tcPr>
            <w:tcW w:w="3620" w:type="dxa"/>
            <w:vAlign w:val="bottom"/>
          </w:tcPr>
          <w:p>
            <w:pPr>
              <w:spacing w:after="0"/>
              <w:rPr>
                <w:sz w:val="15"/>
                <w:szCs w:val="15"/>
                <w:color w:val="auto"/>
              </w:rPr>
            </w:pP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provided by (used in)</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9,299,000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11,124,000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(109,000)</w:t>
            </w:r>
          </w:p>
        </w:tc>
      </w:tr>
      <w:tr>
        <w:trPr>
          <w:trHeight w:val="179"/>
        </w:trPr>
        <w:tc>
          <w:tcPr>
            <w:tcW w:w="3620" w:type="dxa"/>
            <w:vAlign w:val="bottom"/>
          </w:tcPr>
          <w:p>
            <w:pPr>
              <w:spacing w:after="0"/>
              <w:rPr>
                <w:sz w:val="15"/>
                <w:szCs w:val="15"/>
                <w:color w:val="auto"/>
              </w:rPr>
            </w:pP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(Continued)</w:t>
            </w:r>
          </w:p>
        </w:tc>
      </w:tr>
      <w:tr>
        <w:trPr>
          <w:trHeight w:val="358"/>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-37-</w:t>
            </w:r>
          </w:p>
        </w:tc>
      </w:tr>
    </w:tbl>
    <w:p>
      <w:pPr>
        <w:sectPr>
          <w:pgSz w:w="11900" w:h="16838" w:orient="portrait"/>
          <w:cols w:equalWidth="0" w:num="1">
            <w:col w:w="10219"/>
          </w:cols>
          <w:pgMar w:left="240" w:top="1006" w:right="1440" w:bottom="1440" w:gutter="0" w:footer="0" w:header="0"/>
        </w:sectPr>
      </w:pPr>
    </w:p>
    <w:bookmarkStart w:id="39" w:name="page40"/>
    <w:bookmarkEnd w:id="39"/>
    <w:p>
      <w:pPr>
        <w:ind w:left="2320"/>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1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(Continued)</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37"/>
        </w:trPr>
        <w:tc>
          <w:tcPr>
            <w:tcW w:w="3540" w:type="dxa"/>
            <w:vAlign w:val="bottom"/>
          </w:tcPr>
          <w:p>
            <w:pPr>
              <w:spacing w:after="0"/>
              <w:rPr>
                <w:sz w:val="24"/>
                <w:szCs w:val="24"/>
                <w:color w:val="auto"/>
              </w:rPr>
            </w:pPr>
          </w:p>
        </w:tc>
        <w:tc>
          <w:tcPr>
            <w:tcW w:w="344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For the Year Ended March 31,</w:t>
            </w:r>
          </w:p>
        </w:tc>
      </w:tr>
      <w:tr>
        <w:trPr>
          <w:trHeight w:val="179"/>
        </w:trPr>
        <w:tc>
          <w:tcPr>
            <w:tcW w:w="3540" w:type="dxa"/>
            <w:vAlign w:val="bottom"/>
          </w:tcPr>
          <w:p>
            <w:pPr>
              <w:spacing w:after="0"/>
              <w:rPr>
                <w:sz w:val="15"/>
                <w:szCs w:val="15"/>
                <w:color w:val="auto"/>
              </w:rPr>
            </w:pPr>
          </w:p>
        </w:tc>
        <w:tc>
          <w:tcPr>
            <w:tcW w:w="344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5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1995</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1993</w:t>
            </w:r>
          </w:p>
        </w:tc>
      </w:tr>
      <w:tr>
        <w:trPr>
          <w:trHeight w:val="179"/>
        </w:trPr>
        <w:tc>
          <w:tcPr>
            <w:tcW w:w="3540" w:type="dxa"/>
            <w:vAlign w:val="bottom"/>
          </w:tcPr>
          <w:p>
            <w:pPr>
              <w:spacing w:after="0"/>
              <w:rPr>
                <w:sz w:val="15"/>
                <w:szCs w:val="15"/>
                <w:color w:val="auto"/>
              </w:rPr>
            </w:pPr>
          </w:p>
        </w:tc>
        <w:tc>
          <w:tcPr>
            <w:tcW w:w="2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w w:val="99"/>
              </w:rPr>
              <w:t>Cash flows from investing activities: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Additions to property, plant and</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equipment</w:t>
            </w:r>
          </w:p>
        </w:tc>
        <w:tc>
          <w:tcPr>
            <w:tcW w:w="2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(2,194,000) (3,114,000)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(3,885,000)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sales of assets</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585,000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93,000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Payment for acquisition of</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business, net of cash acquired</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(3,184,000)</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 of short-term investments</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(3,500,000)</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Proceeds from short-term investments</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3,500,000</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notes receivable</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768,000</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Advances to joint venture</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(338,000)</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used in investing</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activities</w:t>
            </w:r>
          </w:p>
        </w:tc>
        <w:tc>
          <w:tcPr>
            <w:tcW w:w="2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(4,363,000) (3,037,000)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(3,792,000)</w:t>
            </w:r>
          </w:p>
        </w:tc>
      </w:tr>
      <w:tr>
        <w:trPr>
          <w:trHeight w:val="179"/>
        </w:trPr>
        <w:tc>
          <w:tcPr>
            <w:tcW w:w="354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w w:val="99"/>
              </w:rPr>
              <w:t>Cash flows from financing activities: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(repayments) borrowings under</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the revolving line of credit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(4,000,000)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3,000,000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Repayment of long-term debt</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(286,000)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(489,000)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(511,000)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issuance of</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notes payable</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750,000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Repayment of notes payable</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(1,643,000)</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(839,000)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issuance of</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common stock</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918,000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463,000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105,000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Repurchase of common stock</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(57,000)</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Dividends paid on common stock</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(717,000)</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(used in) provided by</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financing activities</w:t>
            </w:r>
          </w:p>
        </w:tc>
        <w:tc>
          <w:tcPr>
            <w:tcW w:w="2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(1,728,000) (4,083,000)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2,505,000</w:t>
            </w:r>
          </w:p>
        </w:tc>
      </w:tr>
      <w:tr>
        <w:trPr>
          <w:trHeight w:val="179"/>
        </w:trPr>
        <w:tc>
          <w:tcPr>
            <w:tcW w:w="354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cash equivalents</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3,208,000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4,004,000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(1,396,000)</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beginning of year</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7,699,000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3,695,000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5,091,000</w:t>
            </w:r>
          </w:p>
        </w:tc>
      </w:tr>
      <w:tr>
        <w:trPr>
          <w:trHeight w:val="179"/>
        </w:trPr>
        <w:tc>
          <w:tcPr>
            <w:tcW w:w="3540" w:type="dxa"/>
            <w:vAlign w:val="bottom"/>
          </w:tcPr>
          <w:p>
            <w:pPr>
              <w:spacing w:after="0"/>
              <w:rPr>
                <w:sz w:val="15"/>
                <w:szCs w:val="15"/>
                <w:color w:val="auto"/>
              </w:rPr>
            </w:pPr>
          </w:p>
        </w:tc>
        <w:tc>
          <w:tcPr>
            <w:tcW w:w="2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at</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end of year</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$10,907,000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$ 7,699,000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$3,695,000</w:t>
            </w:r>
          </w:p>
        </w:tc>
      </w:tr>
      <w:tr>
        <w:trPr>
          <w:trHeight w:val="179"/>
        </w:trPr>
        <w:tc>
          <w:tcPr>
            <w:tcW w:w="3540" w:type="dxa"/>
            <w:vAlign w:val="bottom"/>
          </w:tcPr>
          <w:p>
            <w:pPr>
              <w:spacing w:after="0"/>
              <w:rPr>
                <w:sz w:val="15"/>
                <w:szCs w:val="15"/>
                <w:color w:val="auto"/>
              </w:rPr>
            </w:pPr>
          </w:p>
        </w:tc>
        <w:tc>
          <w:tcPr>
            <w:tcW w:w="2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(Continued)</w:t>
      </w:r>
    </w:p>
    <w:p>
      <w:pPr>
        <w:spacing w:after="0" w:line="177"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1006" w:right="1440" w:bottom="1440" w:gutter="0" w:footer="0" w:header="0"/>
        </w:sectPr>
      </w:pPr>
    </w:p>
    <w:bookmarkStart w:id="40" w:name="page41"/>
    <w:bookmarkEnd w:id="40"/>
    <w:p>
      <w:pPr>
        <w:ind w:left="2420"/>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6"/>
                <w:szCs w:val="16"/>
                <w:color w:val="auto"/>
                <w:w w:val="98"/>
              </w:rPr>
              <w:t>(Continued)</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8"/>
        </w:trPr>
        <w:tc>
          <w:tcPr>
            <w:tcW w:w="3400" w:type="dxa"/>
            <w:vAlign w:val="bottom"/>
          </w:tcPr>
          <w:p>
            <w:pPr>
              <w:spacing w:after="0"/>
              <w:rPr>
                <w:sz w:val="24"/>
                <w:szCs w:val="24"/>
                <w:color w:val="auto"/>
              </w:rPr>
            </w:pPr>
          </w:p>
        </w:tc>
        <w:tc>
          <w:tcPr>
            <w:tcW w:w="358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For the Year Ended March 31,</w:t>
            </w:r>
          </w:p>
        </w:tc>
      </w:tr>
      <w:tr>
        <w:trPr>
          <w:trHeight w:val="179"/>
        </w:trPr>
        <w:tc>
          <w:tcPr>
            <w:tcW w:w="3400" w:type="dxa"/>
            <w:vAlign w:val="bottom"/>
          </w:tcPr>
          <w:p>
            <w:pPr>
              <w:spacing w:after="0"/>
              <w:rPr>
                <w:sz w:val="15"/>
                <w:szCs w:val="15"/>
                <w:color w:val="auto"/>
              </w:rPr>
            </w:pPr>
          </w:p>
        </w:tc>
        <w:tc>
          <w:tcPr>
            <w:tcW w:w="3580" w:type="dxa"/>
            <w:vAlign w:val="bottom"/>
            <w:gridSpan w:val="3"/>
          </w:tcPr>
          <w:p>
            <w:pPr>
              <w:jc w:val="center"/>
              <w:ind w:left="14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400" w:type="dxa"/>
            <w:vAlign w:val="bottom"/>
          </w:tcPr>
          <w:p>
            <w:pPr>
              <w:spacing w:after="0"/>
              <w:rPr>
                <w:sz w:val="15"/>
                <w:szCs w:val="15"/>
                <w:color w:val="auto"/>
              </w:rPr>
            </w:pP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1995</w:t>
            </w:r>
          </w:p>
        </w:tc>
        <w:tc>
          <w:tcPr>
            <w:tcW w:w="112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1994</w:t>
            </w:r>
          </w:p>
        </w:tc>
        <w:tc>
          <w:tcPr>
            <w:tcW w:w="10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1993</w:t>
            </w:r>
          </w:p>
        </w:tc>
      </w:tr>
      <w:tr>
        <w:trPr>
          <w:trHeight w:val="179"/>
        </w:trPr>
        <w:tc>
          <w:tcPr>
            <w:tcW w:w="3400" w:type="dxa"/>
            <w:vAlign w:val="bottom"/>
          </w:tcPr>
          <w:p>
            <w:pPr>
              <w:spacing w:after="0"/>
              <w:rPr>
                <w:sz w:val="15"/>
                <w:szCs w:val="15"/>
                <w:color w:val="auto"/>
              </w:rPr>
            </w:pP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40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w w:val="95"/>
              </w:rPr>
              <w:t>SUPPLEMENTAL DISCLOSURES OF</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CASH FLOW INFORMATION, including</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4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discontinued operations:</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Cash paid during the year for:</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Interest, net of capitalized</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400" w:type="dxa"/>
            <w:vAlign w:val="bottom"/>
          </w:tcPr>
          <w:p>
            <w:pPr>
              <w:jc w:val="right"/>
              <w:ind w:right="1842"/>
              <w:spacing w:after="0" w:line="179" w:lineRule="exact"/>
              <w:rPr>
                <w:sz w:val="20"/>
                <w:szCs w:val="20"/>
                <w:color w:val="auto"/>
              </w:rPr>
            </w:pPr>
            <w:r>
              <w:rPr>
                <w:rFonts w:ascii="Courier New" w:cs="Courier New" w:eastAsia="Courier New" w:hAnsi="Courier New"/>
                <w:sz w:val="16"/>
                <w:szCs w:val="16"/>
                <w:color w:val="auto"/>
              </w:rPr>
              <w:t>interest</w:t>
            </w: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  129,000</w:t>
            </w:r>
          </w:p>
        </w:tc>
        <w:tc>
          <w:tcPr>
            <w:tcW w:w="112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5"/>
              </w:rPr>
              <w:t>$  149,000</w:t>
            </w:r>
          </w:p>
        </w:tc>
        <w:tc>
          <w:tcPr>
            <w:tcW w:w="10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   67,000</w:t>
            </w:r>
          </w:p>
        </w:tc>
      </w:tr>
      <w:tr>
        <w:trPr>
          <w:trHeight w:val="179"/>
        </w:trPr>
        <w:tc>
          <w:tcPr>
            <w:tcW w:w="3400" w:type="dxa"/>
            <w:vAlign w:val="bottom"/>
          </w:tcPr>
          <w:p>
            <w:pPr>
              <w:spacing w:after="0"/>
              <w:rPr>
                <w:sz w:val="15"/>
                <w:szCs w:val="15"/>
                <w:color w:val="auto"/>
              </w:rPr>
            </w:pP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340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Income taxes</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7"/>
              </w:rPr>
              <w:t>$3,714,000</w:t>
            </w:r>
          </w:p>
        </w:tc>
        <w:tc>
          <w:tcPr>
            <w:tcW w:w="11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5"/>
              </w:rPr>
              <w:t>$3,219,000</w:t>
            </w:r>
          </w:p>
        </w:tc>
        <w:tc>
          <w:tcPr>
            <w:tcW w:w="10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$1,912,000</w:t>
            </w:r>
          </w:p>
        </w:tc>
      </w:tr>
      <w:tr>
        <w:trPr>
          <w:trHeight w:val="179"/>
        </w:trPr>
        <w:tc>
          <w:tcPr>
            <w:tcW w:w="3400" w:type="dxa"/>
            <w:vAlign w:val="bottom"/>
          </w:tcPr>
          <w:p>
            <w:pPr>
              <w:spacing w:after="0"/>
              <w:rPr>
                <w:sz w:val="15"/>
                <w:szCs w:val="15"/>
                <w:color w:val="auto"/>
              </w:rPr>
            </w:pP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SCHEDULE OF NONCASH</w:t>
      </w:r>
    </w:p>
    <w:p>
      <w:pPr>
        <w:ind w:left="180"/>
        <w:spacing w:after="0" w:line="236" w:lineRule="auto"/>
        <w:rPr>
          <w:sz w:val="20"/>
          <w:szCs w:val="20"/>
          <w:color w:val="auto"/>
        </w:rPr>
      </w:pPr>
      <w:r>
        <w:rPr>
          <w:rFonts w:ascii="Courier New" w:cs="Courier New" w:eastAsia="Courier New" w:hAnsi="Courier New"/>
          <w:sz w:val="16"/>
          <w:szCs w:val="16"/>
          <w:color w:val="auto"/>
        </w:rPr>
        <w:t>INVESTING AND FINANCING ACTIVITIES:</w:t>
      </w:r>
    </w:p>
    <w:p>
      <w:pPr>
        <w:spacing w:after="0" w:line="183" w:lineRule="exact"/>
        <w:rPr>
          <w:sz w:val="20"/>
          <w:szCs w:val="20"/>
          <w:color w:val="auto"/>
        </w:rPr>
      </w:pPr>
    </w:p>
    <w:p>
      <w:pPr>
        <w:ind w:left="840" w:right="2959"/>
        <w:spacing w:after="0" w:line="236" w:lineRule="auto"/>
        <w:rPr>
          <w:sz w:val="20"/>
          <w:szCs w:val="20"/>
          <w:color w:val="auto"/>
        </w:rPr>
      </w:pPr>
      <w:r>
        <w:rPr>
          <w:rFonts w:ascii="Courier New" w:cs="Courier New" w:eastAsia="Courier New" w:hAnsi="Courier New"/>
          <w:sz w:val="16"/>
          <w:szCs w:val="16"/>
          <w:color w:val="auto"/>
        </w:rPr>
        <w:t>In April 1995, the Company paid $1,300,000, representing its share of the stockholders class action settlement, by issuing 78,550 of the Company's common stock at an agreed upon price of $16.55 per share. Accordingly, as of March 31, 1995, the Company reclassified from current liabilities to long-term liabilities the accrued litigation settlement expense.</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In connection with the acquisition of the Trans-Tec group of companies,</w:t>
      </w:r>
    </w:p>
    <w:p>
      <w:pPr>
        <w:spacing w:after="0" w:line="1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Company also issued 387,000 of its common stock valued at</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$4,584,000, and $6,000,000 in notes payable. See Note 1 for additional</w:t>
      </w:r>
    </w:p>
    <w:p>
      <w:pPr>
        <w:spacing w:after="0" w:line="1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information.</w:t>
      </w:r>
    </w:p>
    <w:p>
      <w:pPr>
        <w:spacing w:after="0" w:line="183" w:lineRule="exact"/>
        <w:rPr>
          <w:sz w:val="20"/>
          <w:szCs w:val="20"/>
          <w:color w:val="auto"/>
        </w:rPr>
      </w:pPr>
    </w:p>
    <w:p>
      <w:pPr>
        <w:ind w:left="840" w:right="2779"/>
        <w:spacing w:after="0" w:line="295" w:lineRule="auto"/>
        <w:rPr>
          <w:sz w:val="20"/>
          <w:szCs w:val="20"/>
          <w:color w:val="auto"/>
        </w:rPr>
      </w:pPr>
      <w:r>
        <w:rPr>
          <w:rFonts w:ascii="Courier New" w:cs="Courier New" w:eastAsia="Courier New" w:hAnsi="Courier New"/>
          <w:sz w:val="14"/>
          <w:szCs w:val="14"/>
          <w:color w:val="auto"/>
        </w:rPr>
        <w:t>Cash dividends declared, but not yet paid totaling $792,000, are included in accounts payable and accrued expenses as of March 31, 1995.</w:t>
      </w:r>
    </w:p>
    <w:p>
      <w:pPr>
        <w:spacing w:after="0" w:line="147" w:lineRule="exact"/>
        <w:rPr>
          <w:sz w:val="20"/>
          <w:szCs w:val="20"/>
          <w:color w:val="auto"/>
        </w:rPr>
      </w:pPr>
    </w:p>
    <w:p>
      <w:pPr>
        <w:ind w:left="840" w:right="2879"/>
        <w:spacing w:after="0" w:line="295" w:lineRule="auto"/>
        <w:rPr>
          <w:sz w:val="20"/>
          <w:szCs w:val="20"/>
          <w:color w:val="auto"/>
        </w:rPr>
      </w:pPr>
      <w:r>
        <w:rPr>
          <w:rFonts w:ascii="Courier New" w:cs="Courier New" w:eastAsia="Courier New" w:hAnsi="Courier New"/>
          <w:sz w:val="14"/>
          <w:szCs w:val="14"/>
          <w:color w:val="auto"/>
        </w:rPr>
        <w:t>In connection with the sale of certain land and buildings, the Company received $1,317,000 in notes receivable during fiscal year 1994.</w:t>
      </w:r>
    </w:p>
    <w:p>
      <w:pPr>
        <w:spacing w:after="0" w:line="147"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Net assets totaling $419,000 were transferred from the Company's discontinued operations to continuing operations during fiscal year 1994. Equipment totaling $185,000 was transferred from the Company's discontinued operations to continuing operations during fiscal year 1993.</w:t>
      </w:r>
    </w:p>
    <w:p>
      <w:pPr>
        <w:spacing w:after="0" w:line="186" w:lineRule="exact"/>
        <w:rPr>
          <w:sz w:val="20"/>
          <w:szCs w:val="20"/>
          <w:color w:val="auto"/>
        </w:rPr>
      </w:pPr>
    </w:p>
    <w:p>
      <w:pPr>
        <w:ind w:left="840" w:right="2959"/>
        <w:spacing w:after="0" w:line="234" w:lineRule="auto"/>
        <w:rPr>
          <w:sz w:val="20"/>
          <w:szCs w:val="20"/>
          <w:color w:val="auto"/>
        </w:rPr>
      </w:pPr>
      <w:r>
        <w:rPr>
          <w:rFonts w:ascii="Courier New" w:cs="Courier New" w:eastAsia="Courier New" w:hAnsi="Courier New"/>
          <w:sz w:val="16"/>
          <w:szCs w:val="16"/>
          <w:color w:val="auto"/>
        </w:rPr>
        <w:t>Borrowings totaling $220,000 were incurred during fiscal year 1994 in connection with the acquisition of equipment.</w:t>
      </w:r>
    </w:p>
    <w:p>
      <w:pPr>
        <w:spacing w:after="0" w:line="183" w:lineRule="exact"/>
        <w:rPr>
          <w:sz w:val="20"/>
          <w:szCs w:val="20"/>
          <w:color w:val="auto"/>
        </w:rPr>
      </w:pPr>
    </w:p>
    <w:p>
      <w:pPr>
        <w:ind w:left="840" w:right="3239"/>
        <w:spacing w:after="0" w:line="295" w:lineRule="auto"/>
        <w:rPr>
          <w:sz w:val="20"/>
          <w:szCs w:val="20"/>
          <w:color w:val="auto"/>
        </w:rPr>
      </w:pPr>
      <w:r>
        <w:rPr>
          <w:rFonts w:ascii="Courier New" w:cs="Courier New" w:eastAsia="Courier New" w:hAnsi="Courier New"/>
          <w:sz w:val="14"/>
          <w:szCs w:val="14"/>
          <w:color w:val="auto"/>
        </w:rPr>
        <w:t>Accounts receivable totaling $1,500,000 as of March 31, 1993, were converted to long-term notes receivable during fiscal year 1994.</w:t>
      </w:r>
    </w:p>
    <w:p>
      <w:pPr>
        <w:spacing w:after="0" w:line="200" w:lineRule="exact"/>
        <w:rPr>
          <w:sz w:val="20"/>
          <w:szCs w:val="20"/>
          <w:color w:val="auto"/>
        </w:rPr>
      </w:pPr>
    </w:p>
    <w:p>
      <w:pPr>
        <w:spacing w:after="0" w:line="305" w:lineRule="exact"/>
        <w:rPr>
          <w:sz w:val="20"/>
          <w:szCs w:val="20"/>
          <w:color w:val="auto"/>
        </w:rPr>
      </w:pPr>
    </w:p>
    <w:p>
      <w:pPr>
        <w:ind w:left="1400" w:right="3519" w:hanging="557"/>
        <w:spacing w:after="0" w:line="29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statements.</w:t>
      </w:r>
    </w:p>
    <w:p>
      <w:pPr>
        <w:spacing w:after="0" w:line="320"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1006" w:right="1440" w:bottom="1440" w:gutter="0" w:footer="0" w:header="0"/>
        </w:sectPr>
      </w:pPr>
    </w:p>
    <w:bookmarkStart w:id="41" w:name="page42"/>
    <w:bookmarkEnd w:id="41"/>
    <w:p>
      <w:pPr>
        <w:ind w:left="2145"/>
        <w:spacing w:after="0"/>
        <w:rPr>
          <w:sz w:val="20"/>
          <w:szCs w:val="20"/>
          <w:color w:val="auto"/>
        </w:rPr>
      </w:pPr>
      <w:r>
        <w:rPr>
          <w:rFonts w:ascii="Courier New" w:cs="Courier New" w:eastAsia="Courier New" w:hAnsi="Courier New"/>
          <w:sz w:val="16"/>
          <w:szCs w:val="16"/>
          <w:color w:val="auto"/>
        </w:rPr>
        <w:t>INTERNATIONAL RECOVERY CORP. AND SUBSIDIARIES</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55" w:lineRule="exact"/>
        <w:rPr>
          <w:sz w:val="20"/>
          <w:szCs w:val="20"/>
          <w:color w:val="auto"/>
        </w:rPr>
      </w:pPr>
    </w:p>
    <w:p>
      <w:pPr>
        <w:ind w:left="465" w:hanging="465"/>
        <w:spacing w:after="0"/>
        <w:tabs>
          <w:tab w:leader="none" w:pos="4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3" w:lineRule="exact"/>
        <w:rPr>
          <w:sz w:val="20"/>
          <w:szCs w:val="20"/>
          <w:color w:val="auto"/>
        </w:rPr>
      </w:pPr>
    </w:p>
    <w:p>
      <w:pPr>
        <w:jc w:val="both"/>
        <w:ind w:left="5" w:right="3339"/>
        <w:spacing w:after="0" w:line="235" w:lineRule="auto"/>
        <w:rPr>
          <w:sz w:val="20"/>
          <w:szCs w:val="20"/>
          <w:color w:val="auto"/>
        </w:rPr>
      </w:pPr>
      <w:r>
        <w:rPr>
          <w:rFonts w:ascii="Courier New" w:cs="Courier New" w:eastAsia="Courier New" w:hAnsi="Courier New"/>
          <w:sz w:val="16"/>
          <w:szCs w:val="16"/>
          <w:color w:val="auto"/>
        </w:rPr>
        <w:t>International Recovery Corp. (the "Company") was incorporated on July 20, 1984. The Company is involved in three principal businesses. The Company markets aviation and marine fuel and recycles used oil.</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Organization and Nature of Acquisitions and Divestitures</w:t>
      </w:r>
    </w:p>
    <w:p>
      <w:pPr>
        <w:spacing w:after="0" w:line="183" w:lineRule="exact"/>
        <w:rPr>
          <w:sz w:val="20"/>
          <w:szCs w:val="20"/>
          <w:color w:val="auto"/>
        </w:rPr>
      </w:pPr>
    </w:p>
    <w:p>
      <w:pPr>
        <w:ind w:left="5" w:right="3159"/>
        <w:spacing w:after="0" w:line="235" w:lineRule="auto"/>
        <w:rPr>
          <w:sz w:val="20"/>
          <w:szCs w:val="20"/>
          <w:color w:val="auto"/>
        </w:rPr>
      </w:pPr>
      <w:r>
        <w:rPr>
          <w:rFonts w:ascii="Courier New" w:cs="Courier New" w:eastAsia="Courier New" w:hAnsi="Courier New"/>
          <w:sz w:val="16"/>
          <w:szCs w:val="16"/>
          <w:color w:val="auto"/>
        </w:rPr>
        <w:t>In December 1986, the Company entered the aviation fueling business with the acquisition of Advance Petroleum, Inc. ("Advance"). In October 1989, the Company expanded its aviation fueling capabilities by acquiring JCo Energy Partners, Ltd. and shortly thereafter renamed these operations World Fuel Services, Inc.</w:t>
      </w:r>
    </w:p>
    <w:p>
      <w:pPr>
        <w:spacing w:after="0" w:line="186" w:lineRule="exact"/>
        <w:rPr>
          <w:sz w:val="20"/>
          <w:szCs w:val="20"/>
          <w:color w:val="auto"/>
        </w:rPr>
      </w:pPr>
    </w:p>
    <w:p>
      <w:pPr>
        <w:jc w:val="both"/>
        <w:ind w:left="5" w:right="3159"/>
        <w:spacing w:after="0" w:line="275" w:lineRule="auto"/>
        <w:rPr>
          <w:sz w:val="20"/>
          <w:szCs w:val="20"/>
          <w:color w:val="auto"/>
        </w:rPr>
      </w:pPr>
      <w:r>
        <w:rPr>
          <w:rFonts w:ascii="Courier New" w:cs="Courier New" w:eastAsia="Courier New" w:hAnsi="Courier New"/>
          <w:sz w:val="14"/>
          <w:szCs w:val="14"/>
          <w:color w:val="auto"/>
        </w:rPr>
        <w:t>The Company formed a subsidiary, Air-Terminaling, Inc. ("ATI") which began operations in December 1991. ATI managed the fuel storage facilities owned by the Metropolitan Dade County, Florida Aviation Department Authority which are used to distribute aviation fuel at Miami International Airport. On May 3, 1994, the Metropolitan Dade County Board of Commissioners voted to award the fuel management contract to another company effective June 30, 1994.</w:t>
      </w:r>
    </w:p>
    <w:p>
      <w:pPr>
        <w:spacing w:after="0" w:line="162" w:lineRule="exact"/>
        <w:rPr>
          <w:sz w:val="20"/>
          <w:szCs w:val="20"/>
          <w:color w:val="auto"/>
        </w:rPr>
      </w:pPr>
    </w:p>
    <w:p>
      <w:pPr>
        <w:ind w:left="5" w:right="3339"/>
        <w:spacing w:after="0" w:line="235" w:lineRule="auto"/>
        <w:rPr>
          <w:sz w:val="20"/>
          <w:szCs w:val="20"/>
          <w:color w:val="auto"/>
        </w:rPr>
      </w:pPr>
      <w:r>
        <w:rPr>
          <w:rFonts w:ascii="Courier New" w:cs="Courier New" w:eastAsia="Courier New" w:hAnsi="Courier New"/>
          <w:sz w:val="16"/>
          <w:szCs w:val="16"/>
          <w:color w:val="auto"/>
        </w:rPr>
        <w:t>The Company formed a subsidiary, International Petroleum Corp. of Delaware which began operations in April 1993, upon the completion of its used oil and water recycling plant in Wilmington, Delaware.</w:t>
      </w:r>
    </w:p>
    <w:p>
      <w:pPr>
        <w:spacing w:after="0" w:line="183" w:lineRule="exact"/>
        <w:rPr>
          <w:sz w:val="20"/>
          <w:szCs w:val="20"/>
          <w:color w:val="auto"/>
        </w:rPr>
      </w:pPr>
    </w:p>
    <w:p>
      <w:pPr>
        <w:ind w:left="5" w:right="3239"/>
        <w:spacing w:after="0" w:line="283" w:lineRule="auto"/>
        <w:rPr>
          <w:sz w:val="20"/>
          <w:szCs w:val="20"/>
          <w:color w:val="auto"/>
        </w:rPr>
      </w:pPr>
      <w:r>
        <w:rPr>
          <w:rFonts w:ascii="Courier New" w:cs="Courier New" w:eastAsia="Courier New" w:hAnsi="Courier New"/>
          <w:sz w:val="14"/>
          <w:szCs w:val="14"/>
          <w:color w:val="auto"/>
        </w:rPr>
        <w:t>In August 1994, the Company began aviation fueling operations in Ecuador through a joint venture which enables the Company to provide point-to-point aviation fuel sales within Ecuador. See Note 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945"/>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4"/>
          </w:cols>
          <w:pgMar w:left="235" w:top="827" w:right="1440" w:bottom="1440" w:gutter="0" w:footer="0" w:header="0"/>
        </w:sectPr>
      </w:pPr>
    </w:p>
    <w:bookmarkStart w:id="42" w:name="page43"/>
    <w:bookmarkEnd w:id="42"/>
    <w:p>
      <w:pPr>
        <w:ind w:right="2959"/>
        <w:spacing w:after="0" w:line="271" w:lineRule="auto"/>
        <w:rPr>
          <w:sz w:val="20"/>
          <w:szCs w:val="20"/>
          <w:color w:val="auto"/>
        </w:rPr>
      </w:pPr>
      <w:r>
        <w:rPr>
          <w:rFonts w:ascii="Courier New" w:cs="Courier New" w:eastAsia="Courier New" w:hAnsi="Courier New"/>
          <w:sz w:val="14"/>
          <w:szCs w:val="14"/>
          <w:color w:val="auto"/>
        </w:rPr>
        <w:t>On January 3, 1995, the Company entered the marine fueling business by purchasing the assets and assuming certain liabilities of Trans-Tec Services, Inc. and Trans-Tec Servicios, S.A. The Company also purchased the stock of Trans-Tec Services (UK) Ltd., which owns Trans-Tec Services, (Singapore) Pte., Ltd. The acquisition of Trans-Tec by the Company has been accounted for as a purchase. The aggregate purchase price, including acquisition costs of approximately $321,000, was $14,832,000. The Company paid approximately $3,927,000 in cash, $6,000,000 in the form of 9% promissory notes, payable over three years, of which $1,830,000 is due within one year, and $4,584,000 ($11.84 per share, or approximately 78% of the quoted market price) in the Company's restricted common stock. In accordance with the related acquisition agreement, the Company can recover a portion of the purchase price (by direct offset to the promissory notes issued to certain of the sellers) in the event that certain representations and warranties related to the collectability of accounts receivables are not met. The newly issued shares of the Company's common stock issued in connection with the acquisition were valued by the Company's Board of Directors. This valuation was made based upon the volume of shares issued in relation to total shares outstanding and the restricted nature of the newly issued shares. The difference between the purchase price and the $4,158,000 fair value of the net assets of the acquired companies, which amounted to $10,674,000, has been allocated to goodwill, and is being amortized over a period of 35 years. The Company determined that no other identifiable intangible assets existed.</w:t>
      </w:r>
    </w:p>
    <w:p>
      <w:pPr>
        <w:spacing w:after="0" w:line="200" w:lineRule="exact"/>
        <w:rPr>
          <w:sz w:val="20"/>
          <w:szCs w:val="20"/>
          <w:color w:val="auto"/>
        </w:rPr>
      </w:pPr>
    </w:p>
    <w:p>
      <w:pPr>
        <w:spacing w:after="0" w:line="333" w:lineRule="exact"/>
        <w:rPr>
          <w:sz w:val="20"/>
          <w:szCs w:val="20"/>
          <w:color w:val="auto"/>
        </w:rPr>
      </w:pPr>
    </w:p>
    <w:p>
      <w:pPr>
        <w:jc w:val="both"/>
        <w:ind w:right="3159"/>
        <w:spacing w:after="0" w:line="235" w:lineRule="auto"/>
        <w:rPr>
          <w:sz w:val="20"/>
          <w:szCs w:val="20"/>
          <w:color w:val="auto"/>
        </w:rPr>
      </w:pPr>
      <w:r>
        <w:rPr>
          <w:rFonts w:ascii="Courier New" w:cs="Courier New" w:eastAsia="Courier New" w:hAnsi="Courier New"/>
          <w:sz w:val="16"/>
          <w:szCs w:val="16"/>
          <w:color w:val="auto"/>
        </w:rPr>
        <w:t>The following unaudited pro-forma results of operations for the fiscal years ended March 31, 1995 and 1994 assume that the Company acquired the Trans-Tec companies, as of April 1, 1993.</w:t>
      </w:r>
    </w:p>
    <w:p>
      <w:pPr>
        <w:spacing w:after="0" w:line="177" w:lineRule="exact"/>
        <w:rPr>
          <w:sz w:val="20"/>
          <w:szCs w:val="20"/>
          <w:color w:val="auto"/>
        </w:rPr>
      </w:pPr>
    </w:p>
    <w:tbl>
      <w:tblPr>
        <w:tblLayout w:type="fixed"/>
        <w:tblInd w:w="166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For the Year Ended</w:t>
            </w:r>
          </w:p>
        </w:tc>
      </w:tr>
      <w:tr>
        <w:trPr>
          <w:trHeight w:val="179"/>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w w:val="99"/>
              </w:rPr>
              <w:t>March 31,</w:t>
            </w:r>
          </w:p>
        </w:tc>
      </w:tr>
      <w:tr>
        <w:trPr>
          <w:trHeight w:val="179"/>
        </w:trPr>
        <w:tc>
          <w:tcPr>
            <w:tcW w:w="1960" w:type="dxa"/>
            <w:vAlign w:val="bottom"/>
          </w:tcPr>
          <w:p>
            <w:pPr>
              <w:spacing w:after="0"/>
              <w:rPr>
                <w:sz w:val="15"/>
                <w:szCs w:val="15"/>
                <w:color w:val="auto"/>
              </w:rPr>
            </w:pPr>
          </w:p>
        </w:tc>
        <w:tc>
          <w:tcPr>
            <w:tcW w:w="28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1995</w:t>
            </w:r>
          </w:p>
        </w:tc>
        <w:tc>
          <w:tcPr>
            <w:tcW w:w="7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1960" w:type="dxa"/>
            <w:vAlign w:val="bottom"/>
          </w:tcPr>
          <w:p>
            <w:pPr>
              <w:spacing w:after="0"/>
              <w:rPr>
                <w:sz w:val="15"/>
                <w:szCs w:val="15"/>
                <w:color w:val="auto"/>
              </w:rPr>
            </w:pP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9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$524,893,000</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$388,094,000</w:t>
            </w:r>
          </w:p>
        </w:tc>
      </w:tr>
      <w:tr>
        <w:trPr>
          <w:trHeight w:val="179"/>
        </w:trPr>
        <w:tc>
          <w:tcPr>
            <w:tcW w:w="1960" w:type="dxa"/>
            <w:vAlign w:val="bottom"/>
          </w:tcPr>
          <w:p>
            <w:pPr>
              <w:spacing w:after="0"/>
              <w:rPr>
                <w:sz w:val="15"/>
                <w:szCs w:val="15"/>
                <w:color w:val="auto"/>
              </w:rPr>
            </w:pP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8,585,000</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6,117,000</w:t>
            </w:r>
          </w:p>
        </w:tc>
      </w:tr>
      <w:tr>
        <w:trPr>
          <w:trHeight w:val="179"/>
        </w:trPr>
        <w:tc>
          <w:tcPr>
            <w:tcW w:w="1960" w:type="dxa"/>
            <w:vAlign w:val="bottom"/>
          </w:tcPr>
          <w:p>
            <w:pPr>
              <w:spacing w:after="0"/>
              <w:rPr>
                <w:sz w:val="15"/>
                <w:szCs w:val="15"/>
                <w:color w:val="auto"/>
              </w:rPr>
            </w:pP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1960" w:type="dxa"/>
            <w:vAlign w:val="bottom"/>
          </w:tcPr>
          <w:p>
            <w:pPr>
              <w:spacing w:after="0"/>
              <w:rPr>
                <w:sz w:val="15"/>
                <w:szCs w:val="15"/>
                <w:color w:val="auto"/>
              </w:rPr>
            </w:pP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3059"/>
        <w:spacing w:after="0" w:line="283" w:lineRule="auto"/>
        <w:rPr>
          <w:sz w:val="20"/>
          <w:szCs w:val="20"/>
          <w:color w:val="auto"/>
        </w:rPr>
      </w:pPr>
      <w:r>
        <w:rPr>
          <w:rFonts w:ascii="Courier New" w:cs="Courier New" w:eastAsia="Courier New" w:hAnsi="Courier New"/>
          <w:sz w:val="14"/>
          <w:szCs w:val="14"/>
          <w:color w:val="auto"/>
        </w:rPr>
        <w:t>In December 1992, the Board of Directors approved the Company's exit from the environmental services sector. The Company substantially completed its plan of discontinuance in fiscal year 1994. See Note 2 for additional discussion.</w:t>
      </w:r>
    </w:p>
    <w:p>
      <w:pPr>
        <w:spacing w:after="0" w:line="14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Basis of Consolidation</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wholly owned subsidiaries. All significant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833" w:right="1440" w:bottom="1440" w:gutter="0" w:footer="0" w:header="0"/>
        </w:sectPr>
      </w:pPr>
    </w:p>
    <w:bookmarkStart w:id="43" w:name="page44"/>
    <w:bookmarkEnd w:id="43"/>
    <w:p>
      <w:pPr>
        <w:ind w:left="840"/>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right="3059"/>
        <w:spacing w:after="0" w:line="273" w:lineRule="auto"/>
        <w:rPr>
          <w:sz w:val="20"/>
          <w:szCs w:val="20"/>
          <w:color w:val="auto"/>
        </w:rPr>
      </w:pPr>
      <w:r>
        <w:rPr>
          <w:rFonts w:ascii="Courier New" w:cs="Courier New" w:eastAsia="Courier New" w:hAnsi="Courier New"/>
          <w:sz w:val="14"/>
          <w:szCs w:val="14"/>
          <w:color w:val="auto"/>
        </w:rPr>
        <w:t>The Company classifies as cash equivalents all highly liquid investments with a maturity of three months or less from the date of purchase. The Company's investments at March 31, 1995 and 1994, amounted to $8,863,000 and $7,712,000 respectively, and consisted principally of bank repurchase agreements collaterized by United States Government Securities. Investment maturities do not exceed 30 days and are not rated lower than A1-P1 by Standard &amp; Poor's Corporation - Moody's Investors Services, Inc. Interest income, which is included in other, net, in the accompanying statements of income, totalled $765,000, $182,000 and $83,000 for the years ended March 31, 1995, 1994 and 1993, respectively. Effective April 1, 1994, the Company adopted FASB No. 115, "Accounting for Certain Investments in Debt and Equity Securities" as required. The adoption of this pronouncement did not have a material effect on the Company's financial position or results of operations.</w:t>
      </w:r>
    </w:p>
    <w:p>
      <w:pPr>
        <w:spacing w:after="0" w:line="33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Inventories</w:t>
      </w:r>
    </w:p>
    <w:p>
      <w:pPr>
        <w:spacing w:after="0" w:line="183" w:lineRule="exact"/>
        <w:rPr>
          <w:sz w:val="20"/>
          <w:szCs w:val="20"/>
          <w:color w:val="auto"/>
        </w:rPr>
      </w:pPr>
    </w:p>
    <w:p>
      <w:pPr>
        <w:jc w:val="both"/>
        <w:ind w:right="3239"/>
        <w:spacing w:after="0" w:line="283" w:lineRule="auto"/>
        <w:rPr>
          <w:sz w:val="20"/>
          <w:szCs w:val="20"/>
          <w:color w:val="auto"/>
        </w:rPr>
      </w:pPr>
      <w:r>
        <w:rPr>
          <w:rFonts w:ascii="Courier New" w:cs="Courier New" w:eastAsia="Courier New" w:hAnsi="Courier New"/>
          <w:sz w:val="14"/>
          <w:szCs w:val="14"/>
          <w:color w:val="auto"/>
        </w:rPr>
        <w:t>Inventories are stated at the lower of cost (principally, first-in, first-out) or market. Components of inventory cost include oil and fuel purchase cost, direct materials, direct and indirect labor and factory overhead.</w:t>
      </w:r>
    </w:p>
    <w:p>
      <w:pPr>
        <w:spacing w:after="0" w:line="14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Property, Plant and Equipment</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Property, plant and equipment are carried at cost less accumulated depreciation and amortization. Depreciation and amortization are calculated on a straight-line basis over the estimated useful lives of the assets as follows:</w:t>
      </w:r>
    </w:p>
    <w:tbl>
      <w:tblPr>
        <w:tblLayout w:type="fixed"/>
        <w:tblInd w:w="920" w:type="dxa"/>
        <w:tblCellMar>
          <w:top w:w="0" w:type="dxa"/>
          <w:left w:w="0" w:type="dxa"/>
          <w:bottom w:w="0" w:type="dxa"/>
          <w:right w:w="0" w:type="dxa"/>
        </w:tblCellMar>
      </w:tblPr>
      <w:tr>
        <w:trPr>
          <w:trHeight w:val="181"/>
        </w:trPr>
        <w:tc>
          <w:tcPr>
            <w:tcW w:w="2840" w:type="dxa"/>
            <w:vAlign w:val="bottom"/>
          </w:tcPr>
          <w:p>
            <w:pPr>
              <w:spacing w:after="0"/>
              <w:rPr>
                <w:sz w:val="15"/>
                <w:szCs w:val="15"/>
                <w:color w:val="auto"/>
              </w:rPr>
            </w:pPr>
          </w:p>
        </w:tc>
        <w:tc>
          <w:tcPr>
            <w:tcW w:w="2460" w:type="dxa"/>
            <w:vAlign w:val="bottom"/>
          </w:tcPr>
          <w:p>
            <w:pPr>
              <w:jc w:val="right"/>
              <w:ind w:right="1122"/>
              <w:spacing w:after="0"/>
              <w:rPr>
                <w:sz w:val="20"/>
                <w:szCs w:val="20"/>
                <w:color w:val="auto"/>
              </w:rPr>
            </w:pPr>
            <w:r>
              <w:rPr>
                <w:rFonts w:ascii="Courier New" w:cs="Courier New" w:eastAsia="Courier New" w:hAnsi="Courier New"/>
                <w:sz w:val="16"/>
                <w:szCs w:val="16"/>
                <w:color w:val="auto"/>
              </w:rPr>
              <w:t>YEARS</w:t>
            </w:r>
          </w:p>
        </w:tc>
      </w:tr>
      <w:tr>
        <w:trPr>
          <w:trHeight w:val="179"/>
        </w:trPr>
        <w:tc>
          <w:tcPr>
            <w:tcW w:w="2840" w:type="dxa"/>
            <w:vAlign w:val="bottom"/>
          </w:tcPr>
          <w:p>
            <w:pPr>
              <w:spacing w:after="0"/>
              <w:rPr>
                <w:sz w:val="15"/>
                <w:szCs w:val="15"/>
                <w:color w:val="auto"/>
              </w:rPr>
            </w:pPr>
          </w:p>
        </w:tc>
        <w:tc>
          <w:tcPr>
            <w:tcW w:w="2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2460" w:type="dxa"/>
            <w:vAlign w:val="bottom"/>
          </w:tcPr>
          <w:p>
            <w:pPr>
              <w:jc w:val="center"/>
              <w:spacing w:after="0"/>
              <w:rPr>
                <w:sz w:val="20"/>
                <w:szCs w:val="20"/>
                <w:color w:val="auto"/>
              </w:rPr>
            </w:pPr>
            <w:r>
              <w:rPr>
                <w:rFonts w:ascii="Courier New" w:cs="Courier New" w:eastAsia="Courier New" w:hAnsi="Courier New"/>
                <w:sz w:val="16"/>
                <w:szCs w:val="16"/>
                <w:color w:val="auto"/>
                <w:w w:val="95"/>
              </w:rPr>
              <w:t>10-40</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Leasehold improvements</w:t>
            </w:r>
          </w:p>
        </w:tc>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Minimum term of the lease</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Office equipment and furniture</w:t>
            </w:r>
          </w:p>
        </w:tc>
        <w:tc>
          <w:tcPr>
            <w:tcW w:w="2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3-8</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Plant, machinery and equipment</w:t>
            </w:r>
          </w:p>
        </w:tc>
        <w:tc>
          <w:tcPr>
            <w:tcW w:w="24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3-40</w:t>
            </w:r>
          </w:p>
        </w:tc>
      </w:tr>
    </w:tbl>
    <w:p>
      <w:pPr>
        <w:spacing w:after="0" w:line="362"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The Company leases premises in New Orleans, Louisiana and Plant City, Florida. The leases expire in August 1996. The Company has an option to purchase the properties at current market value at any time during the lease term. The Company intends to exercise the purchase options and, accordingly, is depreciating the improvements to the premises over their estimated economic lives. See Note 6 for additional information.</w:t>
      </w:r>
    </w:p>
    <w:p>
      <w:pPr>
        <w:spacing w:after="0" w:line="183" w:lineRule="exact"/>
        <w:rPr>
          <w:sz w:val="20"/>
          <w:szCs w:val="20"/>
          <w:color w:val="auto"/>
        </w:rPr>
      </w:pPr>
    </w:p>
    <w:p>
      <w:pPr>
        <w:ind w:right="3239"/>
        <w:spacing w:after="0" w:line="276" w:lineRule="auto"/>
        <w:rPr>
          <w:sz w:val="20"/>
          <w:szCs w:val="20"/>
          <w:color w:val="auto"/>
        </w:rPr>
      </w:pPr>
      <w:r>
        <w:rPr>
          <w:rFonts w:ascii="Courier New" w:cs="Courier New" w:eastAsia="Courier New" w:hAnsi="Courier New"/>
          <w:sz w:val="14"/>
          <w:szCs w:val="14"/>
          <w:color w:val="auto"/>
        </w:rPr>
        <w:t>Costs of major additions and improvements are capitalized and expenditures for maintenance and repairs which do not extend the lives of the assets are expensed. Upon sale or disposition of property, plant and equipment, the cost and related accumulated depreciation are eliminated from the accounts and any resultant gain or loss is credited or charged to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827" w:right="1440" w:bottom="1440" w:gutter="0" w:footer="0" w:header="0"/>
        </w:sectPr>
      </w:pPr>
    </w:p>
    <w:bookmarkStart w:id="44" w:name="page45"/>
    <w:bookmarkEnd w:id="44"/>
    <w:p>
      <w:pPr>
        <w:ind w:left="840"/>
        <w:spacing w:after="0"/>
        <w:rPr>
          <w:sz w:val="20"/>
          <w:szCs w:val="20"/>
          <w:color w:val="auto"/>
        </w:rPr>
      </w:pPr>
      <w:r>
        <w:rPr>
          <w:rFonts w:ascii="Courier New" w:cs="Courier New" w:eastAsia="Courier New" w:hAnsi="Courier New"/>
          <w:sz w:val="16"/>
          <w:szCs w:val="16"/>
          <w:color w:val="auto"/>
        </w:rPr>
        <w:t>Unamortized Cost in Excess of Net Assets of Acquired Companies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Unamortized cost in excess of net assets of acquired companies is being amortized over 35-40 years using the straight-line method. Accumulated amortization amounted to $413,000 and $284,000, as of March 31, 1995 and 1994, respectively. Subsequent to its acquisition, the Company continually evaluates whether later events and circumstances have occurred that indicate the remaining estimated useful life of this asset may warrant revision or that the remaining balance of this asset may not be recoverable.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Revenue is generally recorded in the period when the sale is made or as the services are performed. In the Company's aviation and marine fueling segments, the Company contracts third parties to provide the fuel and/or intoplane services. This may cause delays in receiving the necessary information for invoicing. Accordingly, revenue may be recognized in a period subsequent to when the delivery of fuel took place. Costs not yet billed are classified as current assets and are included under "Inventories".</w:t>
      </w:r>
    </w:p>
    <w:p>
      <w:pPr>
        <w:spacing w:after="0" w:line="33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The Company and its United States subsidiaries file consolidated income tax returns. During the first quarter of fiscal year 1994, the Company adopted the liability method of accounting for income taxes pursuant to the Financial Accounting Standards Board's Statement of Financial Accounting Standards No. 109, "Accounting for Income Taxes". See Note 4 for additional information.</w:t>
      </w:r>
    </w:p>
    <w:p>
      <w:pPr>
        <w:spacing w:after="0" w:line="1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Foreign Currency Translation</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Company's primary functional currency is the U.S. Dollar which also serves as its reporting currency. Most foreign entities translate monetary assets and liabilities at fiscal year-end exchange rates while non-monetary items are translated at historical rates. Income and expense accounts are translated at the average rates in effect during the year, except for depreciation which is translated at historical rates. The Company's joint venture uses the Company's reporting currency as the functional currency (as it operates in a highly inflationary economy) and translates net assets at fiscal year-end rates while income and expense accounts are translated at average exchange rates. Gains or losses from changes in exchange rates are recognized in consolidated income in the year of occurrence.</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Company's purchases from certain aviation fuel suppliers are denominated in local currency. Foreign currency exchange gains and losses resulting from payments to aviation fuel suppliers are included in Other, net, in the period incurred, and amounted to net gains of $737,000 for the fiscal year ended March 31, 1995. There were no significant foreign currency gains or losses in fiscal years 1994 and 1993.</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Earnings Per Share</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Earnings (losses) per common and common equivalent share have been computed by dividing net income (loss) by the weighted average number of shares of common stock and common stock equivalents outstanding. Common stock equivalents include all potentially dilutive outstanding stock options and warrants applying the treasury stock method. Primary and fully diluted earnings per share are not materially different.</w:t>
      </w:r>
    </w:p>
    <w:p>
      <w:pPr>
        <w:spacing w:after="0" w:line="356"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1006" w:right="1440" w:bottom="1440" w:gutter="0" w:footer="0" w:header="0"/>
        </w:sectPr>
      </w:pPr>
    </w:p>
    <w:bookmarkStart w:id="45" w:name="page46"/>
    <w:bookmarkEnd w:id="45"/>
    <w:p>
      <w:pPr>
        <w:ind w:left="465" w:hanging="465"/>
        <w:spacing w:after="0"/>
        <w:tabs>
          <w:tab w:leader="none" w:pos="4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DISCONTINUED OPERATIONS</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On December 10, 1992, the Company's Board of Directors authorized the sale of the Company's environmental services segment. Accordingly, as of December 31, 1992, the Company reported its environmental services segment as a discontinued operation.</w:t>
      </w:r>
    </w:p>
    <w:p>
      <w:pPr>
        <w:spacing w:after="0" w:line="185" w:lineRule="exact"/>
        <w:rPr>
          <w:sz w:val="20"/>
          <w:szCs w:val="20"/>
          <w:color w:val="auto"/>
        </w:rPr>
      </w:pPr>
    </w:p>
    <w:p>
      <w:pPr>
        <w:ind w:left="5" w:right="2959"/>
        <w:spacing w:after="0" w:line="283" w:lineRule="auto"/>
        <w:rPr>
          <w:sz w:val="20"/>
          <w:szCs w:val="20"/>
          <w:color w:val="auto"/>
        </w:rPr>
      </w:pPr>
      <w:r>
        <w:rPr>
          <w:rFonts w:ascii="Courier New" w:cs="Courier New" w:eastAsia="Courier New" w:hAnsi="Courier New"/>
          <w:sz w:val="14"/>
          <w:szCs w:val="14"/>
          <w:color w:val="auto"/>
        </w:rPr>
        <w:t>As of March 31, 1995, assets included in the accompanying consolidated balance sheet related to entities which were discontinued, consist primarily of $1,288,000 in notes receivable, net of an allowance for bad debts.</w:t>
      </w:r>
    </w:p>
    <w:p>
      <w:pPr>
        <w:spacing w:after="0" w:line="155" w:lineRule="exact"/>
        <w:rPr>
          <w:sz w:val="20"/>
          <w:szCs w:val="20"/>
          <w:color w:val="auto"/>
        </w:rPr>
      </w:pPr>
    </w:p>
    <w:p>
      <w:pPr>
        <w:ind w:left="5" w:right="2959"/>
        <w:spacing w:after="0" w:line="236" w:lineRule="auto"/>
        <w:rPr>
          <w:sz w:val="20"/>
          <w:szCs w:val="20"/>
          <w:color w:val="auto"/>
        </w:rPr>
      </w:pPr>
      <w:r>
        <w:rPr>
          <w:rFonts w:ascii="Courier New" w:cs="Courier New" w:eastAsia="Courier New" w:hAnsi="Courier New"/>
          <w:sz w:val="16"/>
          <w:szCs w:val="16"/>
          <w:color w:val="auto"/>
        </w:rPr>
        <w:t>On April 17, 1995 the Company obtained certified closure of its soil storage permit from the Florida Department of Environmental Protection for the Part-B facility. This enabled the Company to transfer the building ownership under a previously agreed arrangement and to request permit closure from the Environmental Protection Agency. At this time, the Company is unable to determine the period of time or cost required to complete the Environmental Protection Agency permit closure.</w:t>
      </w:r>
    </w:p>
    <w:p>
      <w:pPr>
        <w:spacing w:after="0" w:line="184"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During fiscal year 1995, the Company was undergoing the completion of certain environmental projects under state reimbursement programs. However, in March 1995, the State of Florida amended its environmental remediation program. This resulted in the suspension of reimbursement for work performed effective March 27, 1995 on all of the sites at which the Company was contracted to perform work. Pursuant to the enacted changes, the Company believes that it no longer has contractual liability to complete these projects, and accordingly has notified the project owners that pursuant to the legislation all work has ceased, effective March 27, 1995.</w:t>
      </w:r>
    </w:p>
    <w:p>
      <w:pPr>
        <w:spacing w:after="0" w:line="185"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Company periodically reevaluates the adequacy of its accruals related to its discontinued operations, including the amounts which may be realized from the reimbursement for remediation work performed under the state reimbursement programs. Any changes in those estimates have been included in discontinued operations in the accompanying financial statements. As of March 31, 1995, the Company had $50,000 in estimated accrued expenses related to its discontinued operations.</w:t>
      </w:r>
    </w:p>
    <w:p>
      <w:pPr>
        <w:spacing w:after="0" w:line="184"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Revenues applicable to the discontinued operations were $36,000, $49,000 and $7,835,000 for the fiscal years 1995, 1994 and 1993,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145"/>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4"/>
          </w:cols>
          <w:pgMar w:left="235" w:top="100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(3) LONG-TERM DEBT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debt consists of the following at March 31:</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12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1994</w:t>
            </w:r>
          </w:p>
        </w:tc>
      </w:tr>
      <w:tr>
        <w:trPr>
          <w:trHeight w:val="179"/>
        </w:trPr>
        <w:tc>
          <w:tcPr>
            <w:tcW w:w="344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Promissory notes issued in</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$ 6,000,000</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8"/>
              </w:rPr>
              <w:t>connection with the acquisition of</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the Trans-tec group of companies,</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payable annually through January</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1998, bearing interest at 9%,</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unsecured</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Capitalized lease obligations,</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payable through August 1996,</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interest at rates ranging from</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10.19% to 10.70% (secured</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by property with a net book</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value of $263,000 and</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$416,000 at March 31, 1995 and</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1994, respectively)</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251,000</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479,000</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Equipment notes, payable monthly</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through May 1998, interest</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rates ranging from 6.76% to</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7.00%, secured by equipment</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147,000</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188,000</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Mortgage note, bearing interest at</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12.0%, payable monthly through</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July 2001, secured by land, plant</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and equipment</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177,000</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194,000</w:t>
            </w:r>
          </w:p>
        </w:tc>
      </w:tr>
      <w:tr>
        <w:trPr>
          <w:trHeight w:val="179"/>
        </w:trPr>
        <w:tc>
          <w:tcPr>
            <w:tcW w:w="344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6,575,000</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861,000</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Less current maturities</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2,128,000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286,000</w:t>
            </w:r>
          </w:p>
        </w:tc>
      </w:tr>
      <w:tr>
        <w:trPr>
          <w:trHeight w:val="179"/>
        </w:trPr>
        <w:tc>
          <w:tcPr>
            <w:tcW w:w="344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$4,447,000</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575,000</w:t>
            </w:r>
          </w:p>
        </w:tc>
      </w:tr>
      <w:tr>
        <w:trPr>
          <w:trHeight w:val="179"/>
        </w:trPr>
        <w:tc>
          <w:tcPr>
            <w:tcW w:w="344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 has an unsecured credit facility providing a $25,000,000 revolving line of credit with sublimits of $8,000,000 and $6,000,000 for standby letters of credit and documentary letters of credit, respectively. The amendment was effective March 31, 1995. Approximately $2,554,000 in standby letters of credit were outstanding as of March 31, 1995 under the credit facility. The Company also has $1,635,000 outstanding in standby letters of credit from other financing institutions and has pledged $1,635,000 of cash as collateral on these letters of credit.</w:t>
      </w:r>
    </w:p>
    <w:p>
      <w:pPr>
        <w:spacing w:after="0" w:line="184" w:lineRule="exact"/>
        <w:rPr>
          <w:sz w:val="20"/>
          <w:szCs w:val="20"/>
          <w:color w:val="auto"/>
        </w:rPr>
      </w:pPr>
    </w:p>
    <w:p>
      <w:pPr>
        <w:ind w:right="3239" w:firstLine="465"/>
        <w:spacing w:after="0" w:line="273" w:lineRule="auto"/>
        <w:rPr>
          <w:sz w:val="20"/>
          <w:szCs w:val="20"/>
          <w:color w:val="auto"/>
        </w:rPr>
      </w:pPr>
      <w:r>
        <w:rPr>
          <w:rFonts w:ascii="Courier New" w:cs="Courier New" w:eastAsia="Courier New" w:hAnsi="Courier New"/>
          <w:sz w:val="14"/>
          <w:szCs w:val="14"/>
          <w:color w:val="auto"/>
        </w:rPr>
        <w:t>The revolving line of credit bears interest, at the Company's option, at the Prime rate (9.0% at March 31, 1995), or LIBOR plus 1.45%. Interest is payable quarterly in arrears. As of March 31, 1995 and 1994, there were no amounts outstanding under the revolving line of credit. The outstanding principal and interest will mature on March 31, 1998. The revolving line of credit, in addition to other restrictions, requires the maintenance of certain financial ratios and account balances, limits cash outlays for capital expenditures, places certain restrictions on additional borrowings outside of NationsBank of Florida, NA and restricts the payment of dividends, except for the Company's quarterly dividend which complies with the NationsBank facility. See Note 5 for additional discussion. As of March 31, 1995, the Company was in compliance with its debt covenants.</w:t>
      </w:r>
    </w:p>
    <w:p>
      <w:pPr>
        <w:spacing w:after="0" w:line="335"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827" w:right="1440" w:bottom="1440" w:gutter="0" w:footer="0" w:header="0"/>
        </w:sectPr>
      </w:pPr>
    </w:p>
    <w:bookmarkStart w:id="47" w:name="page48"/>
    <w:bookmarkEnd w:id="47"/>
    <w:p>
      <w:pPr>
        <w:ind w:right="3339"/>
        <w:spacing w:after="0" w:line="234" w:lineRule="auto"/>
        <w:rPr>
          <w:sz w:val="20"/>
          <w:szCs w:val="20"/>
          <w:color w:val="auto"/>
        </w:rPr>
      </w:pPr>
      <w:r>
        <w:rPr>
          <w:rFonts w:ascii="Courier New" w:cs="Courier New" w:eastAsia="Courier New" w:hAnsi="Courier New"/>
          <w:sz w:val="16"/>
          <w:szCs w:val="16"/>
          <w:color w:val="auto"/>
        </w:rPr>
        <w:t>Aggregate annual maturities of long-term debt as of March 31, 1995, are as follows:</w:t>
      </w:r>
    </w:p>
    <w:p>
      <w:pPr>
        <w:spacing w:after="0" w:line="177" w:lineRule="exact"/>
        <w:rPr>
          <w:sz w:val="20"/>
          <w:szCs w:val="20"/>
          <w:color w:val="auto"/>
        </w:rPr>
      </w:pPr>
    </w:p>
    <w:tbl>
      <w:tblPr>
        <w:tblLayout w:type="fixed"/>
        <w:tblInd w:w="1580" w:type="dxa"/>
        <w:tblCellMar>
          <w:top w:w="0" w:type="dxa"/>
          <w:left w:w="0" w:type="dxa"/>
          <w:bottom w:w="0" w:type="dxa"/>
          <w:right w:w="0" w:type="dxa"/>
        </w:tblCellMar>
      </w:tblPr>
      <w:tr>
        <w:trPr>
          <w:trHeight w:val="181"/>
        </w:trPr>
        <w:tc>
          <w:tcPr>
            <w:tcW w:w="12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3"/>
              </w:rPr>
              <w:t>1996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$2,128,000</w:t>
            </w:r>
          </w:p>
        </w:tc>
      </w:tr>
      <w:tr>
        <w:trPr>
          <w:trHeight w:val="179"/>
        </w:trPr>
        <w:tc>
          <w:tcPr>
            <w:tcW w:w="12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3"/>
              </w:rPr>
              <w:t>1997</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2,080,000</w:t>
            </w:r>
          </w:p>
        </w:tc>
      </w:tr>
      <w:tr>
        <w:trPr>
          <w:trHeight w:val="179"/>
        </w:trPr>
        <w:tc>
          <w:tcPr>
            <w:tcW w:w="12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3"/>
              </w:rPr>
              <w:t>1998</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2,249,000</w:t>
            </w:r>
          </w:p>
        </w:tc>
      </w:tr>
      <w:tr>
        <w:trPr>
          <w:trHeight w:val="179"/>
        </w:trPr>
        <w:tc>
          <w:tcPr>
            <w:tcW w:w="12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3"/>
              </w:rPr>
              <w:t>1999</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37,000</w:t>
            </w:r>
          </w:p>
        </w:tc>
      </w:tr>
      <w:tr>
        <w:trPr>
          <w:trHeight w:val="179"/>
        </w:trPr>
        <w:tc>
          <w:tcPr>
            <w:tcW w:w="12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3"/>
              </w:rPr>
              <w:t>2000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32,000</w:t>
            </w:r>
          </w:p>
        </w:tc>
      </w:tr>
      <w:tr>
        <w:trPr>
          <w:trHeight w:val="179"/>
        </w:trPr>
        <w:tc>
          <w:tcPr>
            <w:tcW w:w="12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5"/>
              </w:rPr>
              <w:t>Thereafter</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49,000</w:t>
            </w:r>
          </w:p>
        </w:tc>
      </w:tr>
      <w:tr>
        <w:trPr>
          <w:trHeight w:val="179"/>
        </w:trPr>
        <w:tc>
          <w:tcPr>
            <w:tcW w:w="120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$6,575,000</w:t>
            </w:r>
          </w:p>
        </w:tc>
      </w:tr>
      <w:tr>
        <w:trPr>
          <w:trHeight w:val="179"/>
        </w:trPr>
        <w:tc>
          <w:tcPr>
            <w:tcW w:w="120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3719"/>
        <w:spacing w:after="0" w:line="295" w:lineRule="auto"/>
        <w:rPr>
          <w:sz w:val="20"/>
          <w:szCs w:val="20"/>
          <w:color w:val="auto"/>
        </w:rPr>
      </w:pPr>
      <w:r>
        <w:rPr>
          <w:rFonts w:ascii="Courier New" w:cs="Courier New" w:eastAsia="Courier New" w:hAnsi="Courier New"/>
          <w:sz w:val="14"/>
          <w:szCs w:val="14"/>
          <w:color w:val="auto"/>
        </w:rPr>
        <w:t>Interest expense, which is included in other, net, in the accompanying statements of income, is as follows for the year ended March 31:</w:t>
      </w:r>
    </w:p>
    <w:p>
      <w:pPr>
        <w:spacing w:after="0" w:line="141"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11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8"/>
              </w:rPr>
              <w:t>1995</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1993</w:t>
            </w:r>
          </w:p>
        </w:tc>
      </w:tr>
      <w:tr>
        <w:trPr>
          <w:trHeight w:val="179"/>
        </w:trPr>
        <w:tc>
          <w:tcPr>
            <w:tcW w:w="2000" w:type="dxa"/>
            <w:vAlign w:val="bottom"/>
          </w:tcPr>
          <w:p>
            <w:pPr>
              <w:spacing w:after="0"/>
              <w:rPr>
                <w:sz w:val="15"/>
                <w:szCs w:val="15"/>
                <w:color w:val="auto"/>
              </w:rPr>
            </w:pP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cost</w:t>
            </w: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$263,000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$175,000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$272,000</w:t>
            </w:r>
          </w:p>
        </w:tc>
      </w:tr>
      <w:tr>
        <w:trPr>
          <w:trHeight w:val="358"/>
        </w:trPr>
        <w:tc>
          <w:tcPr>
            <w:tcW w:w="2000" w:type="dxa"/>
            <w:vAlign w:val="bottom"/>
          </w:tcPr>
          <w:p>
            <w:pPr>
              <w:spacing w:after="0"/>
              <w:rPr>
                <w:sz w:val="20"/>
                <w:szCs w:val="20"/>
                <w:color w:val="auto"/>
              </w:rPr>
            </w:pPr>
            <w:r>
              <w:rPr>
                <w:rFonts w:ascii="Courier New" w:cs="Courier New" w:eastAsia="Courier New" w:hAnsi="Courier New"/>
                <w:sz w:val="16"/>
                <w:szCs w:val="16"/>
                <w:color w:val="auto"/>
              </w:rPr>
              <w:t>Capitalized interest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32,000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272,000</w:t>
            </w:r>
          </w:p>
        </w:tc>
      </w:tr>
      <w:tr>
        <w:trPr>
          <w:trHeight w:val="179"/>
        </w:trPr>
        <w:tc>
          <w:tcPr>
            <w:tcW w:w="2000" w:type="dxa"/>
            <w:vAlign w:val="bottom"/>
          </w:tcPr>
          <w:p>
            <w:pPr>
              <w:spacing w:after="0"/>
              <w:rPr>
                <w:sz w:val="15"/>
                <w:szCs w:val="15"/>
                <w:color w:val="auto"/>
              </w:rPr>
            </w:pP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$263,000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$143,000</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2000" w:type="dxa"/>
            <w:vAlign w:val="bottom"/>
          </w:tcPr>
          <w:p>
            <w:pPr>
              <w:spacing w:after="0"/>
              <w:rPr>
                <w:sz w:val="15"/>
                <w:szCs w:val="15"/>
                <w:color w:val="auto"/>
              </w:rPr>
            </w:pP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INCOME TAXES</w:t>
      </w:r>
    </w:p>
    <w:p>
      <w:pPr>
        <w:spacing w:after="0" w:line="183" w:lineRule="exact"/>
        <w:rPr>
          <w:sz w:val="20"/>
          <w:szCs w:val="20"/>
          <w:color w:val="auto"/>
        </w:rPr>
      </w:pPr>
    </w:p>
    <w:p>
      <w:pPr>
        <w:ind w:right="3439"/>
        <w:spacing w:after="0" w:line="236" w:lineRule="auto"/>
        <w:rPr>
          <w:sz w:val="20"/>
          <w:szCs w:val="20"/>
          <w:color w:val="auto"/>
        </w:rPr>
      </w:pPr>
      <w:r>
        <w:rPr>
          <w:rFonts w:ascii="Courier New" w:cs="Courier New" w:eastAsia="Courier New" w:hAnsi="Courier New"/>
          <w:sz w:val="16"/>
          <w:szCs w:val="16"/>
          <w:color w:val="auto"/>
        </w:rPr>
        <w:t>During fiscal year 1995, the U.S. Federal Income Tax Returns for the Company's fiscal years ended March 31, 1992 and 1993, were audited by the Internal Revenue Service. The adjustments for the years under audit and the anticipated effect of amending fiscal year 1994, resulted in a tax benefit which was recognized in fiscal year 1995 for financial reporting purposes.</w:t>
      </w:r>
    </w:p>
    <w:p>
      <w:pPr>
        <w:spacing w:after="0" w:line="18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The provision for income taxes consists of the following components for the year ended March 31:</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12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1993</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Continuing</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operations</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$4,935,000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$3,242,000</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$2,984,000</w:t>
            </w: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Discontinued</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operations</w:t>
            </w:r>
          </w:p>
        </w:tc>
        <w:tc>
          <w:tcPr>
            <w:tcW w:w="11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(2,026,000)</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$4,935,000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$3,242,000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958,000</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Federal</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$3,764,000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$2,648,000</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$1,629,000</w:t>
            </w: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State</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990,000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412,000</w:t>
            </w:r>
          </w:p>
        </w:tc>
        <w:tc>
          <w:tcPr>
            <w:tcW w:w="2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241,000</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4,754,000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3,060,000</w:t>
            </w:r>
          </w:p>
        </w:tc>
        <w:tc>
          <w:tcPr>
            <w:tcW w:w="2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1,870,000</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Federal</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142,000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158,000</w:t>
            </w:r>
          </w:p>
        </w:tc>
        <w:tc>
          <w:tcPr>
            <w:tcW w:w="2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(800,000)</w:t>
            </w: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State</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24,000</w:t>
            </w:r>
          </w:p>
        </w:tc>
        <w:tc>
          <w:tcPr>
            <w:tcW w:w="2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(112,000)</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181,000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182,000</w:t>
            </w:r>
          </w:p>
        </w:tc>
        <w:tc>
          <w:tcPr>
            <w:tcW w:w="2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(912,000)</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Total</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$4,935,000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$3,242,000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958,000</w:t>
            </w:r>
          </w:p>
        </w:tc>
      </w:tr>
      <w:tr>
        <w:trPr>
          <w:trHeight w:val="179"/>
        </w:trPr>
        <w:tc>
          <w:tcPr>
            <w:tcW w:w="120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833" w:right="1440" w:bottom="1440" w:gutter="0" w:footer="0" w:header="0"/>
        </w:sectPr>
      </w:pPr>
    </w:p>
    <w:bookmarkStart w:id="48" w:name="page49"/>
    <w:bookmarkEnd w:id="48"/>
    <w:p>
      <w:pPr>
        <w:ind w:left="5" w:right="3239"/>
        <w:spacing w:after="0" w:line="236" w:lineRule="auto"/>
        <w:rPr>
          <w:sz w:val="20"/>
          <w:szCs w:val="20"/>
          <w:color w:val="auto"/>
        </w:rPr>
      </w:pPr>
      <w:r>
        <w:rPr>
          <w:rFonts w:ascii="Courier New" w:cs="Courier New" w:eastAsia="Courier New" w:hAnsi="Courier New"/>
          <w:sz w:val="16"/>
          <w:szCs w:val="16"/>
          <w:color w:val="auto"/>
        </w:rPr>
        <w:t>Effective April 1, 1993, the Company adopted the provisions of Statement of Financial Accounting Standards No. 109, "Accounting for Income Taxes." This new statement supersedes Statement No. 96, previously implemented by the Company, and also requires the liability method in accounting for income taxes. The adoption of this new pronouncement did not have a material effect on the Company's consolidated financial position or results of operations.</w:t>
      </w:r>
    </w:p>
    <w:p>
      <w:pPr>
        <w:spacing w:after="0" w:line="184" w:lineRule="exact"/>
        <w:rPr>
          <w:sz w:val="20"/>
          <w:szCs w:val="20"/>
          <w:color w:val="auto"/>
        </w:rPr>
      </w:pPr>
    </w:p>
    <w:p>
      <w:pPr>
        <w:ind w:left="5" w:right="3619"/>
        <w:spacing w:after="0" w:line="235" w:lineRule="auto"/>
        <w:rPr>
          <w:sz w:val="20"/>
          <w:szCs w:val="20"/>
          <w:color w:val="auto"/>
        </w:rPr>
      </w:pPr>
      <w:r>
        <w:rPr>
          <w:rFonts w:ascii="Courier New" w:cs="Courier New" w:eastAsia="Courier New" w:hAnsi="Courier New"/>
          <w:sz w:val="16"/>
          <w:szCs w:val="16"/>
          <w:color w:val="auto"/>
        </w:rPr>
        <w:t>The difference between the reported tax provision and the provision computed by applying the statutory Federal income tax rate currently in effect to income before income taxes for each of the three years ended March 31, 1995, is primarily due to state income taxes.</w:t>
      </w:r>
    </w:p>
    <w:p>
      <w:pPr>
        <w:spacing w:after="0" w:line="185" w:lineRule="exact"/>
        <w:rPr>
          <w:sz w:val="20"/>
          <w:szCs w:val="20"/>
          <w:color w:val="auto"/>
        </w:rPr>
      </w:pPr>
    </w:p>
    <w:p>
      <w:pPr>
        <w:ind w:left="5" w:right="3619"/>
        <w:spacing w:after="0" w:line="234" w:lineRule="auto"/>
        <w:rPr>
          <w:sz w:val="20"/>
          <w:szCs w:val="20"/>
          <w:color w:val="auto"/>
        </w:rPr>
      </w:pPr>
      <w:r>
        <w:rPr>
          <w:rFonts w:ascii="Courier New" w:cs="Courier New" w:eastAsia="Courier New" w:hAnsi="Courier New"/>
          <w:sz w:val="16"/>
          <w:szCs w:val="16"/>
          <w:color w:val="auto"/>
        </w:rPr>
        <w:t>The temporary differences which comprise the Company's net deferred tax assets are as follows:</w:t>
      </w:r>
    </w:p>
    <w:p>
      <w:pPr>
        <w:spacing w:after="0" w:line="177" w:lineRule="exact"/>
        <w:rPr>
          <w:sz w:val="20"/>
          <w:szCs w:val="20"/>
          <w:color w:val="auto"/>
        </w:rPr>
      </w:pPr>
    </w:p>
    <w:tbl>
      <w:tblPr>
        <w:tblLayout w:type="fixed"/>
        <w:tblInd w:w="185"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March 31,</w:t>
            </w:r>
          </w:p>
        </w:tc>
        <w:tc>
          <w:tcPr>
            <w:tcW w:w="92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316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1995</w:t>
            </w:r>
          </w:p>
        </w:tc>
        <w:tc>
          <w:tcPr>
            <w:tcW w:w="104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2980" w:type="dxa"/>
            <w:vAlign w:val="bottom"/>
          </w:tcPr>
          <w:p>
            <w:pPr>
              <w:spacing w:after="0"/>
              <w:rPr>
                <w:sz w:val="15"/>
                <w:szCs w:val="15"/>
                <w:color w:val="auto"/>
              </w:rPr>
            </w:pP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Excess of provision 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bad debts over charge-offs</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$ 1,340,000</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888,000</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Excess of tax over financial</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reporting depreciation and</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w:t>
            </w:r>
          </w:p>
        </w:tc>
        <w:tc>
          <w:tcPr>
            <w:tcW w:w="1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(1,284,000)</w:t>
            </w:r>
          </w:p>
        </w:tc>
        <w:tc>
          <w:tcPr>
            <w:tcW w:w="10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(900,000)</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Accrued litigation settlement</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expense recognized 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financial reporting purposes,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not currently deductible</w:t>
            </w:r>
          </w:p>
        </w:tc>
        <w:tc>
          <w:tcPr>
            <w:tcW w:w="1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481,000</w:t>
            </w:r>
          </w:p>
        </w:tc>
        <w:tc>
          <w:tcPr>
            <w:tcW w:w="10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481,000</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Excess of tax over financial</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reporting amortization of</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identifiable intangibles</w:t>
            </w:r>
          </w:p>
        </w:tc>
        <w:tc>
          <w:tcPr>
            <w:tcW w:w="1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(248,000)</w:t>
            </w:r>
          </w:p>
        </w:tc>
        <w:tc>
          <w:tcPr>
            <w:tcW w:w="1040" w:type="dxa"/>
            <w:vAlign w:val="bottom"/>
          </w:tcPr>
          <w:p>
            <w:pPr>
              <w:spacing w:after="0"/>
              <w:rPr>
                <w:sz w:val="15"/>
                <w:szCs w:val="15"/>
                <w:color w:val="auto"/>
              </w:rPr>
            </w:pPr>
          </w:p>
        </w:tc>
        <w:tc>
          <w:tcPr>
            <w:tcW w:w="9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(24,000)</w:t>
            </w:r>
          </w:p>
        </w:tc>
        <w:tc>
          <w:tcPr>
            <w:tcW w:w="10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(111,000)</w:t>
            </w:r>
          </w:p>
        </w:tc>
      </w:tr>
      <w:tr>
        <w:trPr>
          <w:trHeight w:val="179"/>
        </w:trPr>
        <w:tc>
          <w:tcPr>
            <w:tcW w:w="2980" w:type="dxa"/>
            <w:vAlign w:val="bottom"/>
          </w:tcPr>
          <w:p>
            <w:pPr>
              <w:spacing w:after="0"/>
              <w:rPr>
                <w:sz w:val="15"/>
                <w:szCs w:val="15"/>
                <w:color w:val="auto"/>
              </w:rPr>
            </w:pP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265,000</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358,000</w:t>
            </w:r>
          </w:p>
        </w:tc>
      </w:tr>
      <w:tr>
        <w:trPr>
          <w:trHeight w:val="179"/>
        </w:trPr>
        <w:tc>
          <w:tcPr>
            <w:tcW w:w="2980" w:type="dxa"/>
            <w:vAlign w:val="bottom"/>
          </w:tcPr>
          <w:p>
            <w:pPr>
              <w:spacing w:after="0"/>
              <w:rPr>
                <w:sz w:val="15"/>
                <w:szCs w:val="15"/>
                <w:color w:val="auto"/>
              </w:rPr>
            </w:pP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rPr>
        <w:t>The net deferred tax assets as of March 31, 1995 and 1994, are included in other assets in the accompanying consolidated balance sheets.</w:t>
      </w:r>
    </w:p>
    <w:p>
      <w:pPr>
        <w:spacing w:after="0" w:line="183" w:lineRule="exact"/>
        <w:rPr>
          <w:sz w:val="20"/>
          <w:szCs w:val="20"/>
          <w:color w:val="auto"/>
        </w:rPr>
      </w:pPr>
    </w:p>
    <w:p>
      <w:pPr>
        <w:ind w:left="845" w:right="7439" w:hanging="845"/>
        <w:spacing w:after="0" w:line="541" w:lineRule="auto"/>
        <w:tabs>
          <w:tab w:leader="none" w:pos="3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 Activity</w:t>
      </w:r>
    </w:p>
    <w:p>
      <w:pPr>
        <w:spacing w:after="0" w:line="1" w:lineRule="exact"/>
        <w:rPr>
          <w:sz w:val="20"/>
          <w:szCs w:val="20"/>
          <w:color w:val="auto"/>
        </w:rPr>
      </w:pPr>
    </w:p>
    <w:p>
      <w:pPr>
        <w:ind w:left="5" w:right="3519"/>
        <w:spacing w:after="0" w:line="235" w:lineRule="auto"/>
        <w:rPr>
          <w:sz w:val="20"/>
          <w:szCs w:val="20"/>
          <w:color w:val="auto"/>
        </w:rPr>
      </w:pPr>
      <w:r>
        <w:rPr>
          <w:rFonts w:ascii="Courier New" w:cs="Courier New" w:eastAsia="Courier New" w:hAnsi="Courier New"/>
          <w:sz w:val="16"/>
          <w:szCs w:val="16"/>
          <w:color w:val="auto"/>
        </w:rPr>
        <w:t>On January 3, 1995, the Company issued 387,000 shares of the Company's common stock pursuant to the Trans-Tec Services acquisition. See Note 1 for additional information.</w:t>
      </w:r>
    </w:p>
    <w:p>
      <w:pPr>
        <w:spacing w:after="0" w:line="183" w:lineRule="exact"/>
        <w:rPr>
          <w:sz w:val="20"/>
          <w:szCs w:val="20"/>
          <w:color w:val="auto"/>
        </w:rPr>
      </w:pPr>
    </w:p>
    <w:p>
      <w:pPr>
        <w:ind w:left="5" w:right="3519"/>
        <w:spacing w:after="0" w:line="236" w:lineRule="auto"/>
        <w:rPr>
          <w:sz w:val="20"/>
          <w:szCs w:val="20"/>
          <w:color w:val="auto"/>
        </w:rPr>
      </w:pPr>
      <w:r>
        <w:rPr>
          <w:rFonts w:ascii="Courier New" w:cs="Courier New" w:eastAsia="Courier New" w:hAnsi="Courier New"/>
          <w:sz w:val="16"/>
          <w:szCs w:val="16"/>
          <w:color w:val="auto"/>
        </w:rPr>
        <w:t>In June 1994, the United States District Court for the Southern District of Florida approved the settlement of the shareholders class action pending against the Company. The settlement had a total value of approximately $2,600,000, of which the Company's insurance company paid $1,300,000 in cash and the Company paid the balance in April 1995, by issuing 78,550 shares of the Company's common stock at an agreed upon price of $16.55 per share.</w:t>
      </w:r>
    </w:p>
    <w:p>
      <w:pPr>
        <w:spacing w:after="0" w:line="356" w:lineRule="exact"/>
        <w:rPr>
          <w:sz w:val="20"/>
          <w:szCs w:val="20"/>
          <w:color w:val="auto"/>
        </w:rPr>
      </w:pPr>
    </w:p>
    <w:p>
      <w:pPr>
        <w:ind w:left="5585"/>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24"/>
          </w:cols>
          <w:pgMar w:left="235" w:top="833" w:right="1440" w:bottom="1440" w:gutter="0" w:footer="0" w:header="0"/>
        </w:sectPr>
      </w:pPr>
    </w:p>
    <w:bookmarkStart w:id="49" w:name="page50"/>
    <w:bookmarkEnd w:id="49"/>
    <w:p>
      <w:pPr>
        <w:ind w:left="360"/>
        <w:spacing w:after="0"/>
        <w:rPr>
          <w:sz w:val="20"/>
          <w:szCs w:val="20"/>
          <w:color w:val="auto"/>
        </w:rPr>
      </w:pPr>
      <w:r>
        <w:rPr>
          <w:rFonts w:ascii="Courier New" w:cs="Courier New" w:eastAsia="Courier New" w:hAnsi="Courier New"/>
          <w:sz w:val="16"/>
          <w:szCs w:val="16"/>
          <w:color w:val="auto"/>
        </w:rPr>
        <w:t>Stock Options Activity</w:t>
      </w:r>
    </w:p>
    <w:p>
      <w:pPr>
        <w:spacing w:after="0" w:line="183" w:lineRule="exact"/>
        <w:rPr>
          <w:sz w:val="20"/>
          <w:szCs w:val="20"/>
          <w:color w:val="auto"/>
        </w:rPr>
      </w:pPr>
    </w:p>
    <w:p>
      <w:pPr>
        <w:ind w:right="3439"/>
        <w:spacing w:after="0" w:line="272" w:lineRule="auto"/>
        <w:rPr>
          <w:sz w:val="20"/>
          <w:szCs w:val="20"/>
          <w:color w:val="auto"/>
        </w:rPr>
      </w:pPr>
      <w:r>
        <w:rPr>
          <w:rFonts w:ascii="Courier New" w:cs="Courier New" w:eastAsia="Courier New" w:hAnsi="Courier New"/>
          <w:sz w:val="14"/>
          <w:szCs w:val="14"/>
          <w:color w:val="auto"/>
        </w:rPr>
        <w:t>In January 1986, the stockholders approved a stock option plan under the terms of which the Board of Directors is authorized to grant options to full-time employees of the Company and its subsidiaries. The plan permits the issuance of options to purchase up to an aggregate of 300,000 shares of the Company's common stock. The minimum price at which any option may be exercised will be the fair market value of the stock on the date of grant; provided, however, that with respect to an option granted to an individual owning more than 10% of the Company's outstanding common stock, the minimum exercise price will be 110% of the fair market value of the common stock on the date of grant. All options granted pursuant to the plan must be exercised within ten years after the date of grant, except that options granted to individuals owning more than 10% of the Company's outstanding common stock must be exercised within five years after the date of grant.</w:t>
      </w:r>
    </w:p>
    <w:p>
      <w:pPr>
        <w:spacing w:after="0" w:line="347"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The following summarizes the status of the plan as of, and for the year ended March 31:</w:t>
      </w:r>
    </w:p>
    <w:tbl>
      <w:tblPr>
        <w:tblLayout w:type="fixed"/>
        <w:tblInd w:w="460" w:type="dxa"/>
        <w:tblCellMar>
          <w:top w:w="0" w:type="dxa"/>
          <w:left w:w="0" w:type="dxa"/>
          <w:bottom w:w="0" w:type="dxa"/>
          <w:right w:w="0" w:type="dxa"/>
        </w:tblCellMar>
      </w:tblPr>
      <w:tr>
        <w:trPr>
          <w:trHeight w:val="179"/>
        </w:trPr>
        <w:tc>
          <w:tcPr>
            <w:tcW w:w="1300" w:type="dxa"/>
            <w:vAlign w:val="bottom"/>
          </w:tcPr>
          <w:p>
            <w:pPr>
              <w:spacing w:after="0"/>
              <w:rPr>
                <w:sz w:val="15"/>
                <w:szCs w:val="15"/>
                <w:color w:val="auto"/>
              </w:rPr>
            </w:pPr>
          </w:p>
        </w:tc>
        <w:tc>
          <w:tcPr>
            <w:tcW w:w="16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1995</w:t>
            </w:r>
          </w:p>
        </w:tc>
        <w:tc>
          <w:tcPr>
            <w:tcW w:w="17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1994</w:t>
            </w:r>
          </w:p>
        </w:tc>
        <w:tc>
          <w:tcPr>
            <w:tcW w:w="16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1993</w:t>
            </w:r>
          </w:p>
        </w:tc>
      </w:tr>
      <w:tr>
        <w:trPr>
          <w:trHeight w:val="179"/>
        </w:trPr>
        <w:tc>
          <w:tcPr>
            <w:tcW w:w="29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46,206</w:t>
            </w:r>
          </w:p>
        </w:tc>
        <w:tc>
          <w:tcPr>
            <w:tcW w:w="1720" w:type="dxa"/>
            <w:vAlign w:val="bottom"/>
          </w:tcPr>
          <w:p>
            <w:pPr>
              <w:ind w:left="840"/>
              <w:spacing w:after="0"/>
              <w:rPr>
                <w:sz w:val="20"/>
                <w:szCs w:val="20"/>
                <w:color w:val="auto"/>
              </w:rPr>
            </w:pPr>
            <w:r>
              <w:rPr>
                <w:rFonts w:ascii="Courier New" w:cs="Courier New" w:eastAsia="Courier New" w:hAnsi="Courier New"/>
                <w:sz w:val="16"/>
                <w:szCs w:val="16"/>
                <w:color w:val="auto"/>
              </w:rPr>
              <w:t>None</w:t>
            </w:r>
          </w:p>
        </w:tc>
        <w:tc>
          <w:tcPr>
            <w:tcW w:w="16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81,500</w:t>
            </w:r>
          </w:p>
        </w:tc>
      </w:tr>
      <w:tr>
        <w:trPr>
          <w:trHeight w:val="179"/>
        </w:trPr>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Per Share</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$14.875 - $15.50</w:t>
            </w:r>
          </w:p>
        </w:tc>
        <w:tc>
          <w:tcPr>
            <w:tcW w:w="1720" w:type="dxa"/>
            <w:vAlign w:val="bottom"/>
          </w:tcPr>
          <w:p>
            <w:pPr>
              <w:spacing w:after="0"/>
              <w:rPr>
                <w:sz w:val="15"/>
                <w:szCs w:val="15"/>
                <w:color w:val="auto"/>
              </w:rPr>
            </w:pPr>
          </w:p>
        </w:tc>
        <w:tc>
          <w:tcPr>
            <w:tcW w:w="16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$14.00</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Expired</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20,000</w:t>
            </w:r>
          </w:p>
        </w:tc>
        <w:tc>
          <w:tcPr>
            <w:tcW w:w="1720" w:type="dxa"/>
            <w:vAlign w:val="bottom"/>
          </w:tcPr>
          <w:p>
            <w:pPr>
              <w:ind w:left="840"/>
              <w:spacing w:after="0"/>
              <w:rPr>
                <w:sz w:val="20"/>
                <w:szCs w:val="20"/>
                <w:color w:val="auto"/>
              </w:rPr>
            </w:pPr>
            <w:r>
              <w:rPr>
                <w:rFonts w:ascii="Courier New" w:cs="Courier New" w:eastAsia="Courier New" w:hAnsi="Courier New"/>
                <w:sz w:val="16"/>
                <w:szCs w:val="16"/>
                <w:color w:val="auto"/>
              </w:rPr>
              <w:t>None</w:t>
            </w:r>
          </w:p>
        </w:tc>
        <w:tc>
          <w:tcPr>
            <w:tcW w:w="16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None</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None</w:t>
            </w:r>
          </w:p>
        </w:tc>
        <w:tc>
          <w:tcPr>
            <w:tcW w:w="1720" w:type="dxa"/>
            <w:vAlign w:val="bottom"/>
          </w:tcPr>
          <w:p>
            <w:pPr>
              <w:ind w:left="840"/>
              <w:spacing w:after="0"/>
              <w:rPr>
                <w:sz w:val="20"/>
                <w:szCs w:val="20"/>
                <w:color w:val="auto"/>
              </w:rPr>
            </w:pPr>
            <w:r>
              <w:rPr>
                <w:rFonts w:ascii="Courier New" w:cs="Courier New" w:eastAsia="Courier New" w:hAnsi="Courier New"/>
                <w:sz w:val="16"/>
                <w:szCs w:val="16"/>
                <w:color w:val="auto"/>
              </w:rPr>
              <w:t>None</w:t>
            </w:r>
          </w:p>
        </w:tc>
        <w:tc>
          <w:tcPr>
            <w:tcW w:w="16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None</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Outstanding</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171,427</w:t>
            </w:r>
          </w:p>
        </w:tc>
        <w:tc>
          <w:tcPr>
            <w:tcW w:w="17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145,221</w:t>
            </w:r>
          </w:p>
        </w:tc>
        <w:tc>
          <w:tcPr>
            <w:tcW w:w="16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145,221</w:t>
            </w:r>
          </w:p>
        </w:tc>
      </w:tr>
      <w:tr>
        <w:trPr>
          <w:trHeight w:val="179"/>
        </w:trPr>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Per Share</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$3.00 - $15.50</w:t>
            </w:r>
          </w:p>
        </w:tc>
        <w:tc>
          <w:tcPr>
            <w:tcW w:w="17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8"/>
              </w:rPr>
              <w:t>$3.00 - $14.75</w:t>
            </w:r>
          </w:p>
        </w:tc>
        <w:tc>
          <w:tcPr>
            <w:tcW w:w="16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$3.00 - $14.75</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Available for</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future grant</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37,294</w:t>
            </w:r>
          </w:p>
        </w:tc>
        <w:tc>
          <w:tcPr>
            <w:tcW w:w="17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7"/>
              </w:rPr>
              <w:t>63,500</w:t>
            </w:r>
          </w:p>
        </w:tc>
        <w:tc>
          <w:tcPr>
            <w:tcW w:w="16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63,500</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Exercisable</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125,221</w:t>
            </w:r>
          </w:p>
        </w:tc>
        <w:tc>
          <w:tcPr>
            <w:tcW w:w="17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63,721</w:t>
            </w:r>
          </w:p>
        </w:tc>
        <w:tc>
          <w:tcPr>
            <w:tcW w:w="16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63,721</w:t>
            </w:r>
          </w:p>
        </w:tc>
      </w:tr>
      <w:tr>
        <w:trPr>
          <w:trHeight w:val="179"/>
        </w:trPr>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Per Share</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$3.00 - $14.75</w:t>
            </w:r>
          </w:p>
        </w:tc>
        <w:tc>
          <w:tcPr>
            <w:tcW w:w="17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8"/>
              </w:rPr>
              <w:t>$3.00 - $14.75</w:t>
            </w:r>
          </w:p>
        </w:tc>
        <w:tc>
          <w:tcPr>
            <w:tcW w:w="16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$3.00 - $14.75</w:t>
            </w:r>
          </w:p>
        </w:tc>
      </w:tr>
    </w:tbl>
    <w:p>
      <w:pPr>
        <w:spacing w:after="0" w:line="362"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4"/>
          <w:szCs w:val="14"/>
          <w:color w:val="auto"/>
        </w:rPr>
        <w:t>During fiscal year 1995, the Board of Directors granted options to several employees for the purchase of 46,206 shares of the Company's common stock under the stock option plan. The exercise prices range from $14.875 to $15.50 per share. On May 10, 1995, the Board of Directors granted options to certain executive officers to purchase 25,894 shares of the Company's common stock at an exercise price of $18.875 per share.</w:t>
      </w:r>
    </w:p>
    <w:p>
      <w:pPr>
        <w:spacing w:after="0" w:line="162"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6"/>
          <w:szCs w:val="16"/>
          <w:color w:val="auto"/>
        </w:rPr>
        <w:t>During fiscal year 1995, previously granted options to purchase 20,000 shares of the Company's common stock under the stock option plan expired. Accordingly, as of March 31, 1995, options to purchase 171,427 shares of the Company's common stock remain outstanding and 37,294 additional shares are available for future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827" w:right="1440" w:bottom="1440" w:gutter="0" w:footer="0" w:header="0"/>
        </w:sectPr>
      </w:pPr>
    </w:p>
    <w:bookmarkStart w:id="50" w:name="page51"/>
    <w:bookmarkEnd w:id="50"/>
    <w:p>
      <w:pPr>
        <w:ind w:right="3439"/>
        <w:spacing w:after="0" w:line="236" w:lineRule="auto"/>
        <w:rPr>
          <w:sz w:val="20"/>
          <w:szCs w:val="20"/>
          <w:color w:val="auto"/>
        </w:rPr>
      </w:pPr>
      <w:r>
        <w:rPr>
          <w:rFonts w:ascii="Courier New" w:cs="Courier New" w:eastAsia="Courier New" w:hAnsi="Courier New"/>
          <w:sz w:val="16"/>
          <w:szCs w:val="16"/>
          <w:color w:val="auto"/>
        </w:rPr>
        <w:t>On June 3, 1994, the Company extended through December 31, 1995, Mr. Phillip Bradley's (an executive officer and director of the Company) non-qualified option to purchase 25,000 shares of the Company's common stock. The exercise price remained unchanged at $10.00 per share. The difference between the fair market value on the extension date of $12.13, and the option price, is being amortized over 1995 as compensation expense. On January 3, 1995, the Board of Directors granted a non-qualified option to two employees to each purchase 5,647 shares of the Company's common stock at an exercise price of $15.50 per share. On May 10, 1995, the Board of Directors granted a non-qualified option to an executive officer to purchase 9,106 shares of the Company's common stock at an exercise price of $18.875 per share. As of March 31, 1995, non-qualified options to purchase a total of 55,036 shares of the Company's common stock at exercise prices ranging from $10.00 to $16.50 per share, remain outstanding.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Non-Employee Directors Stock Option Plan</w:t>
      </w:r>
    </w:p>
    <w:p>
      <w:pPr>
        <w:spacing w:after="0" w:line="183"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6"/>
          <w:szCs w:val="16"/>
          <w:color w:val="auto"/>
        </w:rPr>
        <w:t>On August 8, 1994, at the annual meeting of the shareholders of the Company, the 1993 Non-Employee Directors Stock Option Plan ("Plan") was adopted. An aggregate of 50,000 shares of the Company's common stock have been reserved for issuance under the Plan.</w:t>
      </w:r>
    </w:p>
    <w:p>
      <w:pPr>
        <w:spacing w:after="0" w:line="185"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4"/>
          <w:szCs w:val="14"/>
          <w:color w:val="auto"/>
        </w:rPr>
        <w:t>Under the Plan, members of the Board of Directors who are not employees of the Company or any of its subsidiaries or affiliates will receive annual stock options to purchase common stock in the Company pursuant to the following formula. Each non-employee director will receive a non-qualified option to purchase 2,500 shares when such person is first elected to the Board of Directors (or when the Plan was adopted, for those individuals already members of the Board), and will receive a non-qualified option to purchase 2,500 shares each year, starting in August 1995, that the individual is re-elected. On the date the Plan was adopted there were three individuals who qualified and each received an option to purchase 2,500 shares of the Company's common stock at an exercise price of $15.125. This price reflects the fair market value of the Company's common stock on December 31, 1993, the date of grant. As of March 31, 1995, options to purchase 7,500 shares of the Company's common stock remain outstanding under the plan and 42,500 shares are available for future grant.</w:t>
      </w:r>
    </w:p>
    <w:p>
      <w:pPr>
        <w:spacing w:after="0" w:line="200" w:lineRule="exact"/>
        <w:rPr>
          <w:sz w:val="20"/>
          <w:szCs w:val="20"/>
          <w:color w:val="auto"/>
        </w:rPr>
      </w:pPr>
    </w:p>
    <w:p>
      <w:pPr>
        <w:spacing w:after="0" w:line="325" w:lineRule="exact"/>
        <w:rPr>
          <w:sz w:val="20"/>
          <w:szCs w:val="20"/>
          <w:color w:val="auto"/>
        </w:rPr>
      </w:pPr>
    </w:p>
    <w:p>
      <w:pPr>
        <w:ind w:right="3619"/>
        <w:spacing w:after="0" w:line="274" w:lineRule="auto"/>
        <w:rPr>
          <w:sz w:val="20"/>
          <w:szCs w:val="20"/>
          <w:color w:val="auto"/>
        </w:rPr>
      </w:pPr>
      <w:r>
        <w:rPr>
          <w:rFonts w:ascii="Courier New" w:cs="Courier New" w:eastAsia="Courier New" w:hAnsi="Courier New"/>
          <w:sz w:val="14"/>
          <w:szCs w:val="14"/>
          <w:color w:val="auto"/>
        </w:rPr>
        <w:t>The exercise price for options granted under the Plan may not be less than the fair market value of the common stock, which is defined as the closing bid quotation for the common stock at the end of the day preceding the grant. Options granted under the Plan become fully exercisable one year after the date of grant. All options expire five years after the date of grant. The exercise price must be paid in cash or in common stock, subject to certain restrictions.</w:t>
      </w:r>
    </w:p>
    <w:p>
      <w:pPr>
        <w:spacing w:after="0" w:line="1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Stock Warrants Activity</w:t>
      </w:r>
    </w:p>
    <w:p>
      <w:pPr>
        <w:spacing w:after="0" w:line="183" w:lineRule="exact"/>
        <w:rPr>
          <w:sz w:val="20"/>
          <w:szCs w:val="20"/>
          <w:color w:val="auto"/>
        </w:rPr>
      </w:pPr>
    </w:p>
    <w:p>
      <w:pPr>
        <w:ind w:right="3439"/>
        <w:spacing w:after="0" w:line="279" w:lineRule="auto"/>
        <w:rPr>
          <w:sz w:val="20"/>
          <w:szCs w:val="20"/>
          <w:color w:val="auto"/>
        </w:rPr>
      </w:pPr>
      <w:r>
        <w:rPr>
          <w:rFonts w:ascii="Courier New" w:cs="Courier New" w:eastAsia="Courier New" w:hAnsi="Courier New"/>
          <w:sz w:val="14"/>
          <w:szCs w:val="14"/>
          <w:color w:val="auto"/>
        </w:rPr>
        <w:t>In April 1994, warrants to purchase a total of 38,625 shares of the Company's common stock at $12.00 per share were exercised. No additional warrants were issued or exercised during fiscal year 1995 and subsequent to the April 1994 exercise, no additional warrants remain outstanding.</w:t>
      </w:r>
    </w:p>
    <w:p>
      <w:pPr>
        <w:spacing w:after="0" w:line="330"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833" w:right="1440" w:bottom="1440" w:gutter="0" w:footer="0" w:header="0"/>
        </w:sectPr>
      </w:pPr>
    </w:p>
    <w:bookmarkStart w:id="51" w:name="page52"/>
    <w:bookmarkEnd w:id="51"/>
    <w:p>
      <w:pPr>
        <w:ind w:left="845"/>
        <w:spacing w:after="0"/>
        <w:rPr>
          <w:sz w:val="20"/>
          <w:szCs w:val="20"/>
          <w:color w:val="auto"/>
        </w:rPr>
      </w:pPr>
      <w:r>
        <w:rPr>
          <w:rFonts w:ascii="Courier New" w:cs="Courier New" w:eastAsia="Courier New" w:hAnsi="Courier New"/>
          <w:sz w:val="16"/>
          <w:szCs w:val="16"/>
          <w:color w:val="auto"/>
        </w:rPr>
        <w:t>Stock Repurchase</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On April 12, 1993, the Board of Directors authorized the repurchase from time to time of up to 400,000 shares of the Company's common stock. The timing and quantity of shares to be repurchased will depend upon a number of factors, including market price. As of March 31, 1995, a total of 5,000 shares had been purchased in the open market for approximately $57,000 pursuant to the repurchase program.</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Dividend Declarations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Board of Directors approved the payment of the following cash dividends:</w:t>
      </w:r>
    </w:p>
    <w:p>
      <w:pPr>
        <w:spacing w:after="0" w:line="177" w:lineRule="exact"/>
        <w:rPr>
          <w:sz w:val="20"/>
          <w:szCs w:val="20"/>
          <w:color w:val="auto"/>
        </w:rPr>
      </w:pPr>
    </w:p>
    <w:tbl>
      <w:tblPr>
        <w:tblLayout w:type="fixed"/>
        <w:tblInd w:w="85" w:type="dxa"/>
        <w:tblCellMar>
          <w:top w:w="0" w:type="dxa"/>
          <w:left w:w="0" w:type="dxa"/>
          <w:bottom w:w="0" w:type="dxa"/>
          <w:right w:w="0" w:type="dxa"/>
        </w:tblCellMar>
      </w:tblPr>
      <w:tr>
        <w:trPr>
          <w:trHeight w:val="181"/>
        </w:trPr>
        <w:tc>
          <w:tcPr>
            <w:tcW w:w="1960" w:type="dxa"/>
            <w:vAlign w:val="bottom"/>
          </w:tcPr>
          <w:p>
            <w:pPr>
              <w:spacing w:after="0"/>
              <w:rPr>
                <w:sz w:val="20"/>
                <w:szCs w:val="20"/>
                <w:color w:val="auto"/>
              </w:rPr>
            </w:pPr>
            <w:r>
              <w:rPr>
                <w:rFonts w:ascii="Courier New" w:cs="Courier New" w:eastAsia="Courier New" w:hAnsi="Courier New"/>
                <w:sz w:val="16"/>
                <w:szCs w:val="16"/>
                <w:color w:val="auto"/>
              </w:rPr>
              <w:t>Declaration Date</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Per Share</w:t>
            </w:r>
          </w:p>
        </w:tc>
        <w:tc>
          <w:tcPr>
            <w:tcW w:w="2000" w:type="dxa"/>
            <w:vAlign w:val="bottom"/>
          </w:tcPr>
          <w:p>
            <w:pPr>
              <w:ind w:left="180"/>
              <w:spacing w:after="0"/>
              <w:rPr>
                <w:sz w:val="20"/>
                <w:szCs w:val="20"/>
                <w:color w:val="auto"/>
              </w:rPr>
            </w:pPr>
            <w:r>
              <w:rPr>
                <w:rFonts w:ascii="Courier New" w:cs="Courier New" w:eastAsia="Courier New" w:hAnsi="Courier New"/>
                <w:sz w:val="16"/>
                <w:szCs w:val="16"/>
                <w:color w:val="auto"/>
              </w:rPr>
              <w:t>Record Date</w:t>
            </w:r>
          </w:p>
        </w:tc>
        <w:tc>
          <w:tcPr>
            <w:tcW w:w="1620" w:type="dxa"/>
            <w:vAlign w:val="bottom"/>
          </w:tcPr>
          <w:p>
            <w:pPr>
              <w:ind w:left="140"/>
              <w:spacing w:after="0"/>
              <w:rPr>
                <w:sz w:val="20"/>
                <w:szCs w:val="20"/>
                <w:color w:val="auto"/>
              </w:rPr>
            </w:pPr>
            <w:r>
              <w:rPr>
                <w:rFonts w:ascii="Courier New" w:cs="Courier New" w:eastAsia="Courier New" w:hAnsi="Courier New"/>
                <w:sz w:val="16"/>
                <w:szCs w:val="16"/>
                <w:color w:val="auto"/>
              </w:rPr>
              <w:t>Payment Date</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May 9, 1994</w:t>
            </w:r>
          </w:p>
        </w:tc>
        <w:tc>
          <w:tcPr>
            <w:tcW w:w="7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cents</w:t>
            </w:r>
          </w:p>
        </w:tc>
        <w:tc>
          <w:tcPr>
            <w:tcW w:w="2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June 22, 1994</w:t>
            </w:r>
          </w:p>
        </w:tc>
        <w:tc>
          <w:tcPr>
            <w:tcW w:w="16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July 15, 1994</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September 9, 1994</w:t>
            </w:r>
          </w:p>
        </w:tc>
        <w:tc>
          <w:tcPr>
            <w:tcW w:w="7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cents</w:t>
            </w:r>
          </w:p>
        </w:tc>
        <w:tc>
          <w:tcPr>
            <w:tcW w:w="2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September 22, 1994</w:t>
            </w:r>
          </w:p>
        </w:tc>
        <w:tc>
          <w:tcPr>
            <w:tcW w:w="16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October 14, 1994</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December 9, 1994</w:t>
            </w:r>
          </w:p>
        </w:tc>
        <w:tc>
          <w:tcPr>
            <w:tcW w:w="7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cents</w:t>
            </w:r>
          </w:p>
        </w:tc>
        <w:tc>
          <w:tcPr>
            <w:tcW w:w="2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December 22, 1994</w:t>
            </w:r>
          </w:p>
        </w:tc>
        <w:tc>
          <w:tcPr>
            <w:tcW w:w="16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January 12, 1995</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January 19, 1995</w:t>
            </w:r>
          </w:p>
        </w:tc>
        <w:tc>
          <w:tcPr>
            <w:tcW w:w="7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.05</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cents</w:t>
            </w:r>
          </w:p>
        </w:tc>
        <w:tc>
          <w:tcPr>
            <w:tcW w:w="2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March 22, 1995</w:t>
            </w:r>
          </w:p>
        </w:tc>
        <w:tc>
          <w:tcPr>
            <w:tcW w:w="16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April 13, 1995</w:t>
            </w: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February 22, 1995</w:t>
            </w:r>
          </w:p>
        </w:tc>
        <w:tc>
          <w:tcPr>
            <w:tcW w:w="7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.10</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cents</w:t>
            </w:r>
          </w:p>
        </w:tc>
        <w:tc>
          <w:tcPr>
            <w:tcW w:w="2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March 22, 1995</w:t>
            </w:r>
          </w:p>
        </w:tc>
        <w:tc>
          <w:tcPr>
            <w:tcW w:w="16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April 13, 1995</w:t>
            </w:r>
          </w:p>
        </w:tc>
      </w:tr>
    </w:tbl>
    <w:p>
      <w:pPr>
        <w:spacing w:after="0" w:line="183" w:lineRule="exact"/>
        <w:rPr>
          <w:sz w:val="20"/>
          <w:szCs w:val="20"/>
          <w:color w:val="auto"/>
        </w:rPr>
      </w:pPr>
    </w:p>
    <w:p>
      <w:pPr>
        <w:ind w:left="845" w:right="7159" w:hanging="845"/>
        <w:spacing w:after="0" w:line="541" w:lineRule="auto"/>
        <w:tabs>
          <w:tab w:leader="none" w:pos="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Lease Commitments</w:t>
      </w:r>
    </w:p>
    <w:p>
      <w:pPr>
        <w:spacing w:after="0" w:line="1" w:lineRule="exact"/>
        <w:rPr>
          <w:sz w:val="20"/>
          <w:szCs w:val="20"/>
          <w:color w:val="auto"/>
        </w:rPr>
      </w:pPr>
    </w:p>
    <w:p>
      <w:pPr>
        <w:ind w:left="5" w:right="3059"/>
        <w:spacing w:after="0" w:line="236" w:lineRule="auto"/>
        <w:rPr>
          <w:sz w:val="20"/>
          <w:szCs w:val="20"/>
          <w:color w:val="auto"/>
        </w:rPr>
      </w:pPr>
      <w:r>
        <w:rPr>
          <w:rFonts w:ascii="Courier New" w:cs="Courier New" w:eastAsia="Courier New" w:hAnsi="Courier New"/>
          <w:sz w:val="16"/>
          <w:szCs w:val="16"/>
          <w:color w:val="auto"/>
        </w:rPr>
        <w:t>The Company leases premises in New Orleans, Louisiana and Plant City, Florida from a trust managed by the President of the Company under two operating leases with rent aggregating $86,000 per year. The leases expire in August 1996. The Company has an option to purchase the properties at current market value at any time during the lease term. The Company intends to exercise the purchase options on both leases.</w:t>
      </w:r>
    </w:p>
    <w:p>
      <w:pPr>
        <w:spacing w:after="0" w:line="183" w:lineRule="exact"/>
        <w:rPr>
          <w:sz w:val="20"/>
          <w:szCs w:val="20"/>
          <w:color w:val="auto"/>
        </w:rPr>
      </w:pPr>
    </w:p>
    <w:p>
      <w:pPr>
        <w:ind w:left="5" w:right="3239"/>
        <w:spacing w:after="0" w:line="234" w:lineRule="auto"/>
        <w:rPr>
          <w:sz w:val="20"/>
          <w:szCs w:val="20"/>
          <w:color w:val="auto"/>
        </w:rPr>
      </w:pPr>
      <w:r>
        <w:rPr>
          <w:rFonts w:ascii="Courier New" w:cs="Courier New" w:eastAsia="Courier New" w:hAnsi="Courier New"/>
          <w:sz w:val="16"/>
          <w:szCs w:val="16"/>
          <w:color w:val="auto"/>
        </w:rPr>
        <w:t>The Company also leases additional office space and railroad tank cars from unrelated third parties.</w:t>
      </w:r>
    </w:p>
    <w:p>
      <w:pPr>
        <w:spacing w:after="0" w:line="183"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The future minimum lease payments under capital leases and operating leases with an initial noncancellable term in excess of one year, as of March 31, 1995 are as follows:</w:t>
      </w:r>
    </w:p>
    <w:tbl>
      <w:tblPr>
        <w:tblLayout w:type="fixed"/>
        <w:tblInd w:w="185"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Capital</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w:t>
            </w:r>
          </w:p>
        </w:tc>
      </w:tr>
      <w:tr>
        <w:trPr>
          <w:trHeight w:val="179"/>
        </w:trPr>
        <w:tc>
          <w:tcPr>
            <w:tcW w:w="376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Leases</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Leases</w:t>
            </w:r>
          </w:p>
        </w:tc>
      </w:tr>
      <w:tr>
        <w:trPr>
          <w:trHeight w:val="179"/>
        </w:trPr>
        <w:tc>
          <w:tcPr>
            <w:tcW w:w="376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jc w:val="right"/>
              <w:ind w:right="1642"/>
              <w:spacing w:after="0" w:line="179" w:lineRule="exact"/>
              <w:rPr>
                <w:sz w:val="20"/>
                <w:szCs w:val="20"/>
                <w:color w:val="auto"/>
              </w:rPr>
            </w:pPr>
            <w:r>
              <w:rPr>
                <w:rFonts w:ascii="Courier New" w:cs="Courier New" w:eastAsia="Courier New" w:hAnsi="Courier New"/>
                <w:sz w:val="16"/>
                <w:szCs w:val="16"/>
                <w:color w:val="auto"/>
              </w:rPr>
              <w:t>1996</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$ 248,000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596,000</w:t>
            </w:r>
          </w:p>
        </w:tc>
      </w:tr>
      <w:tr>
        <w:trPr>
          <w:trHeight w:val="179"/>
        </w:trPr>
        <w:tc>
          <w:tcPr>
            <w:tcW w:w="3760" w:type="dxa"/>
            <w:vAlign w:val="bottom"/>
          </w:tcPr>
          <w:p>
            <w:pPr>
              <w:jc w:val="right"/>
              <w:ind w:right="1642"/>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438,000</w:t>
            </w:r>
          </w:p>
        </w:tc>
      </w:tr>
      <w:tr>
        <w:trPr>
          <w:trHeight w:val="179"/>
        </w:trPr>
        <w:tc>
          <w:tcPr>
            <w:tcW w:w="3760" w:type="dxa"/>
            <w:vAlign w:val="bottom"/>
          </w:tcPr>
          <w:p>
            <w:pPr>
              <w:jc w:val="right"/>
              <w:ind w:right="1642"/>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324,000</w:t>
            </w:r>
          </w:p>
        </w:tc>
      </w:tr>
      <w:tr>
        <w:trPr>
          <w:trHeight w:val="179"/>
        </w:trPr>
        <w:tc>
          <w:tcPr>
            <w:tcW w:w="3760" w:type="dxa"/>
            <w:vAlign w:val="bottom"/>
          </w:tcPr>
          <w:p>
            <w:pPr>
              <w:jc w:val="right"/>
              <w:ind w:right="1642"/>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61,000</w:t>
            </w:r>
          </w:p>
        </w:tc>
      </w:tr>
      <w:tr>
        <w:trPr>
          <w:trHeight w:val="179"/>
        </w:trPr>
        <w:tc>
          <w:tcPr>
            <w:tcW w:w="376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minimum lease payments</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265,000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$1,419,000</w:t>
            </w:r>
          </w:p>
        </w:tc>
      </w:tr>
      <w:tr>
        <w:trPr>
          <w:trHeight w:val="179"/>
        </w:trPr>
        <w:tc>
          <w:tcPr>
            <w:tcW w:w="3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amounts representing interest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14,000</w:t>
            </w:r>
          </w:p>
        </w:tc>
        <w:tc>
          <w:tcPr>
            <w:tcW w:w="108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Present value of minimum lease payments</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$ 251,000</w:t>
            </w:r>
          </w:p>
        </w:tc>
        <w:tc>
          <w:tcPr>
            <w:tcW w:w="108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r>
    </w:tbl>
    <w:p>
      <w:pPr>
        <w:spacing w:after="0" w:line="183" w:lineRule="exact"/>
        <w:rPr>
          <w:sz w:val="20"/>
          <w:szCs w:val="20"/>
          <w:color w:val="auto"/>
        </w:rPr>
      </w:pPr>
    </w:p>
    <w:p>
      <w:pPr>
        <w:jc w:val="both"/>
        <w:ind w:left="5" w:right="3159"/>
        <w:spacing w:after="0" w:line="235" w:lineRule="auto"/>
        <w:rPr>
          <w:sz w:val="20"/>
          <w:szCs w:val="20"/>
          <w:color w:val="auto"/>
        </w:rPr>
      </w:pPr>
      <w:r>
        <w:rPr>
          <w:rFonts w:ascii="Courier New" w:cs="Courier New" w:eastAsia="Courier New" w:hAnsi="Courier New"/>
          <w:sz w:val="16"/>
          <w:szCs w:val="16"/>
          <w:color w:val="auto"/>
        </w:rPr>
        <w:t>Rental expense under operating leases with an initial noncancellable term in excess of one year was $535,000, $461,000, and $514,000 for the years ended March 31, 1995, 1994 and 1993, respectively.</w:t>
      </w:r>
    </w:p>
    <w:p>
      <w:pPr>
        <w:ind w:left="5945"/>
        <w:spacing w:after="0" w:line="237" w:lineRule="auto"/>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4"/>
          </w:cols>
          <w:pgMar w:left="235" w:top="827" w:right="1440" w:bottom="1440" w:gutter="0" w:footer="0" w:header="0"/>
        </w:sectPr>
      </w:pPr>
    </w:p>
    <w:bookmarkStart w:id="52" w:name="page53"/>
    <w:bookmarkEnd w:id="52"/>
    <w:p>
      <w:pPr>
        <w:ind w:left="840"/>
        <w:spacing w:after="0"/>
        <w:rPr>
          <w:sz w:val="20"/>
          <w:szCs w:val="20"/>
          <w:color w:val="auto"/>
        </w:rPr>
      </w:pPr>
      <w:r>
        <w:rPr>
          <w:rFonts w:ascii="Courier New" w:cs="Courier New" w:eastAsia="Courier New" w:hAnsi="Courier New"/>
          <w:sz w:val="16"/>
          <w:szCs w:val="16"/>
          <w:color w:val="auto"/>
        </w:rPr>
        <w:t>Capital Expenditures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fiscal year 1995, the Company completed the construction of a water</w:t>
      </w:r>
    </w:p>
    <w:p>
      <w:pPr>
        <w:spacing w:after="0" w:line="236" w:lineRule="auto"/>
        <w:rPr>
          <w:sz w:val="20"/>
          <w:szCs w:val="20"/>
          <w:color w:val="auto"/>
        </w:rPr>
      </w:pPr>
      <w:r>
        <w:rPr>
          <w:rFonts w:ascii="Courier New" w:cs="Courier New" w:eastAsia="Courier New" w:hAnsi="Courier New"/>
          <w:sz w:val="16"/>
          <w:szCs w:val="16"/>
          <w:color w:val="auto"/>
        </w:rPr>
        <w:t>and used oil treatment plant in Louisiana at a total cost of $1,550,000.</w:t>
      </w:r>
    </w:p>
    <w:p>
      <w:pPr>
        <w:spacing w:after="0" w:line="237" w:lineRule="auto"/>
        <w:rPr>
          <w:sz w:val="20"/>
          <w:szCs w:val="20"/>
          <w:color w:val="auto"/>
        </w:rPr>
      </w:pPr>
      <w:r>
        <w:rPr>
          <w:rFonts w:ascii="Courier New" w:cs="Courier New" w:eastAsia="Courier New" w:hAnsi="Courier New"/>
          <w:sz w:val="16"/>
          <w:szCs w:val="16"/>
          <w:color w:val="auto"/>
        </w:rPr>
        <w:t>During fiscal year 1996, the Company anticipates spending approximately</w:t>
      </w:r>
    </w:p>
    <w:p>
      <w:pPr>
        <w:spacing w:after="0"/>
        <w:tabs>
          <w:tab w:leader="none" w:pos="5100" w:val="left"/>
        </w:tabs>
        <w:rPr>
          <w:sz w:val="20"/>
          <w:szCs w:val="20"/>
          <w:color w:val="auto"/>
        </w:rPr>
      </w:pPr>
      <w:r>
        <w:rPr>
          <w:rFonts w:ascii="Courier New" w:cs="Courier New" w:eastAsia="Courier New" w:hAnsi="Courier New"/>
          <w:sz w:val="16"/>
          <w:szCs w:val="16"/>
          <w:color w:val="auto"/>
        </w:rPr>
        <w:t>$1,000,000 to upgrade plant, machinery and equipment.</w:t>
      </w:r>
      <w:r>
        <w:rPr>
          <w:sz w:val="20"/>
          <w:szCs w:val="20"/>
          <w:color w:val="auto"/>
        </w:rPr>
        <w:tab/>
      </w:r>
      <w:r>
        <w:rPr>
          <w:rFonts w:ascii="Courier New" w:cs="Courier New" w:eastAsia="Courier New" w:hAnsi="Courier New"/>
          <w:sz w:val="14"/>
          <w:szCs w:val="14"/>
          <w:color w:val="auto"/>
        </w:rPr>
        <w:t>The Company intends to</w:t>
      </w:r>
    </w:p>
    <w:p>
      <w:pPr>
        <w:spacing w:after="0" w:line="237" w:lineRule="auto"/>
        <w:rPr>
          <w:sz w:val="20"/>
          <w:szCs w:val="20"/>
          <w:color w:val="auto"/>
        </w:rPr>
      </w:pPr>
      <w:r>
        <w:rPr>
          <w:rFonts w:ascii="Courier New" w:cs="Courier New" w:eastAsia="Courier New" w:hAnsi="Courier New"/>
          <w:sz w:val="16"/>
          <w:szCs w:val="16"/>
          <w:color w:val="auto"/>
        </w:rPr>
        <w:t>spend an estimated $1,000,000 over the next several years to clean up</w:t>
      </w:r>
    </w:p>
    <w:p>
      <w:pPr>
        <w:spacing w:after="0" w:line="237" w:lineRule="auto"/>
        <w:rPr>
          <w:sz w:val="20"/>
          <w:szCs w:val="20"/>
          <w:color w:val="auto"/>
        </w:rPr>
      </w:pPr>
      <w:r>
        <w:rPr>
          <w:rFonts w:ascii="Courier New" w:cs="Courier New" w:eastAsia="Courier New" w:hAnsi="Courier New"/>
          <w:sz w:val="16"/>
          <w:szCs w:val="16"/>
          <w:color w:val="auto"/>
        </w:rPr>
        <w:t>contamination which was present at one of the Company's sites when it was</w:t>
      </w:r>
    </w:p>
    <w:p>
      <w:pPr>
        <w:spacing w:after="0"/>
        <w:tabs>
          <w:tab w:leader="none" w:pos="2400" w:val="left"/>
        </w:tabs>
        <w:rPr>
          <w:sz w:val="20"/>
          <w:szCs w:val="20"/>
          <w:color w:val="auto"/>
        </w:rPr>
      </w:pPr>
      <w:r>
        <w:rPr>
          <w:rFonts w:ascii="Courier New" w:cs="Courier New" w:eastAsia="Courier New" w:hAnsi="Courier New"/>
          <w:sz w:val="16"/>
          <w:szCs w:val="16"/>
          <w:color w:val="auto"/>
        </w:rPr>
        <w:t>acquired by the Company.</w:t>
      </w:r>
      <w:r>
        <w:rPr>
          <w:sz w:val="20"/>
          <w:szCs w:val="20"/>
          <w:color w:val="auto"/>
        </w:rPr>
        <w:tab/>
      </w:r>
      <w:r>
        <w:rPr>
          <w:rFonts w:ascii="Courier New" w:cs="Courier New" w:eastAsia="Courier New" w:hAnsi="Courier New"/>
          <w:sz w:val="14"/>
          <w:szCs w:val="14"/>
          <w:color w:val="auto"/>
        </w:rPr>
        <w:t>Clean up will be capitalized as part of the cost of</w:t>
      </w:r>
    </w:p>
    <w:p>
      <w:pPr>
        <w:spacing w:after="0" w:line="237" w:lineRule="auto"/>
        <w:rPr>
          <w:sz w:val="20"/>
          <w:szCs w:val="20"/>
          <w:color w:val="auto"/>
        </w:rPr>
      </w:pPr>
      <w:r>
        <w:rPr>
          <w:rFonts w:ascii="Courier New" w:cs="Courier New" w:eastAsia="Courier New" w:hAnsi="Courier New"/>
          <w:sz w:val="16"/>
          <w:szCs w:val="16"/>
          <w:color w:val="auto"/>
        </w:rPr>
        <w:t>the site, up to the fair market value of the site.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Surety Bonds</w:t>
      </w:r>
    </w:p>
    <w:p>
      <w:pPr>
        <w:spacing w:after="0" w:line="18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In the normal course of business the Company is required to post bid, performance and garnishment bonds. The majority of the bonds issued relate to the Company's aviation fueling business. As of March 31, 1995, the Company had $2,675,000 in outstanding bonds.</w:t>
      </w:r>
    </w:p>
    <w:p>
      <w:pPr>
        <w:spacing w:after="0" w:line="17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Purchase Commitments and Off-Balance Sheet Transaction</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The Company may from time to time enter into short term fuel purchase commitments. In order to fix the profit on the end market sale of the purchase commitment, the Company may enter into a hedge transaction in the financial futures market. As of March 31, 1995, the Company did not have any outstanding purchase commitments or hedges.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Concentration of Credit Risk</w:t>
      </w:r>
    </w:p>
    <w:p>
      <w:pPr>
        <w:spacing w:after="0" w:line="183" w:lineRule="exact"/>
        <w:rPr>
          <w:sz w:val="20"/>
          <w:szCs w:val="20"/>
          <w:color w:val="auto"/>
        </w:rPr>
      </w:pPr>
    </w:p>
    <w:p>
      <w:pPr>
        <w:ind w:right="3239" w:firstLine="465"/>
        <w:spacing w:after="0" w:line="236" w:lineRule="auto"/>
        <w:rPr>
          <w:sz w:val="20"/>
          <w:szCs w:val="20"/>
          <w:color w:val="auto"/>
        </w:rPr>
      </w:pPr>
      <w:r>
        <w:rPr>
          <w:rFonts w:ascii="Courier New" w:cs="Courier New" w:eastAsia="Courier New" w:hAnsi="Courier New"/>
          <w:sz w:val="16"/>
          <w:szCs w:val="16"/>
          <w:color w:val="auto"/>
        </w:rPr>
        <w:t>Financial instruments which potentially subject the Company to credit risk consist primarily of trade accounts receivable. The Company extends credit on an unsecured basis to many of its aviation and marine customers, some of which have a line of credit in excess of $1,000,000. The Company's management recognizes that extending credit and setting appropriate reserves for receivables is largely a subjective decision, based on knowledge of the customer. Active management of this risk is essential to the Company's success. A strong capital position and liquidity provide the financial flexibility necessary to respond to customer needs.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827" w:right="1440" w:bottom="1440" w:gutter="0" w:footer="0" w:header="0"/>
        </w:sectPr>
      </w:pPr>
    </w:p>
    <w:bookmarkStart w:id="53" w:name="page54"/>
    <w:bookmarkEnd w:id="53"/>
    <w:p>
      <w:pPr>
        <w:ind w:left="840"/>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83" w:lineRule="exact"/>
        <w:rPr>
          <w:sz w:val="20"/>
          <w:szCs w:val="20"/>
          <w:color w:val="auto"/>
        </w:rPr>
      </w:pPr>
    </w:p>
    <w:p>
      <w:pPr>
        <w:ind w:right="2879" w:firstLine="837"/>
        <w:spacing w:after="0" w:line="270" w:lineRule="auto"/>
        <w:rPr>
          <w:sz w:val="20"/>
          <w:szCs w:val="20"/>
          <w:color w:val="auto"/>
        </w:rPr>
      </w:pPr>
      <w:r>
        <w:rPr>
          <w:rFonts w:ascii="Courier New" w:cs="Courier New" w:eastAsia="Courier New" w:hAnsi="Courier New"/>
          <w:sz w:val="14"/>
          <w:szCs w:val="14"/>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 vehicles, or for damages to natural resources arising out of such events.</w:t>
      </w:r>
    </w:p>
    <w:p>
      <w:pPr>
        <w:spacing w:after="0" w:line="3" w:lineRule="exact"/>
        <w:rPr>
          <w:sz w:val="20"/>
          <w:szCs w:val="20"/>
          <w:color w:val="auto"/>
        </w:rPr>
      </w:pPr>
    </w:p>
    <w:p>
      <w:pPr>
        <w:ind w:right="3059"/>
        <w:spacing w:after="0" w:line="295" w:lineRule="auto"/>
        <w:rPr>
          <w:sz w:val="20"/>
          <w:szCs w:val="20"/>
          <w:color w:val="auto"/>
        </w:rPr>
      </w:pPr>
      <w:r>
        <w:rPr>
          <w:rFonts w:ascii="Courier New" w:cs="Courier New" w:eastAsia="Courier New" w:hAnsi="Courier New"/>
          <w:sz w:val="14"/>
          <w:szCs w:val="14"/>
          <w:color w:val="auto"/>
        </w:rPr>
        <w:t>The Company follows what it believes to be prudent procedures to protect its employees and customers and to prevent spills or releases of these materials.</w:t>
      </w:r>
    </w:p>
    <w:p>
      <w:pPr>
        <w:spacing w:after="0" w:line="147" w:lineRule="exact"/>
        <w:rPr>
          <w:sz w:val="20"/>
          <w:szCs w:val="20"/>
          <w:color w:val="auto"/>
        </w:rPr>
      </w:pPr>
    </w:p>
    <w:p>
      <w:pPr>
        <w:ind w:right="3519" w:firstLine="837"/>
        <w:spacing w:after="0" w:line="276" w:lineRule="auto"/>
        <w:rPr>
          <w:sz w:val="20"/>
          <w:szCs w:val="20"/>
          <w:color w:val="auto"/>
        </w:rPr>
      </w:pPr>
      <w:r>
        <w:rPr>
          <w:rFonts w:ascii="Courier New" w:cs="Courier New" w:eastAsia="Courier New" w:hAnsi="Courier New"/>
          <w:sz w:val="14"/>
          <w:szCs w:val="14"/>
          <w:color w:val="auto"/>
        </w:rPr>
        <w:t>The Company's activities subject it to the risks of significant potential liability under Federal and state statutes, common law, and contractual indemnification agreements. The Company has general and automobile liability insurance coverage, including the statutory Motor Carrier Act/MCS 90 endorsement for sudden and accidental pollution.</w:t>
      </w:r>
    </w:p>
    <w:p>
      <w:pPr>
        <w:spacing w:after="0" w:line="161" w:lineRule="exact"/>
        <w:rPr>
          <w:sz w:val="20"/>
          <w:szCs w:val="20"/>
          <w:color w:val="auto"/>
        </w:rPr>
      </w:pPr>
    </w:p>
    <w:p>
      <w:pPr>
        <w:ind w:right="3239" w:firstLine="837"/>
        <w:spacing w:after="0" w:line="273" w:lineRule="auto"/>
        <w:rPr>
          <w:sz w:val="20"/>
          <w:szCs w:val="20"/>
          <w:color w:val="auto"/>
        </w:rPr>
      </w:pPr>
      <w:r>
        <w:rPr>
          <w:rFonts w:ascii="Courier New" w:cs="Courier New" w:eastAsia="Courier New" w:hAnsi="Courier New"/>
          <w:sz w:val="14"/>
          <w:szCs w:val="14"/>
          <w:color w:val="auto"/>
        </w:rPr>
        <w:t>In the aviation and marine fuel segments, the Company utilizes subcontractors which provide various services to customers, including intoplane fueling at airports, fueling of vessels in port and at sea, and 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the Company will be adversely affected.</w:t>
      </w:r>
    </w:p>
    <w:p>
      <w:pPr>
        <w:spacing w:after="0" w:line="344"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The Company has exited several environmental businesses which handled hazardous wastes. These wastes were transported to various disposal facilities and/or treated by the Company. The Company may be held liable as a potentially responsible party for the clean-up of such disposal facilities in certain cases pursuant to current Federal and state laws and regulations. Due to the cost of insurance relative to potential exposure, tail coverages were not purchased for businesses exited. The Company is currently responsible to Federal and state environmental agencies for clean-up costs at a site formerly operated by its subsidiary, Resource Recovery of America, which has been sold by the Company.</w:t>
      </w:r>
    </w:p>
    <w:p>
      <w:pPr>
        <w:spacing w:after="0" w:line="186" w:lineRule="exact"/>
        <w:rPr>
          <w:sz w:val="20"/>
          <w:szCs w:val="20"/>
          <w:color w:val="auto"/>
        </w:rPr>
      </w:pPr>
    </w:p>
    <w:p>
      <w:pPr>
        <w:ind w:right="3239" w:firstLine="837"/>
        <w:spacing w:after="0" w:line="235" w:lineRule="auto"/>
        <w:rPr>
          <w:sz w:val="20"/>
          <w:szCs w:val="20"/>
          <w:color w:val="auto"/>
        </w:rPr>
      </w:pPr>
      <w:r>
        <w:rPr>
          <w:rFonts w:ascii="Courier New" w:cs="Courier New" w:eastAsia="Courier New" w:hAnsi="Courier New"/>
          <w:sz w:val="16"/>
          <w:szCs w:val="16"/>
          <w:color w:val="auto"/>
        </w:rPr>
        <w:t>The Company continuously reviews the adequacy of its insurance coverages. However, the Company lacks coverage for various risks. A claim arising out of the Company's activities, if successful and of sufficient magnitude, could have a material adverse effect on the Company's financial position or results of operations.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Legal Matters</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In January 1993, Hillsborough County sued the Company's International Petroleum Corporation of Florida subsidiary ("IPC"), along with 170 other defendants (or potentially responsible persons), in the U.S. District Court of the Middle District of Florida. The complaint seeks to recover response or cleanup costs for the Sydney Mine Waste Disposal Site under the Comprehensive Environmental Response, Compensation, and Liability Act, 42 U.S.C. section 9601 et. seq. (CERCLA or Superfund) and under Florida Statutes. The Company intends to vigorously defend this action.</w:t>
      </w:r>
    </w:p>
    <w:p>
      <w:pPr>
        <w:spacing w:after="0" w:line="18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There can be no assurance the Company will prevail in the foregoing legal proceeding, and management cannot estimate at this time the exposure of the Company if it does not prevail in this proceeding.</w:t>
      </w:r>
    </w:p>
    <w:p>
      <w:pPr>
        <w:spacing w:after="0" w:line="177"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48" w:right="1440" w:bottom="1440" w:gutter="0" w:footer="0" w:header="0"/>
        </w:sectPr>
      </w:pPr>
    </w:p>
    <w:bookmarkStart w:id="54" w:name="page55"/>
    <w:bookmarkEnd w:id="54"/>
    <w:p>
      <w:pPr>
        <w:ind w:right="3339"/>
        <w:spacing w:after="0" w:line="235" w:lineRule="auto"/>
        <w:rPr>
          <w:sz w:val="20"/>
          <w:szCs w:val="20"/>
          <w:color w:val="auto"/>
        </w:rPr>
      </w:pPr>
      <w:r>
        <w:rPr>
          <w:rFonts w:ascii="Courier New" w:cs="Courier New" w:eastAsia="Courier New" w:hAnsi="Courier New"/>
          <w:sz w:val="16"/>
          <w:szCs w:val="16"/>
          <w:color w:val="auto"/>
        </w:rPr>
        <w:t>The Company is involved in other litigation and administrative proceedings primarily arising in the normal course of its business. In the opinion of management, the Company's liability, if any, under any other pending litigation or administrative proceedings, would not materially affect its financial condition or operations.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Employment Agreements</w:t>
      </w:r>
    </w:p>
    <w:p>
      <w:pPr>
        <w:spacing w:after="0" w:line="183" w:lineRule="exact"/>
        <w:rPr>
          <w:sz w:val="20"/>
          <w:szCs w:val="20"/>
          <w:color w:val="auto"/>
        </w:rPr>
      </w:pPr>
    </w:p>
    <w:p>
      <w:pPr>
        <w:ind w:right="3059"/>
        <w:spacing w:after="0" w:line="273" w:lineRule="auto"/>
        <w:rPr>
          <w:sz w:val="20"/>
          <w:szCs w:val="20"/>
          <w:color w:val="auto"/>
        </w:rPr>
      </w:pPr>
      <w:r>
        <w:rPr>
          <w:rFonts w:ascii="Courier New" w:cs="Courier New" w:eastAsia="Courier New" w:hAnsi="Courier New"/>
          <w:sz w:val="14"/>
          <w:szCs w:val="14"/>
          <w:color w:val="auto"/>
        </w:rPr>
        <w:t>The Company amended and restated its employment agreements with the Chairman of the Board and the President which expire on March 31, 2000. Each agreement provides for a salary and an annual bonus equal to 5% of the Company's income before income taxes in excess of $2,000,000. The agreements also provide that if the Company terminates the employment of the executive for reasons other than death, disability, or cause, or, if the executive terminates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6"/>
          <w:szCs w:val="16"/>
          <w:color w:val="auto"/>
        </w:rPr>
        <w:t>The Company and its subsidiaries have also entered into employment, consulting and non-competition agreements with certain of their executive officers and previous and current employees. The agreements provide for minimum salary levels, as well as bonuses which are payable if specified management goals are attained.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years ended March 31, 1995, 1994 and 1993, approximately</w:t>
      </w:r>
    </w:p>
    <w:p>
      <w:pPr>
        <w:spacing w:after="0" w:line="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$3,963,000, $3,124,000 and $2,795,000, respectively, was expensed under the terms of the above described agreements.</w:t>
      </w:r>
    </w:p>
    <w:p>
      <w:pPr>
        <w:spacing w:after="0" w:line="183" w:lineRule="exact"/>
        <w:rPr>
          <w:sz w:val="20"/>
          <w:szCs w:val="20"/>
          <w:color w:val="auto"/>
        </w:rPr>
      </w:pPr>
    </w:p>
    <w:p>
      <w:pPr>
        <w:ind w:right="3799"/>
        <w:spacing w:after="0" w:line="234" w:lineRule="auto"/>
        <w:rPr>
          <w:sz w:val="20"/>
          <w:szCs w:val="20"/>
          <w:color w:val="auto"/>
        </w:rPr>
      </w:pPr>
      <w:r>
        <w:rPr>
          <w:rFonts w:ascii="Courier New" w:cs="Courier New" w:eastAsia="Courier New" w:hAnsi="Courier New"/>
          <w:sz w:val="16"/>
          <w:szCs w:val="16"/>
          <w:color w:val="auto"/>
        </w:rPr>
        <w:t>The future minimum commitments under employment agreements, excluding bonuses, as of March 31, 1995 are as follows:</w:t>
      </w:r>
    </w:p>
    <w:p>
      <w:pPr>
        <w:spacing w:after="0" w:line="177" w:lineRule="exact"/>
        <w:rPr>
          <w:sz w:val="20"/>
          <w:szCs w:val="20"/>
          <w:color w:val="auto"/>
        </w:rPr>
      </w:pPr>
    </w:p>
    <w:tbl>
      <w:tblPr>
        <w:tblLayout w:type="fixed"/>
        <w:tblInd w:w="3340" w:type="dxa"/>
        <w:tblCellMar>
          <w:top w:w="0" w:type="dxa"/>
          <w:left w:w="0" w:type="dxa"/>
          <w:bottom w:w="0" w:type="dxa"/>
          <w:right w:w="0" w:type="dxa"/>
        </w:tblCellMar>
      </w:tblPr>
      <w:tr>
        <w:trPr>
          <w:trHeight w:val="181"/>
        </w:trPr>
        <w:tc>
          <w:tcPr>
            <w:tcW w:w="98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1996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$2,709,000</w:t>
            </w:r>
          </w:p>
        </w:tc>
      </w:tr>
      <w:tr>
        <w:trPr>
          <w:trHeight w:val="179"/>
        </w:trPr>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1997</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1,844,000</w:t>
            </w:r>
          </w:p>
        </w:tc>
      </w:tr>
      <w:tr>
        <w:trPr>
          <w:trHeight w:val="179"/>
        </w:trPr>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1998</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1,425,000</w:t>
            </w:r>
          </w:p>
        </w:tc>
      </w:tr>
      <w:tr>
        <w:trPr>
          <w:trHeight w:val="179"/>
        </w:trPr>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1999</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574,000</w:t>
            </w:r>
          </w:p>
        </w:tc>
      </w:tr>
      <w:tr>
        <w:trPr>
          <w:trHeight w:val="179"/>
        </w:trPr>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2000</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662,000</w:t>
            </w:r>
          </w:p>
        </w:tc>
      </w:tr>
      <w:tr>
        <w:trPr>
          <w:trHeight w:val="179"/>
        </w:trPr>
        <w:tc>
          <w:tcPr>
            <w:tcW w:w="980" w:type="dxa"/>
            <w:vAlign w:val="bottom"/>
          </w:tcPr>
          <w:p>
            <w:pPr>
              <w:spacing w:after="0"/>
              <w:rPr>
                <w:sz w:val="15"/>
                <w:szCs w:val="15"/>
                <w:color w:val="auto"/>
              </w:rPr>
            </w:pP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80" w:type="dxa"/>
            <w:vAlign w:val="bottom"/>
          </w:tcPr>
          <w:p>
            <w:pPr>
              <w:spacing w:after="0"/>
              <w:rPr>
                <w:sz w:val="15"/>
                <w:szCs w:val="15"/>
                <w:color w:val="auto"/>
              </w:rPr>
            </w:pP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$7,214,000</w:t>
            </w:r>
          </w:p>
        </w:tc>
      </w:tr>
      <w:tr>
        <w:trPr>
          <w:trHeight w:val="179"/>
        </w:trPr>
        <w:tc>
          <w:tcPr>
            <w:tcW w:w="980" w:type="dxa"/>
            <w:vAlign w:val="bottom"/>
          </w:tcPr>
          <w:p>
            <w:pPr>
              <w:spacing w:after="0"/>
              <w:rPr>
                <w:sz w:val="15"/>
                <w:szCs w:val="15"/>
                <w:color w:val="auto"/>
              </w:rPr>
            </w:pP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Deferred Compensation Plan</w:t>
      </w:r>
    </w:p>
    <w:p>
      <w:pPr>
        <w:spacing w:after="0" w:line="183"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The Company has an incentive compensation plan which provides incentive compensation to certain key personnel whose performance contributes to the profitability and growth of the existing Trans-Tec group of companies. The plan is unfunded and is not a qualified plan under the Internal Revenue Code. Under the plan, participants will be awarded units equal to 20% of the Trans-Tec group's net income, excluding the incentive compensation expense, and earn interest on their deferred amounts. The plan allows for distributions of vested amounts over a five year period, subject to certain requirements, during and after employment with the Company. Participants become fully vested over a five year period, fully vested participants must wait two years from the year of contribution to be eligible for the distribution of deferred account balances. The plan is administered by a plan committee appointed by the Board of Directors of Trans-Tec Services, Inc. The plan committee has the authority to suspend or terminate the plan, as well as the responsibility to allocate the amount of incentive compensation among participants, during each plan year. The plan's fiscal year corresponds to the Company's fiscal year.</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83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(7) JOINT VENTURE</w:t>
      </w:r>
    </w:p>
    <w:p>
      <w:pPr>
        <w:spacing w:after="0" w:line="183" w:lineRule="exact"/>
        <w:rPr>
          <w:sz w:val="20"/>
          <w:szCs w:val="20"/>
          <w:color w:val="auto"/>
        </w:rPr>
      </w:pPr>
    </w:p>
    <w:p>
      <w:pPr>
        <w:jc w:val="both"/>
        <w:ind w:right="3159"/>
        <w:spacing w:after="0" w:line="270" w:lineRule="auto"/>
        <w:rPr>
          <w:sz w:val="20"/>
          <w:szCs w:val="20"/>
          <w:color w:val="auto"/>
        </w:rPr>
      </w:pPr>
      <w:r>
        <w:rPr>
          <w:rFonts w:ascii="Courier New" w:cs="Courier New" w:eastAsia="Courier New" w:hAnsi="Courier New"/>
          <w:sz w:val="14"/>
          <w:szCs w:val="14"/>
          <w:color w:val="auto"/>
        </w:rPr>
        <w:t>In August 1994, the Company, through its wholly-owned subsidiary World Fuel Services, Inc., began operation of a joint venture with Petrosur, an Ecuador corporation. The Company's ownership interest in the joint venture is 42%. The joint venture was organized under the name PetroSur-World Fuel</w:t>
      </w:r>
    </w:p>
    <w:p>
      <w:pPr>
        <w:spacing w:after="0" w:line="2" w:lineRule="exact"/>
        <w:rPr>
          <w:sz w:val="20"/>
          <w:szCs w:val="20"/>
          <w:color w:val="auto"/>
        </w:rPr>
      </w:pPr>
    </w:p>
    <w:p>
      <w:pPr>
        <w:ind w:right="3059"/>
        <w:spacing w:after="0" w:line="275" w:lineRule="auto"/>
        <w:rPr>
          <w:sz w:val="20"/>
          <w:szCs w:val="20"/>
          <w:color w:val="auto"/>
        </w:rPr>
      </w:pPr>
      <w:r>
        <w:rPr>
          <w:rFonts w:ascii="Courier New" w:cs="Courier New" w:eastAsia="Courier New" w:hAnsi="Courier New"/>
          <w:sz w:val="14"/>
          <w:szCs w:val="14"/>
          <w:color w:val="auto"/>
        </w:rPr>
        <w:t>to distribute jet fuel in Ecuador pursuant to a contract with the nationally owned oil company. The contract with the government may be terminated at any time. The Company has management oversight of the business activities of the joint venture. The joint venture arrangement has a term of five years and will automatically renew for a similar term unless one of the partners objects at least ninety days prior to the end of the term.</w:t>
      </w:r>
    </w:p>
    <w:p>
      <w:pPr>
        <w:spacing w:after="0" w:line="162"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During fiscal year 1995, the Company has recorded in the accompanying consolidated statement of income its proportionate share of the net earnings of the joint venture which amounted to $544,000, included as part of Other, net. The amount of the investment in the joint venture totalled $544,000, and advances to the joint venture amounted to $338,000 as of March 31, 1995, and are included in other assets and prepaid expenses and other current assets, respectively,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827" w:right="1440" w:bottom="1440" w:gutter="0" w:footer="0" w:header="0"/>
        </w:sectPr>
      </w:pPr>
    </w:p>
    <w:bookmarkStart w:id="56" w:name="page57"/>
    <w:bookmarkEnd w:id="56"/>
    <w:p>
      <w:pPr>
        <w:ind w:left="845" w:right="4559" w:hanging="845"/>
        <w:spacing w:after="0" w:line="465" w:lineRule="auto"/>
        <w:tabs>
          <w:tab w:leader="none" w:pos="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SEGMENTS, FOREIGN OPERATIONS AND MAJOR CUSTOMERS Business Segments</w:t>
      </w:r>
    </w:p>
    <w:p>
      <w:pPr>
        <w:spacing w:after="0" w:line="13"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The Company operates in three business segments: aviation fueling, marine fueling and oil recycling. Information concerning the Company's operations by business segment is as follows: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gridSpan w:val="5"/>
          </w:tcPr>
          <w:p>
            <w:pPr>
              <w:ind w:left="600"/>
              <w:spacing w:after="0"/>
              <w:rPr>
                <w:sz w:val="20"/>
                <w:szCs w:val="20"/>
                <w:color w:val="auto"/>
              </w:rPr>
            </w:pPr>
            <w:r>
              <w:rPr>
                <w:rFonts w:ascii="Courier New" w:cs="Courier New" w:eastAsia="Courier New" w:hAnsi="Courier New"/>
                <w:sz w:val="16"/>
                <w:szCs w:val="16"/>
                <w:color w:val="auto"/>
              </w:rPr>
              <w:t>FOR THE YEAR ENDED MARCH 31,</w:t>
            </w:r>
          </w:p>
        </w:tc>
      </w:tr>
      <w:tr>
        <w:trPr>
          <w:trHeight w:val="179"/>
        </w:trPr>
        <w:tc>
          <w:tcPr>
            <w:tcW w:w="2780" w:type="dxa"/>
            <w:vAlign w:val="bottom"/>
          </w:tcPr>
          <w:p>
            <w:pPr>
              <w:spacing w:after="0"/>
              <w:rPr>
                <w:sz w:val="15"/>
                <w:szCs w:val="15"/>
                <w:color w:val="auto"/>
              </w:rPr>
            </w:pPr>
          </w:p>
        </w:tc>
        <w:tc>
          <w:tcPr>
            <w:tcW w:w="420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1995</w:t>
            </w:r>
          </w:p>
        </w:tc>
        <w:tc>
          <w:tcPr>
            <w:tcW w:w="280" w:type="dxa"/>
            <w:vAlign w:val="bottom"/>
          </w:tcPr>
          <w:p>
            <w:pPr>
              <w:spacing w:after="0"/>
              <w:rPr>
                <w:sz w:val="15"/>
                <w:szCs w:val="15"/>
                <w:color w:val="auto"/>
              </w:rPr>
            </w:pPr>
          </w:p>
        </w:tc>
        <w:tc>
          <w:tcPr>
            <w:tcW w:w="11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10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1993</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Aviation fueling</w:t>
            </w: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$288,728,000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$233,982,000</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$241,055,000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Marine fueling (1)</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9"/>
              </w:rPr>
              <w:t>54,578,000</w:t>
            </w:r>
          </w:p>
        </w:tc>
        <w:tc>
          <w:tcPr>
            <w:tcW w:w="28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Oil recycling</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9"/>
              </w:rPr>
              <w:t>18,591,000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16,554,000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14,014,000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Intersegment eliminations</w:t>
            </w:r>
          </w:p>
        </w:tc>
        <w:tc>
          <w:tcPr>
            <w:tcW w:w="24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(6,000)</w:t>
            </w:r>
          </w:p>
        </w:tc>
        <w:tc>
          <w:tcPr>
            <w:tcW w:w="28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(9,000)</w:t>
            </w:r>
          </w:p>
        </w:tc>
        <w:tc>
          <w:tcPr>
            <w:tcW w:w="24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(302,000)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Consolidated revenues</w:t>
            </w: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$361,891,000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$250,527,000</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$254,767,000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Aviation fueling</w:t>
            </w: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$ 12,304,000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$ 12,066,000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8,911,000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Marine fueling (1)</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220,000</w:t>
            </w:r>
          </w:p>
        </w:tc>
        <w:tc>
          <w:tcPr>
            <w:tcW w:w="28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Oil recycling</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2,973,000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1,075,000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2,333,000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Corporate</w:t>
            </w:r>
          </w:p>
        </w:tc>
        <w:tc>
          <w:tcPr>
            <w:tcW w:w="24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(4,248,000)</w:t>
            </w:r>
          </w:p>
        </w:tc>
        <w:tc>
          <w:tcPr>
            <w:tcW w:w="28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(3,371,000)</w:t>
            </w:r>
          </w:p>
        </w:tc>
        <w:tc>
          <w:tcPr>
            <w:tcW w:w="24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(3,001,000)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Intersegment eliminations</w:t>
            </w:r>
          </w:p>
        </w:tc>
        <w:tc>
          <w:tcPr>
            <w:tcW w:w="240" w:type="dxa"/>
            <w:vAlign w:val="bottom"/>
          </w:tcPr>
          <w:p>
            <w:pPr>
              <w:spacing w:after="0"/>
              <w:rPr>
                <w:sz w:val="15"/>
                <w:szCs w:val="15"/>
                <w:color w:val="auto"/>
              </w:rPr>
            </w:pP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(177,000)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Consolidated income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from operations</w:t>
            </w: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$ 11,249,000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9,770,000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8,066,000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IDENTIFIABLE ASSETS: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Aviation fueling</w:t>
            </w: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$ 27,920,000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$ 26,535,000</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$ 32,039,000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Marine fueling</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9"/>
              </w:rPr>
              <w:t>34,313,000</w:t>
            </w:r>
          </w:p>
        </w:tc>
        <w:tc>
          <w:tcPr>
            <w:tcW w:w="28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Oil recycling</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9"/>
              </w:rPr>
              <w:t>17,557,000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16,548,000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14,005,000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Corporate</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9,746,000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10,604,000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4,506,000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Discontinued operations</w:t>
            </w:r>
          </w:p>
        </w:tc>
        <w:tc>
          <w:tcPr>
            <w:tcW w:w="240" w:type="dxa"/>
            <w:vAlign w:val="bottom"/>
          </w:tcPr>
          <w:p>
            <w:pPr>
              <w:spacing w:after="0"/>
              <w:rPr>
                <w:sz w:val="15"/>
                <w:szCs w:val="15"/>
                <w:color w:val="auto"/>
              </w:rPr>
            </w:pP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4,167,000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9"/>
              </w:rPr>
              <w:t>Consolidated identifiable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assets</w:t>
            </w: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$ 89,536,000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$ 53,687,000</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$ 54,717,000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Aviation fueling</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101,000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Marine fueling (1)</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104,000</w:t>
            </w:r>
          </w:p>
        </w:tc>
        <w:tc>
          <w:tcPr>
            <w:tcW w:w="28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Oil recycling</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1,901,000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3,078,000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3,755,000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Corporate</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162,000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155,000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Consolidated capital</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expenditures</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2,194,000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3,334,000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3,885,000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Aviation fueling</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236,000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194,000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222,000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Marine fueling (1)</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140,000</w:t>
            </w:r>
          </w:p>
        </w:tc>
        <w:tc>
          <w:tcPr>
            <w:tcW w:w="28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Oil recycling</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824,000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1,150,000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1,071,000</w:t>
            </w: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Corporate</w:t>
            </w:r>
          </w:p>
        </w:tc>
        <w:tc>
          <w:tcPr>
            <w:tcW w:w="24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173,000</w:t>
            </w:r>
          </w:p>
        </w:tc>
        <w:tc>
          <w:tcPr>
            <w:tcW w:w="2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158,000</w:t>
            </w:r>
          </w:p>
        </w:tc>
        <w:tc>
          <w:tcPr>
            <w:tcW w:w="24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180,000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9"/>
              </w:rPr>
              <w:t>Consolidated depreciation</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and amortization</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1,373,000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1,502,000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1,473,000</w:t>
            </w:r>
          </w:p>
        </w:tc>
      </w:tr>
      <w:tr>
        <w:trPr>
          <w:trHeight w:val="179"/>
        </w:trPr>
        <w:tc>
          <w:tcPr>
            <w:tcW w:w="2780" w:type="dxa"/>
            <w:vAlign w:val="bottom"/>
          </w:tcPr>
          <w:p>
            <w:pPr>
              <w:spacing w:after="0"/>
              <w:rPr>
                <w:sz w:val="15"/>
                <w:szCs w:val="15"/>
                <w:color w:val="auto"/>
              </w:rPr>
            </w:pPr>
          </w:p>
        </w:tc>
        <w:tc>
          <w:tcPr>
            <w:tcW w:w="14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845" w:hanging="845"/>
        <w:spacing w:after="0"/>
        <w:tabs>
          <w:tab w:leader="none" w:pos="84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marine fueling segment reflects</w:t>
      </w:r>
    </w:p>
    <w:p>
      <w:pPr>
        <w:ind w:left="8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activity from January 1, 1995 to March 31, 1995.</w:t>
      </w:r>
    </w:p>
    <w:p>
      <w:pPr>
        <w:spacing w:after="0" w:line="183" w:lineRule="exact"/>
        <w:rPr>
          <w:sz w:val="20"/>
          <w:szCs w:val="20"/>
          <w:color w:val="auto"/>
        </w:rPr>
      </w:pPr>
    </w:p>
    <w:p>
      <w:pPr>
        <w:ind w:left="5" w:right="3619"/>
        <w:spacing w:after="0" w:line="234" w:lineRule="auto"/>
        <w:rPr>
          <w:sz w:val="20"/>
          <w:szCs w:val="20"/>
          <w:color w:val="auto"/>
        </w:rPr>
      </w:pPr>
      <w:r>
        <w:rPr>
          <w:rFonts w:ascii="Courier New" w:cs="Courier New" w:eastAsia="Courier New" w:hAnsi="Courier New"/>
          <w:sz w:val="16"/>
          <w:szCs w:val="16"/>
          <w:color w:val="auto"/>
        </w:rPr>
        <w:t>Net assets of the discontinued operations, as described in Note 2, were transferred to continuing operations as of March 31, 1994.</w:t>
      </w:r>
    </w:p>
    <w:p>
      <w:pPr>
        <w:spacing w:after="0" w:line="177" w:lineRule="exact"/>
        <w:rPr>
          <w:sz w:val="20"/>
          <w:szCs w:val="20"/>
          <w:color w:val="auto"/>
        </w:rPr>
      </w:pPr>
    </w:p>
    <w:p>
      <w:pPr>
        <w:ind w:left="5945"/>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24"/>
          </w:cols>
          <w:pgMar w:left="235" w:top="1012" w:right="1440" w:bottom="1440" w:gutter="0" w:footer="0" w:header="0"/>
        </w:sectPr>
      </w:pPr>
    </w:p>
    <w:bookmarkStart w:id="57" w:name="page58"/>
    <w:bookmarkEnd w:id="57"/>
    <w:p>
      <w:pPr>
        <w:ind w:left="840"/>
        <w:spacing w:after="0"/>
        <w:rPr>
          <w:sz w:val="20"/>
          <w:szCs w:val="20"/>
          <w:color w:val="auto"/>
        </w:rPr>
      </w:pPr>
      <w:r>
        <w:rPr>
          <w:rFonts w:ascii="Courier New" w:cs="Courier New" w:eastAsia="Courier New" w:hAnsi="Courier New"/>
          <w:sz w:val="16"/>
          <w:szCs w:val="16"/>
          <w:color w:val="auto"/>
        </w:rPr>
        <w:t>Foreign Operations</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A summary of financial data for foreign operations is shown below as of, and for the fiscal years ended March 31, 1995, 1994 and 1993. Non-U.S. operations of the Company and its subsidiaries are conducted primarily in the United Kingdom. Income from operations is before the allocation of corporate general and administrative expenses and income taxes.</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148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1995</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1993</w:t>
            </w:r>
          </w:p>
        </w:tc>
      </w:tr>
      <w:tr>
        <w:trPr>
          <w:trHeight w:val="179"/>
        </w:trPr>
        <w:tc>
          <w:tcPr>
            <w:tcW w:w="232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$47,045,000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$28,382,000</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$23,760,000</w:t>
            </w:r>
          </w:p>
        </w:tc>
      </w:tr>
      <w:tr>
        <w:trPr>
          <w:trHeight w:val="179"/>
        </w:trPr>
        <w:tc>
          <w:tcPr>
            <w:tcW w:w="232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$ 1,572,000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190,000</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240,000</w:t>
            </w:r>
          </w:p>
        </w:tc>
      </w:tr>
      <w:tr>
        <w:trPr>
          <w:trHeight w:val="179"/>
        </w:trPr>
        <w:tc>
          <w:tcPr>
            <w:tcW w:w="232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Identifiable assets</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$11,770,000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$ 1,872,000</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$ 3,367,000</w:t>
            </w:r>
          </w:p>
        </w:tc>
      </w:tr>
      <w:tr>
        <w:trPr>
          <w:trHeight w:val="179"/>
        </w:trPr>
        <w:tc>
          <w:tcPr>
            <w:tcW w:w="232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Major Customers</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No customer accounted for more than 10% of total consolidated revenue for the years ended March 31, 1995, 1994 and 1993.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QUARTERLY INFORMATION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FOR THE THREE MONTHS ENDED,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1800" w:type="dxa"/>
            <w:vAlign w:val="bottom"/>
          </w:tcPr>
          <w:p>
            <w:pPr>
              <w:spacing w:after="0"/>
              <w:rPr>
                <w:sz w:val="15"/>
                <w:szCs w:val="15"/>
                <w:color w:val="auto"/>
              </w:rPr>
            </w:pPr>
          </w:p>
        </w:tc>
        <w:tc>
          <w:tcPr>
            <w:tcW w:w="5260" w:type="dxa"/>
            <w:vAlign w:val="bottom"/>
            <w:gridSpan w:val="8"/>
          </w:tcPr>
          <w:p>
            <w:pPr>
              <w:ind w:left="60"/>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8"/>
              </w:rPr>
              <w:t>June 30,</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September 30,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December 31,</w:t>
            </w:r>
          </w:p>
        </w:tc>
        <w:tc>
          <w:tcPr>
            <w:tcW w:w="280" w:type="dxa"/>
            <w:vAlign w:val="bottom"/>
          </w:tcPr>
          <w:p>
            <w:pPr>
              <w:spacing w:after="0"/>
              <w:rPr>
                <w:sz w:val="15"/>
                <w:szCs w:val="15"/>
                <w:color w:val="auto"/>
              </w:rPr>
            </w:pP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March 31,</w:t>
            </w:r>
          </w:p>
        </w:tc>
      </w:tr>
      <w:tr>
        <w:trPr>
          <w:trHeight w:val="179"/>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3"/>
              </w:rPr>
              <w:t>1994</w:t>
            </w:r>
          </w:p>
        </w:tc>
        <w:tc>
          <w:tcPr>
            <w:tcW w:w="42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5"/>
                <w:szCs w:val="15"/>
                <w:color w:val="auto"/>
              </w:rPr>
            </w:pPr>
          </w:p>
        </w:tc>
        <w:tc>
          <w:tcPr>
            <w:tcW w:w="9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5"/>
                <w:szCs w:val="15"/>
                <w:color w:val="auto"/>
              </w:rPr>
            </w:pP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w:t>
            </w: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$72,524,000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$76,660,000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$78,103,000</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$134,604,000</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$ 7,242,000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$ 5,731,000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$ 5,802,000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8,982,000</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$ 1,944,000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$ 1,760,000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$ 2,054,000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2,330,000</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1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common and common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1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equivalent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0.41</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0.37</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0.45</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FOR THE THREE MONTHS ENDED,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1800" w:type="dxa"/>
            <w:vAlign w:val="bottom"/>
          </w:tcPr>
          <w:p>
            <w:pPr>
              <w:spacing w:after="0"/>
              <w:rPr>
                <w:sz w:val="15"/>
                <w:szCs w:val="15"/>
                <w:color w:val="auto"/>
              </w:rPr>
            </w:pPr>
          </w:p>
        </w:tc>
        <w:tc>
          <w:tcPr>
            <w:tcW w:w="5260" w:type="dxa"/>
            <w:vAlign w:val="bottom"/>
            <w:gridSpan w:val="8"/>
          </w:tcPr>
          <w:p>
            <w:pPr>
              <w:ind w:left="6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8"/>
              </w:rPr>
              <w:t>June 30,</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September 30,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December 31,</w:t>
            </w:r>
          </w:p>
        </w:tc>
        <w:tc>
          <w:tcPr>
            <w:tcW w:w="280" w:type="dxa"/>
            <w:vAlign w:val="bottom"/>
          </w:tcPr>
          <w:p>
            <w:pPr>
              <w:spacing w:after="0"/>
              <w:rPr>
                <w:sz w:val="15"/>
                <w:szCs w:val="15"/>
                <w:color w:val="auto"/>
              </w:rPr>
            </w:pP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March 31,</w:t>
            </w:r>
          </w:p>
        </w:tc>
      </w:tr>
      <w:tr>
        <w:trPr>
          <w:trHeight w:val="179"/>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3"/>
              </w:rPr>
              <w:t>1993</w:t>
            </w:r>
          </w:p>
        </w:tc>
        <w:tc>
          <w:tcPr>
            <w:tcW w:w="42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1993</w:t>
            </w:r>
          </w:p>
        </w:tc>
        <w:tc>
          <w:tcPr>
            <w:tcW w:w="380" w:type="dxa"/>
            <w:vAlign w:val="bottom"/>
          </w:tcPr>
          <w:p>
            <w:pPr>
              <w:spacing w:after="0"/>
              <w:rPr>
                <w:sz w:val="15"/>
                <w:szCs w:val="15"/>
                <w:color w:val="auto"/>
              </w:rPr>
            </w:pPr>
          </w:p>
        </w:tc>
        <w:tc>
          <w:tcPr>
            <w:tcW w:w="9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1993</w:t>
            </w:r>
          </w:p>
        </w:tc>
        <w:tc>
          <w:tcPr>
            <w:tcW w:w="280" w:type="dxa"/>
            <w:vAlign w:val="bottom"/>
          </w:tcPr>
          <w:p>
            <w:pPr>
              <w:spacing w:after="0"/>
              <w:rPr>
                <w:sz w:val="15"/>
                <w:szCs w:val="15"/>
                <w:color w:val="auto"/>
              </w:rPr>
            </w:pP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w:t>
            </w: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$61,403,000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$63,128,000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$62,529,000</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$ 63,467,000</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$ 6,464,000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$ 6,958,000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$ 5,847,000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7,682,000</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$ 1,446,000</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$ 1,555,000</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$ 1,259,000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935,000</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1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common and common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1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equivalent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0.31</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0.33</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0.27</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180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827" w:right="1440" w:bottom="1440" w:gutter="0" w:footer="0" w:header="0"/>
        </w:sectPr>
      </w:pPr>
    </w:p>
    <w:bookmarkStart w:id="58" w:name="page59"/>
    <w:bookmarkEnd w:id="58"/>
    <w:tbl>
      <w:tblPr>
        <w:tblLayout w:type="fixed"/>
        <w:tblInd w:w="5"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SCHEDULE II</w:t>
            </w:r>
          </w:p>
        </w:tc>
        <w:tc>
          <w:tcPr>
            <w:tcW w:w="1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8"/>
        </w:trPr>
        <w:tc>
          <w:tcPr>
            <w:tcW w:w="2780" w:type="dxa"/>
            <w:vAlign w:val="bottom"/>
          </w:tcPr>
          <w:p>
            <w:pPr>
              <w:spacing w:after="0"/>
              <w:rPr>
                <w:sz w:val="24"/>
                <w:szCs w:val="24"/>
                <w:color w:val="auto"/>
              </w:rPr>
            </w:pPr>
          </w:p>
        </w:tc>
        <w:tc>
          <w:tcPr>
            <w:tcW w:w="470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7"/>
              </w:rPr>
              <w:t>INTERNATIONAL RECOVERY CORP. AND SUBSIDIARIES</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8"/>
        </w:trPr>
        <w:tc>
          <w:tcPr>
            <w:tcW w:w="2780" w:type="dxa"/>
            <w:vAlign w:val="bottom"/>
          </w:tcPr>
          <w:p>
            <w:pPr>
              <w:spacing w:after="0"/>
              <w:rPr>
                <w:sz w:val="24"/>
                <w:szCs w:val="24"/>
                <w:color w:val="auto"/>
              </w:rPr>
            </w:pPr>
          </w:p>
        </w:tc>
        <w:tc>
          <w:tcPr>
            <w:tcW w:w="4380" w:type="dxa"/>
            <w:vAlign w:val="bottom"/>
            <w:gridSpan w:val="4"/>
          </w:tcPr>
          <w:p>
            <w:pPr>
              <w:ind w:left="1020"/>
              <w:spacing w:after="0"/>
              <w:rPr>
                <w:sz w:val="20"/>
                <w:szCs w:val="20"/>
                <w:color w:val="auto"/>
              </w:rPr>
            </w:pPr>
            <w:r>
              <w:rPr>
                <w:rFonts w:ascii="Courier New" w:cs="Courier New" w:eastAsia="Courier New" w:hAnsi="Courier New"/>
                <w:sz w:val="16"/>
                <w:szCs w:val="16"/>
                <w:color w:val="auto"/>
              </w:rPr>
              <w:t>VALUATION AND QUALIFYING ACCOUNTS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16"/>
        </w:trPr>
        <w:tc>
          <w:tcPr>
            <w:tcW w:w="2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ind w:left="500"/>
              <w:spacing w:after="0"/>
              <w:rPr>
                <w:sz w:val="20"/>
                <w:szCs w:val="20"/>
                <w:color w:val="auto"/>
              </w:rPr>
            </w:pPr>
            <w:r>
              <w:rPr>
                <w:rFonts w:ascii="Courier New" w:cs="Courier New" w:eastAsia="Courier New" w:hAnsi="Courier New"/>
                <w:sz w:val="16"/>
                <w:szCs w:val="16"/>
                <w:color w:val="auto"/>
              </w:rPr>
              <w:t>ADDITIONS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2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60" w:type="dxa"/>
            <w:vAlign w:val="bottom"/>
            <w:gridSpan w:val="6"/>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r>
      <w:tr>
        <w:trPr>
          <w:trHeight w:val="179"/>
        </w:trPr>
        <w:tc>
          <w:tcPr>
            <w:tcW w:w="2780" w:type="dxa"/>
            <w:vAlign w:val="bottom"/>
          </w:tcPr>
          <w:p>
            <w:pPr>
              <w:spacing w:after="0"/>
              <w:rPr>
                <w:sz w:val="15"/>
                <w:szCs w:val="15"/>
                <w:color w:val="auto"/>
              </w:rPr>
            </w:pP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Balance at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Charged to</w:t>
            </w:r>
          </w:p>
        </w:tc>
        <w:tc>
          <w:tcPr>
            <w:tcW w:w="13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Charged to</w:t>
            </w:r>
          </w:p>
        </w:tc>
        <w:tc>
          <w:tcPr>
            <w:tcW w:w="1440" w:type="dxa"/>
            <w:vAlign w:val="bottom"/>
          </w:tcPr>
          <w:p>
            <w:pPr>
              <w:spacing w:after="0"/>
              <w:rPr>
                <w:sz w:val="15"/>
                <w:szCs w:val="15"/>
                <w:color w:val="auto"/>
              </w:rPr>
            </w:pP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Balance at</w:t>
            </w:r>
          </w:p>
        </w:tc>
      </w:tr>
      <w:tr>
        <w:trPr>
          <w:trHeight w:val="179"/>
        </w:trPr>
        <w:tc>
          <w:tcPr>
            <w:tcW w:w="2780" w:type="dxa"/>
            <w:vAlign w:val="bottom"/>
          </w:tcPr>
          <w:p>
            <w:pPr>
              <w:spacing w:after="0"/>
              <w:rPr>
                <w:sz w:val="15"/>
                <w:szCs w:val="15"/>
                <w:color w:val="auto"/>
              </w:rPr>
            </w:pP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beginning</w:t>
            </w:r>
          </w:p>
        </w:tc>
        <w:tc>
          <w:tcPr>
            <w:tcW w:w="14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Acquisition</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costs and</w:t>
            </w:r>
          </w:p>
        </w:tc>
        <w:tc>
          <w:tcPr>
            <w:tcW w:w="320" w:type="dxa"/>
            <w:vAlign w:val="bottom"/>
          </w:tcPr>
          <w:p>
            <w:pPr>
              <w:spacing w:after="0"/>
              <w:rPr>
                <w:sz w:val="15"/>
                <w:szCs w:val="15"/>
                <w:color w:val="auto"/>
              </w:rPr>
            </w:pP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other</w:t>
            </w:r>
          </w:p>
        </w:tc>
        <w:tc>
          <w:tcPr>
            <w:tcW w:w="1440" w:type="dxa"/>
            <w:vAlign w:val="bottom"/>
          </w:tcPr>
          <w:p>
            <w:pPr>
              <w:spacing w:after="0"/>
              <w:rPr>
                <w:sz w:val="15"/>
                <w:szCs w:val="15"/>
                <w:color w:val="auto"/>
              </w:rPr>
            </w:pPr>
          </w:p>
        </w:tc>
        <w:tc>
          <w:tcPr>
            <w:tcW w:w="10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end</w:t>
            </w:r>
          </w:p>
        </w:tc>
      </w:tr>
      <w:tr>
        <w:trPr>
          <w:trHeight w:val="179"/>
        </w:trPr>
        <w:tc>
          <w:tcPr>
            <w:tcW w:w="2780" w:type="dxa"/>
            <w:vAlign w:val="bottom"/>
          </w:tcPr>
          <w:p>
            <w:pPr>
              <w:spacing w:after="0"/>
              <w:rPr>
                <w:sz w:val="15"/>
                <w:szCs w:val="15"/>
                <w:color w:val="auto"/>
              </w:rPr>
            </w:pP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of period</w:t>
            </w:r>
          </w:p>
        </w:tc>
        <w:tc>
          <w:tcPr>
            <w:tcW w:w="14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of business</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expenses</w:t>
            </w:r>
          </w:p>
        </w:tc>
        <w:tc>
          <w:tcPr>
            <w:tcW w:w="13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accounts (1)</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Deductions(2)</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of period</w:t>
            </w:r>
          </w:p>
        </w:tc>
      </w:tr>
      <w:tr>
        <w:trPr>
          <w:trHeight w:val="179"/>
        </w:trPr>
        <w:tc>
          <w:tcPr>
            <w:tcW w:w="2780" w:type="dxa"/>
            <w:vAlign w:val="bottom"/>
          </w:tcPr>
          <w:p>
            <w:pPr>
              <w:spacing w:after="0"/>
              <w:rPr>
                <w:sz w:val="15"/>
                <w:szCs w:val="15"/>
                <w:color w:val="auto"/>
              </w:rPr>
            </w:pP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2780" w:type="dxa"/>
            <w:vAlign w:val="bottom"/>
          </w:tcPr>
          <w:p>
            <w:pPr>
              <w:spacing w:after="0"/>
              <w:rPr>
                <w:sz w:val="20"/>
                <w:szCs w:val="20"/>
                <w:color w:val="auto"/>
              </w:rPr>
            </w:pPr>
            <w:r>
              <w:rPr>
                <w:rFonts w:ascii="Courier New" w:cs="Courier New" w:eastAsia="Courier New" w:hAnsi="Courier New"/>
                <w:sz w:val="16"/>
                <w:szCs w:val="16"/>
                <w:color w:val="auto"/>
              </w:rPr>
              <w:t>Year Ended March 31, 1995</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bad debts</w:t>
            </w: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$2,464,000</w:t>
            </w:r>
          </w:p>
        </w:tc>
        <w:tc>
          <w:tcPr>
            <w:tcW w:w="4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250,000</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$2,062,000</w:t>
            </w:r>
          </w:p>
        </w:tc>
        <w:tc>
          <w:tcPr>
            <w:tcW w:w="13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$2,408,000</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$2,618,000</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$4,566,000</w:t>
            </w:r>
          </w:p>
        </w:tc>
      </w:tr>
      <w:tr>
        <w:trPr>
          <w:trHeight w:val="179"/>
        </w:trPr>
        <w:tc>
          <w:tcPr>
            <w:tcW w:w="2780" w:type="dxa"/>
            <w:vAlign w:val="bottom"/>
          </w:tcPr>
          <w:p>
            <w:pPr>
              <w:spacing w:after="0"/>
              <w:rPr>
                <w:sz w:val="15"/>
                <w:szCs w:val="15"/>
                <w:color w:val="auto"/>
              </w:rPr>
            </w:pP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Year Ended March 31, 1994</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bad debts</w:t>
            </w: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$2,635,000</w:t>
            </w:r>
          </w:p>
        </w:tc>
        <w:tc>
          <w:tcPr>
            <w:tcW w:w="4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82"/>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$5,063,000</w:t>
            </w:r>
          </w:p>
        </w:tc>
        <w:tc>
          <w:tcPr>
            <w:tcW w:w="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867,000</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$6,101,000</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$2,464,000</w:t>
            </w:r>
          </w:p>
        </w:tc>
      </w:tr>
      <w:tr>
        <w:trPr>
          <w:trHeight w:val="179"/>
        </w:trPr>
        <w:tc>
          <w:tcPr>
            <w:tcW w:w="2780" w:type="dxa"/>
            <w:vAlign w:val="bottom"/>
          </w:tcPr>
          <w:p>
            <w:pPr>
              <w:spacing w:after="0"/>
              <w:rPr>
                <w:sz w:val="15"/>
                <w:szCs w:val="15"/>
                <w:color w:val="auto"/>
              </w:rPr>
            </w:pP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Year Ended March 31, 1993</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bad debts</w:t>
            </w: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  963,000</w:t>
            </w:r>
          </w:p>
        </w:tc>
        <w:tc>
          <w:tcPr>
            <w:tcW w:w="4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82"/>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$4,437,000</w:t>
            </w:r>
          </w:p>
        </w:tc>
        <w:tc>
          <w:tcPr>
            <w:tcW w:w="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209,000</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$2,974,000</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$2,635,000</w:t>
            </w:r>
          </w:p>
        </w:tc>
      </w:tr>
      <w:tr>
        <w:trPr>
          <w:trHeight w:val="179"/>
        </w:trPr>
        <w:tc>
          <w:tcPr>
            <w:tcW w:w="2780" w:type="dxa"/>
            <w:vAlign w:val="bottom"/>
          </w:tcPr>
          <w:p>
            <w:pPr>
              <w:spacing w:after="0"/>
              <w:rPr>
                <w:sz w:val="15"/>
                <w:szCs w:val="15"/>
                <w:color w:val="auto"/>
              </w:rPr>
            </w:pP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Notes:</w:t>
      </w:r>
    </w:p>
    <w:p>
      <w:pPr>
        <w:spacing w:after="0" w:line="183" w:lineRule="exact"/>
        <w:rPr>
          <w:sz w:val="20"/>
          <w:szCs w:val="20"/>
          <w:color w:val="auto"/>
        </w:rPr>
      </w:pPr>
    </w:p>
    <w:p>
      <w:pPr>
        <w:ind w:left="845" w:hanging="845"/>
        <w:spacing w:after="0" w:line="234" w:lineRule="auto"/>
        <w:tabs>
          <w:tab w:leader="none" w:pos="84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Recoveries of bad debts and reclassifications. In fiscal year 1995, allowance for bad debts totaling $130,000 was transferred from the Company's discontinued operations to continued operations.</w:t>
      </w:r>
    </w:p>
    <w:p>
      <w:pPr>
        <w:spacing w:after="0" w:line="177"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determined to be uncollectible.</w:t>
      </w:r>
    </w:p>
    <w:p>
      <w:pPr>
        <w:spacing w:after="0" w:line="200" w:lineRule="exact"/>
        <w:rPr>
          <w:sz w:val="20"/>
          <w:szCs w:val="20"/>
          <w:color w:val="auto"/>
        </w:rPr>
      </w:pPr>
    </w:p>
    <w:p>
      <w:pPr>
        <w:spacing w:after="0" w:line="334" w:lineRule="exact"/>
        <w:rPr>
          <w:sz w:val="20"/>
          <w:szCs w:val="20"/>
          <w:color w:val="auto"/>
        </w:rPr>
      </w:pPr>
    </w:p>
    <w:p>
      <w:pPr>
        <w:jc w:val="center"/>
        <w:ind w:right="455"/>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1065"/>
          </w:cols>
          <w:pgMar w:left="235" w:top="648" w:right="599" w:bottom="1440" w:gutter="0" w:footer="0" w:header="0"/>
        </w:sectPr>
      </w:pPr>
    </w:p>
    <w:bookmarkStart w:id="59" w:name="page60"/>
    <w:bookmarkEnd w:id="59"/>
    <w:p>
      <w:pPr>
        <w:ind w:left="2880"/>
        <w:spacing w:after="0"/>
        <w:rPr>
          <w:sz w:val="20"/>
          <w:szCs w:val="20"/>
          <w:color w:val="auto"/>
        </w:rPr>
      </w:pPr>
      <w:r>
        <w:rPr>
          <w:rFonts w:ascii="Courier New" w:cs="Courier New" w:eastAsia="Courier New" w:hAnsi="Courier New"/>
          <w:sz w:val="16"/>
          <w:szCs w:val="16"/>
          <w:color w:val="auto"/>
        </w:rPr>
        <w:t>AMENDED AND RESTATED</w:t>
      </w:r>
    </w:p>
    <w:p>
      <w:pPr>
        <w:ind w:left="2880"/>
        <w:spacing w:after="0" w:line="236" w:lineRule="auto"/>
        <w:rPr>
          <w:sz w:val="20"/>
          <w:szCs w:val="20"/>
          <w:color w:val="auto"/>
        </w:rPr>
      </w:pPr>
      <w:r>
        <w:rPr>
          <w:rFonts w:ascii="Courier New" w:cs="Courier New" w:eastAsia="Courier New" w:hAnsi="Courier New"/>
          <w:sz w:val="16"/>
          <w:szCs w:val="16"/>
          <w:color w:val="auto"/>
        </w:rPr>
        <w:t>EMPLOYMENT AGREEMENT</w:t>
      </w:r>
    </w:p>
    <w:p>
      <w:pPr>
        <w:spacing w:after="0" w:line="183" w:lineRule="exact"/>
        <w:rPr>
          <w:sz w:val="20"/>
          <w:szCs w:val="20"/>
          <w:color w:val="auto"/>
        </w:rPr>
      </w:pPr>
    </w:p>
    <w:p>
      <w:pPr>
        <w:ind w:right="3439" w:firstLine="1674"/>
        <w:spacing w:after="0" w:line="283" w:lineRule="auto"/>
        <w:rPr>
          <w:sz w:val="20"/>
          <w:szCs w:val="20"/>
          <w:color w:val="auto"/>
        </w:rPr>
      </w:pPr>
      <w:r>
        <w:rPr>
          <w:rFonts w:ascii="Courier New" w:cs="Courier New" w:eastAsia="Courier New" w:hAnsi="Courier New"/>
          <w:sz w:val="14"/>
          <w:szCs w:val="14"/>
          <w:color w:val="auto"/>
        </w:rPr>
        <w:t>THIS AGREEMENT is made and entered into as of this 15th day of February, 1995, by and between International Recovery Corp., a Florida corporation (the "Company"), and Jerrold Blair (the "Executive").</w:t>
      </w:r>
    </w:p>
    <w:p>
      <w:pPr>
        <w:spacing w:after="0" w:line="155" w:lineRule="exact"/>
        <w:rPr>
          <w:sz w:val="20"/>
          <w:szCs w:val="20"/>
          <w:color w:val="auto"/>
        </w:rPr>
      </w:pPr>
    </w:p>
    <w:p>
      <w:pPr>
        <w:ind w:right="3239" w:firstLine="1674"/>
        <w:spacing w:after="0" w:line="236" w:lineRule="auto"/>
        <w:rPr>
          <w:sz w:val="20"/>
          <w:szCs w:val="20"/>
          <w:color w:val="auto"/>
        </w:rPr>
      </w:pPr>
      <w:r>
        <w:rPr>
          <w:rFonts w:ascii="Courier New" w:cs="Courier New" w:eastAsia="Courier New" w:hAnsi="Courier New"/>
          <w:sz w:val="16"/>
          <w:szCs w:val="16"/>
          <w:color w:val="auto"/>
        </w:rPr>
        <w:t>RECITALS. Executive is currently employed by the Company pursuant to an employment agreement which expires January 31, 1999. Executive is a senior executive officer of the Company and an integral part of its management. The Company wishes to extend the Executive's employment for an additional one year term, and to extend and expand the scope of the Executive's current non-compete covenant. In order to retain the Executive and to assure both the Executive and the Company of the continuity of management in the event of any actual or threatened Change of Control (as defined in Section 3.1) of the Company, the Company desires to provide severance benefits to the Executive if the Executive's employment with the Company and/or its subsidiaries or affiliates terminates as provided herein concurrent with or subsequent to a Change of Control. The parties have agreed to amend and restate the Executive's employment agreement to reflect the foregoing terms.</w:t>
      </w:r>
    </w:p>
    <w:p>
      <w:pPr>
        <w:spacing w:after="0" w:line="188" w:lineRule="exact"/>
        <w:rPr>
          <w:sz w:val="20"/>
          <w:szCs w:val="20"/>
          <w:color w:val="auto"/>
        </w:rPr>
      </w:pPr>
    </w:p>
    <w:p>
      <w:pPr>
        <w:ind w:right="3339" w:firstLine="1674"/>
        <w:spacing w:after="0" w:line="235" w:lineRule="auto"/>
        <w:rPr>
          <w:sz w:val="20"/>
          <w:szCs w:val="20"/>
          <w:color w:val="auto"/>
        </w:rPr>
      </w:pPr>
      <w:r>
        <w:rPr>
          <w:rFonts w:ascii="Courier New" w:cs="Courier New" w:eastAsia="Courier New" w:hAnsi="Courier New"/>
          <w:sz w:val="16"/>
          <w:szCs w:val="16"/>
          <w:color w:val="auto"/>
        </w:rPr>
        <w:t>NOW, THEREFORE, for and in consideration of the premises and the mutual covenants and agreements herein contained, and for other valuable consideration, the receipt and sufficiency of which are hereby acknowledged, the parties hereby agree as follows:</w:t>
      </w:r>
    </w:p>
    <w:p>
      <w:pPr>
        <w:spacing w:after="0" w:line="178" w:lineRule="exact"/>
        <w:rPr>
          <w:sz w:val="20"/>
          <w:szCs w:val="20"/>
          <w:color w:val="auto"/>
        </w:rPr>
      </w:pPr>
    </w:p>
    <w:p>
      <w:pPr>
        <w:ind w:left="2500" w:hanging="830"/>
        <w:spacing w:after="0"/>
        <w:tabs>
          <w:tab w:leader="none" w:pos="2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Company hereby employs Executive</w:t>
      </w:r>
    </w:p>
    <w:p>
      <w:pPr>
        <w:spacing w:after="0" w:line="3" w:lineRule="exact"/>
        <w:rPr>
          <w:rFonts w:ascii="Courier New" w:cs="Courier New" w:eastAsia="Courier New" w:hAnsi="Courier New"/>
          <w:sz w:val="16"/>
          <w:szCs w:val="16"/>
          <w:color w:val="auto"/>
        </w:rPr>
      </w:pPr>
    </w:p>
    <w:p>
      <w:pPr>
        <w:ind w:right="41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term (the "Employment Term"), commencing on the date hereof and ending on March 31, 2000, to serve as President. Executive hereby accepts such employment.</w:t>
      </w:r>
    </w:p>
    <w:p>
      <w:pPr>
        <w:spacing w:after="0" w:line="177"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  During the Employment</w:t>
      </w:r>
    </w:p>
    <w:p>
      <w:pPr>
        <w:spacing w:after="0" w:line="3" w:lineRule="exact"/>
        <w:rPr>
          <w:rFonts w:ascii="Courier New" w:cs="Courier New" w:eastAsia="Courier New" w:hAnsi="Courier New"/>
          <w:sz w:val="16"/>
          <w:szCs w:val="16"/>
          <w:color w:val="auto"/>
        </w:rPr>
      </w:pPr>
    </w:p>
    <w:p>
      <w:pPr>
        <w:ind w:right="42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 the Company shall pay Executive the compensation and other amounts set forth below.</w:t>
      </w:r>
    </w:p>
    <w:p>
      <w:pPr>
        <w:spacing w:after="0" w:line="177" w:lineRule="exact"/>
        <w:rPr>
          <w:sz w:val="20"/>
          <w:szCs w:val="20"/>
          <w:color w:val="auto"/>
        </w:rPr>
      </w:pPr>
    </w:p>
    <w:p>
      <w:pPr>
        <w:ind w:left="2320"/>
        <w:spacing w:after="0"/>
        <w:tabs>
          <w:tab w:leader="none" w:pos="3140" w:val="left"/>
          <w:tab w:leader="none" w:pos="444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BASE SALARY.</w:t>
      </w:r>
      <w:r>
        <w:rPr>
          <w:sz w:val="20"/>
          <w:szCs w:val="20"/>
          <w:color w:val="auto"/>
        </w:rPr>
        <w:tab/>
      </w:r>
      <w:r>
        <w:rPr>
          <w:rFonts w:ascii="Courier New" w:cs="Courier New" w:eastAsia="Courier New" w:hAnsi="Courier New"/>
          <w:sz w:val="14"/>
          <w:szCs w:val="14"/>
          <w:color w:val="auto"/>
        </w:rPr>
        <w:t>The Company shall pay Executive</w:t>
      </w:r>
    </w:p>
    <w:p>
      <w:pPr>
        <w:spacing w:after="0" w:line="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an annual salary ("Base Salary") of $250,000 during each year of the Employment Term, payable in equal installments according to the Company's regular payroll practices and subject to such deductions as may be required by law.</w:t>
      </w:r>
    </w:p>
    <w:p>
      <w:pPr>
        <w:spacing w:after="0" w:line="178" w:lineRule="exact"/>
        <w:rPr>
          <w:sz w:val="20"/>
          <w:szCs w:val="20"/>
          <w:color w:val="auto"/>
        </w:rPr>
      </w:pPr>
    </w:p>
    <w:p>
      <w:pPr>
        <w:ind w:left="2320"/>
        <w:spacing w:after="0"/>
        <w:tabs>
          <w:tab w:leader="none" w:pos="31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4"/>
          <w:szCs w:val="14"/>
          <w:color w:val="auto"/>
        </w:rPr>
        <w:t>BONUS.</w:t>
      </w:r>
    </w:p>
    <w:p>
      <w:pPr>
        <w:spacing w:after="0" w:line="183" w:lineRule="exact"/>
        <w:rPr>
          <w:sz w:val="20"/>
          <w:szCs w:val="20"/>
          <w:color w:val="auto"/>
        </w:rPr>
      </w:pPr>
    </w:p>
    <w:p>
      <w:pPr>
        <w:ind w:left="3800" w:hanging="735"/>
        <w:spacing w:after="0"/>
        <w:tabs>
          <w:tab w:leader="none" w:pos="3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subsections (c), (d) and (e)</w:t>
      </w:r>
    </w:p>
    <w:p>
      <w:pPr>
        <w:spacing w:after="0" w:line="20" w:lineRule="exact"/>
        <w:rPr>
          <w:rFonts w:ascii="Courier New" w:cs="Courier New" w:eastAsia="Courier New" w:hAnsi="Courier New"/>
          <w:sz w:val="14"/>
          <w:szCs w:val="14"/>
          <w:color w:val="auto"/>
        </w:rPr>
      </w:pPr>
    </w:p>
    <w:p>
      <w:pPr>
        <w:ind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below, the Company shall pay Executive an annual bonus (the "Bonus") for each fiscal year during the Employment Term, through March 31, 2000, equal to five percent (5%) of the net pre-tax profit of the Company in excess of $2,000,000. For purposes of this Agreement, the net pre-tax profit of the Company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39"/>
        <w:spacing w:after="0" w:line="295" w:lineRule="auto"/>
        <w:rPr>
          <w:sz w:val="20"/>
          <w:szCs w:val="20"/>
          <w:color w:val="auto"/>
        </w:rPr>
      </w:pPr>
      <w:r>
        <w:rPr>
          <w:rFonts w:ascii="Courier New" w:cs="Courier New" w:eastAsia="Courier New" w:hAnsi="Courier New"/>
          <w:sz w:val="14"/>
          <w:szCs w:val="14"/>
          <w:color w:val="auto"/>
        </w:rPr>
        <w:t>determined by the Company's certified public accountants in accordance with generally accepted accounting principles, applied on a consistent basis.</w:t>
      </w:r>
    </w:p>
    <w:p>
      <w:pPr>
        <w:spacing w:after="0" w:line="147" w:lineRule="exact"/>
        <w:rPr>
          <w:sz w:val="20"/>
          <w:szCs w:val="20"/>
          <w:color w:val="auto"/>
        </w:rPr>
      </w:pPr>
    </w:p>
    <w:p>
      <w:pPr>
        <w:ind w:left="3720" w:hanging="748"/>
        <w:spacing w:after="0"/>
        <w:tabs>
          <w:tab w:leader="none" w:pos="37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requirement that the Company achieve</w:t>
      </w:r>
    </w:p>
    <w:p>
      <w:pPr>
        <w:spacing w:after="0" w:line="20" w:lineRule="exact"/>
        <w:rPr>
          <w:rFonts w:ascii="Courier New" w:cs="Courier New" w:eastAsia="Courier New" w:hAnsi="Courier New"/>
          <w:sz w:val="14"/>
          <w:szCs w:val="14"/>
          <w:color w:val="auto"/>
        </w:rPr>
      </w:pPr>
    </w:p>
    <w:p>
      <w:pPr>
        <w:ind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net pre-tax profit required by this Section 2.2 (the "Performance Goal") is intended as a "performance goal" for Executive, as that term is used in Section 162(m)(4)(C) of the Internal Revenue Code of 1986, as amended (the "Code") and Regulations promulgated thereunder. The Company hereby represents and warrants to Executive that such Performance Goal has been determined and approved by a Compensation Committee of the Board of Directors (the "Compensation Committee"), consisting of three (3) outside directors, as required by Code section 162(m)(4)(C)(i) and Regulations promulgated thereunder.</w:t>
      </w:r>
    </w:p>
    <w:p>
      <w:pPr>
        <w:spacing w:after="0" w:line="184" w:lineRule="exact"/>
        <w:rPr>
          <w:rFonts w:ascii="Courier New" w:cs="Courier New" w:eastAsia="Courier New" w:hAnsi="Courier New"/>
          <w:sz w:val="14"/>
          <w:szCs w:val="14"/>
          <w:color w:val="auto"/>
        </w:rPr>
      </w:pPr>
    </w:p>
    <w:p>
      <w:pPr>
        <w:ind w:left="3720" w:hanging="748"/>
        <w:spacing w:after="0"/>
        <w:tabs>
          <w:tab w:leader="none" w:pos="37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w:t>
      </w:r>
    </w:p>
    <w:p>
      <w:pPr>
        <w:spacing w:after="0" w:line="20"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contained herein, in no event shall Executive receive any portion of his Bonus if the Company could not reasonably deduct such portion solely by operation of Code section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section 162(m) and Regulations promulgated thereunder; and (iii) the value of any non-cash benefit or any deferred payment or benefit included in the Executive's remuneration shall be determined by the Company's independent auditors in accordance with the Code.</w:t>
      </w:r>
    </w:p>
    <w:p>
      <w:pPr>
        <w:spacing w:after="0" w:line="188" w:lineRule="exact"/>
        <w:rPr>
          <w:rFonts w:ascii="Courier New" w:cs="Courier New" w:eastAsia="Courier New" w:hAnsi="Courier New"/>
          <w:sz w:val="14"/>
          <w:szCs w:val="14"/>
          <w:color w:val="auto"/>
        </w:rPr>
      </w:pPr>
    </w:p>
    <w:p>
      <w:pPr>
        <w:ind w:left="3720" w:hanging="748"/>
        <w:spacing w:after="0"/>
        <w:tabs>
          <w:tab w:leader="none" w:pos="37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Employment Term,</w:t>
      </w:r>
    </w:p>
    <w:p>
      <w:pPr>
        <w:spacing w:after="0" w:line="20" w:lineRule="exact"/>
        <w:rPr>
          <w:rFonts w:ascii="Courier New" w:cs="Courier New" w:eastAsia="Courier New" w:hAnsi="Courier New"/>
          <w:sz w:val="14"/>
          <w:szCs w:val="14"/>
          <w:color w:val="auto"/>
        </w:rPr>
      </w:pPr>
    </w:p>
    <w:p>
      <w:pPr>
        <w:ind w:right="323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request of Executive, the Company shall submit the Performance Goal and other material compensation terms provided herein for approval by</w:t>
      </w:r>
    </w:p>
    <w:p>
      <w:pPr>
        <w:sectPr>
          <w:pgSz w:w="11900" w:h="16838" w:orient="portrait"/>
          <w:cols w:equalWidth="0" w:num="1">
            <w:col w:w="10219"/>
          </w:cols>
          <w:pgMar w:left="240" w:top="493" w:right="1440" w:bottom="0" w:gutter="0" w:footer="0" w:header="0"/>
        </w:sectPr>
      </w:pPr>
    </w:p>
    <w:bookmarkStart w:id="60" w:name="page61"/>
    <w:bookmarkEnd w:id="60"/>
    <w:p>
      <w:pPr>
        <w:ind w:right="3059"/>
        <w:spacing w:after="0" w:line="236" w:lineRule="auto"/>
        <w:rPr>
          <w:sz w:val="20"/>
          <w:szCs w:val="20"/>
          <w:color w:val="auto"/>
        </w:rPr>
      </w:pPr>
      <w:r>
        <w:rPr>
          <w:rFonts w:ascii="Courier New" w:cs="Courier New" w:eastAsia="Courier New" w:hAnsi="Courier New"/>
          <w:sz w:val="16"/>
          <w:szCs w:val="16"/>
          <w:color w:val="auto"/>
        </w:rPr>
        <w:t>the Company's shareholders so as to comply with Code section 162(m)(4)(C)(ii) and Regulations promulgated thereunder, and the Company shall use reasonable efforts to secure such shareholder approval; provided, (i) the Company shall not be required to call a special shareholders meeting for the sole purpose of complying with this section; and (ii) in order to have such approval sought at the Company's annual shareholders meeting, Executive shall 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 have the right to submit the Performance Goals and compensation arrangements of all executive officers for shareholder approval at the same meeting.</w:t>
      </w:r>
    </w:p>
    <w:p>
      <w:pPr>
        <w:spacing w:after="0" w:line="18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61" w:name="page62"/>
    <w:bookmarkEnd w:id="61"/>
    <w:p>
      <w:pPr>
        <w:ind w:left="3720" w:hanging="748"/>
        <w:spacing w:after="0"/>
        <w:tabs>
          <w:tab w:leader="none" w:pos="37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to comply with Code</w:t>
      </w:r>
    </w:p>
    <w:p>
      <w:pPr>
        <w:spacing w:after="0" w:line="3" w:lineRule="exact"/>
        <w:rPr>
          <w:rFonts w:ascii="Courier New" w:cs="Courier New" w:eastAsia="Courier New" w:hAnsi="Courier New"/>
          <w:sz w:val="16"/>
          <w:szCs w:val="16"/>
          <w:color w:val="auto"/>
        </w:rPr>
      </w:pPr>
    </w:p>
    <w:p>
      <w:pPr>
        <w:ind w:right="30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162(m)(4)(C)(iii), the Company's Compensation Committee shall, before the payment of any Bonus, certify in writing, if applicable, that the Performance Goal and any other material terms hereof were satisfied, as necessary to comply with Code section 162(m)(4)(C)(iii).</w:t>
      </w:r>
    </w:p>
    <w:p>
      <w:pPr>
        <w:spacing w:after="0" w:line="178" w:lineRule="exact"/>
        <w:rPr>
          <w:rFonts w:ascii="Courier New" w:cs="Courier New" w:eastAsia="Courier New" w:hAnsi="Courier New"/>
          <w:sz w:val="16"/>
          <w:szCs w:val="16"/>
          <w:color w:val="auto"/>
        </w:rPr>
      </w:pPr>
    </w:p>
    <w:p>
      <w:pPr>
        <w:ind w:left="3720" w:hanging="748"/>
        <w:spacing w:after="0"/>
        <w:tabs>
          <w:tab w:leader="none" w:pos="37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2.2 are</w:t>
      </w:r>
    </w:p>
    <w:p>
      <w:pPr>
        <w:spacing w:after="0" w:line="3" w:lineRule="exact"/>
        <w:rPr>
          <w:rFonts w:ascii="Courier New" w:cs="Courier New" w:eastAsia="Courier New" w:hAnsi="Courier New"/>
          <w:sz w:val="16"/>
          <w:szCs w:val="16"/>
          <w:color w:val="auto"/>
        </w:rPr>
      </w:pPr>
    </w:p>
    <w:p>
      <w:pPr>
        <w:ind w:right="287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intended, and shall be interpreted, to comply with the requirements of Code section 162(m) so as to permit the Company to deduct all payments of applicable employee remuneration made to Executive pursuant to this Agreement.</w:t>
      </w:r>
    </w:p>
    <w:p>
      <w:pPr>
        <w:spacing w:after="0" w:line="155" w:lineRule="exact"/>
        <w:rPr>
          <w:sz w:val="20"/>
          <w:szCs w:val="20"/>
          <w:color w:val="auto"/>
        </w:rPr>
      </w:pPr>
    </w:p>
    <w:p>
      <w:pPr>
        <w:ind w:right="2779" w:firstLine="2233"/>
        <w:spacing w:after="0" w:line="234" w:lineRule="auto"/>
        <w:rPr>
          <w:sz w:val="20"/>
          <w:szCs w:val="20"/>
          <w:color w:val="auto"/>
        </w:rPr>
      </w:pPr>
      <w:r>
        <w:rPr>
          <w:rFonts w:ascii="Courier New" w:cs="Courier New" w:eastAsia="Courier New" w:hAnsi="Courier New"/>
          <w:sz w:val="16"/>
          <w:szCs w:val="16"/>
          <w:color w:val="auto"/>
        </w:rPr>
        <w:t>2.3 BENEFITS. Executive: (i) shall be entitled to receive all medical, health, disability, life and dental insurance, and</w:t>
      </w:r>
    </w:p>
    <w:p>
      <w:pPr>
        <w:spacing w:after="0" w:line="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6"/>
          <w:szCs w:val="16"/>
          <w:color w:val="auto"/>
        </w:rPr>
        <w:t>other similar employee benefit programs, which may be provided by the Company to its employees from time-to-time; (ii) shall be entitled to reimbursement for reasonable and necessary out-of-pocket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and (iv) shall be entitled to six (6) weeks paid vacation each calendar year, and any vacation time not taken during any calendar year shall be carried over into subsequent calendar years.</w:t>
      </w:r>
    </w:p>
    <w:p>
      <w:pPr>
        <w:spacing w:after="0" w:line="179" w:lineRule="exact"/>
        <w:rPr>
          <w:sz w:val="20"/>
          <w:szCs w:val="20"/>
          <w:color w:val="auto"/>
        </w:rPr>
      </w:pPr>
    </w:p>
    <w:p>
      <w:pPr>
        <w:ind w:left="2500" w:hanging="830"/>
        <w:spacing w:after="0"/>
        <w:tabs>
          <w:tab w:leader="none" w:pos="2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77" w:lineRule="exact"/>
        <w:rPr>
          <w:sz w:val="20"/>
          <w:szCs w:val="20"/>
          <w:color w:val="auto"/>
        </w:rPr>
      </w:pPr>
    </w:p>
    <w:p>
      <w:pPr>
        <w:ind w:left="2220"/>
        <w:spacing w:after="0"/>
        <w:tabs>
          <w:tab w:leader="none" w:pos="3040" w:val="left"/>
          <w:tab w:leader="none" w:pos="49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CHANGE OF CONTROL.</w:t>
      </w:r>
      <w:r>
        <w:rPr>
          <w:sz w:val="20"/>
          <w:szCs w:val="20"/>
          <w:color w:val="auto"/>
        </w:rPr>
        <w:tab/>
      </w:r>
      <w:r>
        <w:rPr>
          <w:rFonts w:ascii="Courier New" w:cs="Courier New" w:eastAsia="Courier New" w:hAnsi="Courier New"/>
          <w:sz w:val="14"/>
          <w:szCs w:val="14"/>
          <w:color w:val="auto"/>
        </w:rPr>
        <w:t>For purposes of this</w:t>
      </w:r>
    </w:p>
    <w:p>
      <w:pPr>
        <w:spacing w:after="0" w:line="236" w:lineRule="auto"/>
        <w:rPr>
          <w:sz w:val="20"/>
          <w:szCs w:val="20"/>
          <w:color w:val="auto"/>
        </w:rPr>
      </w:pPr>
      <w:r>
        <w:rPr>
          <w:rFonts w:ascii="Courier New" w:cs="Courier New" w:eastAsia="Courier New" w:hAnsi="Courier New"/>
          <w:sz w:val="16"/>
          <w:szCs w:val="16"/>
          <w:color w:val="auto"/>
        </w:rPr>
        <w:t>Agreement, a "Change of Control" shall be deemed to have occurred if:</w:t>
      </w:r>
    </w:p>
    <w:p>
      <w:pPr>
        <w:spacing w:after="0" w:line="177" w:lineRule="exact"/>
        <w:rPr>
          <w:sz w:val="20"/>
          <w:szCs w:val="20"/>
          <w:color w:val="auto"/>
        </w:rPr>
      </w:pPr>
    </w:p>
    <w:p>
      <w:pPr>
        <w:ind w:left="3720" w:hanging="748"/>
        <w:spacing w:after="0"/>
        <w:tabs>
          <w:tab w:leader="none" w:pos="37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third person, including a "group" as</w:t>
      </w:r>
    </w:p>
    <w:p>
      <w:pPr>
        <w:spacing w:after="0" w:line="3" w:lineRule="exact"/>
        <w:rPr>
          <w:rFonts w:ascii="Courier New" w:cs="Courier New" w:eastAsia="Courier New" w:hAnsi="Courier New"/>
          <w:sz w:val="16"/>
          <w:szCs w:val="16"/>
          <w:color w:val="auto"/>
        </w:rPr>
      </w:pPr>
    </w:p>
    <w:p>
      <w:pPr>
        <w:ind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177" w:lineRule="exact"/>
        <w:rPr>
          <w:rFonts w:ascii="Courier New" w:cs="Courier New" w:eastAsia="Courier New" w:hAnsi="Courier New"/>
          <w:sz w:val="16"/>
          <w:szCs w:val="16"/>
          <w:color w:val="auto"/>
        </w:rPr>
      </w:pPr>
    </w:p>
    <w:p>
      <w:pPr>
        <w:ind w:left="3800" w:hanging="735"/>
        <w:spacing w:after="0"/>
        <w:tabs>
          <w:tab w:leader="none" w:pos="380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the date</w:t>
      </w:r>
    </w:p>
    <w:p>
      <w:pPr>
        <w:spacing w:after="0" w:line="3" w:lineRule="exact"/>
        <w:rPr>
          <w:rFonts w:ascii="Courier New" w:cs="Courier New" w:eastAsia="Courier New" w:hAnsi="Courier New"/>
          <w:sz w:val="16"/>
          <w:szCs w:val="16"/>
          <w:color w:val="auto"/>
        </w:rPr>
      </w:pPr>
    </w:p>
    <w:p>
      <w:pPr>
        <w:ind w:right="33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hereof, constitute the Board of Directors of the Company (the "Board" generally and as of the date hereof the "Incumbent Board") cease for any reason to constitute a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w:t>
      </w:r>
    </w:p>
    <w:p>
      <w:pPr>
        <w:spacing w:after="0" w:line="17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06" w:right="1440" w:bottom="1440" w:gutter="0" w:footer="0" w:header="0"/>
        </w:sectPr>
      </w:pPr>
    </w:p>
    <w:bookmarkStart w:id="62" w:name="page63"/>
    <w:bookmarkEnd w:id="62"/>
    <w:p>
      <w:pPr>
        <w:ind w:left="5" w:right="3339"/>
        <w:spacing w:after="0" w:line="270" w:lineRule="auto"/>
        <w:rPr>
          <w:sz w:val="20"/>
          <w:szCs w:val="20"/>
          <w:color w:val="auto"/>
        </w:rPr>
      </w:pPr>
      <w:r>
        <w:rPr>
          <w:rFonts w:ascii="Courier New" w:cs="Courier New" w:eastAsia="Courier New" w:hAnsi="Courier New"/>
          <w:sz w:val="14"/>
          <w:szCs w:val="14"/>
          <w:color w:val="auto"/>
        </w:rPr>
        <w:t>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as such terms are used in Rule</w:t>
      </w:r>
    </w:p>
    <w:p>
      <w:pPr>
        <w:spacing w:after="0" w:line="5" w:lineRule="exact"/>
        <w:rPr>
          <w:sz w:val="20"/>
          <w:szCs w:val="20"/>
          <w:color w:val="auto"/>
        </w:rPr>
      </w:pPr>
    </w:p>
    <w:p>
      <w:pPr>
        <w:jc w:val="both"/>
        <w:ind w:left="5" w:right="3339"/>
        <w:spacing w:after="0" w:line="235" w:lineRule="auto"/>
        <w:rPr>
          <w:sz w:val="20"/>
          <w:szCs w:val="20"/>
          <w:color w:val="auto"/>
        </w:rPr>
      </w:pPr>
      <w:r>
        <w:rPr>
          <w:rFonts w:ascii="Courier New" w:cs="Courier New" w:eastAsia="Courier New" w:hAnsi="Courier New"/>
          <w:sz w:val="16"/>
          <w:szCs w:val="16"/>
          <w:color w:val="auto"/>
        </w:rPr>
        <w:t>14a-11 of Regulation 14A promulgated under the Exchange Act) shall be, for purposes of this Agreement, considered as though such person were a member of the Incumbent Board; or</w:t>
      </w:r>
    </w:p>
    <w:p>
      <w:pPr>
        <w:spacing w:after="0" w:line="177" w:lineRule="exact"/>
        <w:rPr>
          <w:sz w:val="20"/>
          <w:szCs w:val="20"/>
          <w:color w:val="auto"/>
        </w:rPr>
      </w:pPr>
    </w:p>
    <w:p>
      <w:pPr>
        <w:ind w:left="3545" w:hanging="754"/>
        <w:spacing w:after="0"/>
        <w:tabs>
          <w:tab w:leader="none" w:pos="354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liquidation or dissolution of</w:t>
      </w:r>
    </w:p>
    <w:p>
      <w:pPr>
        <w:spacing w:after="0" w:line="3" w:lineRule="exact"/>
        <w:rPr>
          <w:rFonts w:ascii="Courier New" w:cs="Courier New" w:eastAsia="Courier New" w:hAnsi="Courier New"/>
          <w:sz w:val="16"/>
          <w:szCs w:val="16"/>
          <w:color w:val="auto"/>
        </w:rPr>
      </w:pPr>
    </w:p>
    <w:p>
      <w:pPr>
        <w:ind w:left="5" w:right="32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 sale of all or substantially all of the assets of either or both (i) the business group which constitutes the aviation and marine fuel sales division of the Company as of the date hereof, or (ii) the business group which constitutes the used oil division of the Company as of the date hereof; or</w:t>
      </w:r>
    </w:p>
    <w:p>
      <w:pPr>
        <w:spacing w:after="0" w:line="185" w:lineRule="exact"/>
        <w:rPr>
          <w:rFonts w:ascii="Courier New" w:cs="Courier New" w:eastAsia="Courier New" w:hAnsi="Courier New"/>
          <w:sz w:val="16"/>
          <w:szCs w:val="16"/>
          <w:color w:val="auto"/>
        </w:rPr>
      </w:pPr>
    </w:p>
    <w:p>
      <w:pPr>
        <w:ind w:left="3545" w:hanging="754"/>
        <w:spacing w:after="0"/>
        <w:tabs>
          <w:tab w:leader="none" w:pos="354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enters into an agreement or</w:t>
      </w:r>
    </w:p>
    <w:p>
      <w:pPr>
        <w:spacing w:after="0" w:line="20" w:lineRule="exact"/>
        <w:rPr>
          <w:rFonts w:ascii="Courier New" w:cs="Courier New" w:eastAsia="Courier New" w:hAnsi="Courier New"/>
          <w:sz w:val="14"/>
          <w:szCs w:val="14"/>
          <w:color w:val="auto"/>
        </w:rPr>
      </w:pPr>
    </w:p>
    <w:p>
      <w:pPr>
        <w:ind w:left="5" w:right="323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series of agreements or the Board passes a resolution which will result in the occurrence of any of the matters described in Subsections (a), (b) or (c), and the Executive's employment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 (b) or (c), a Change of Control shall be deemed to have retroactively occurred on the date of the execution of the earliest of such agreement(s) or the passage of such resolution.</w:t>
      </w:r>
    </w:p>
    <w:p>
      <w:pPr>
        <w:spacing w:after="0" w:line="165" w:lineRule="exact"/>
        <w:rPr>
          <w:sz w:val="20"/>
          <w:szCs w:val="20"/>
          <w:color w:val="auto"/>
        </w:rPr>
      </w:pPr>
    </w:p>
    <w:p>
      <w:pPr>
        <w:ind w:left="5" w:right="2779" w:firstLine="2233"/>
        <w:spacing w:after="0" w:line="235" w:lineRule="auto"/>
        <w:rPr>
          <w:sz w:val="20"/>
          <w:szCs w:val="20"/>
          <w:color w:val="auto"/>
        </w:rPr>
      </w:pPr>
      <w:r>
        <w:rPr>
          <w:rFonts w:ascii="Courier New" w:cs="Courier New" w:eastAsia="Courier New" w:hAnsi="Courier New"/>
          <w:sz w:val="16"/>
          <w:szCs w:val="16"/>
          <w:color w:val="auto"/>
        </w:rPr>
        <w:t>3.2 CAUSE. For purposes of this Agreement, "Cause" means (i) an act or acts of fraud, misappropriation, or embezzlement on the Executive's part which result in or are intended to result in his personal enrichment at the expense of the Company or its subsidiaries or affiliates,</w:t>
      </w:r>
    </w:p>
    <w:p>
      <w:pPr>
        <w:spacing w:after="0" w:line="6" w:lineRule="exact"/>
        <w:rPr>
          <w:sz w:val="20"/>
          <w:szCs w:val="20"/>
          <w:color w:val="auto"/>
        </w:rPr>
      </w:pPr>
    </w:p>
    <w:p>
      <w:pPr>
        <w:jc w:val="both"/>
        <w:ind w:left="5" w:right="3239" w:hanging="5"/>
        <w:spacing w:after="0" w:line="235" w:lineRule="auto"/>
        <w:tabs>
          <w:tab w:leader="none" w:pos="47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a felony, or (iii) willful failure to report to work for more than thirty (30) continuous days not attributable to eligible vacation or supported by a licensed physician's statement.</w:t>
      </w:r>
    </w:p>
    <w:p>
      <w:pPr>
        <w:spacing w:after="0" w:line="183" w:lineRule="exact"/>
        <w:rPr>
          <w:sz w:val="20"/>
          <w:szCs w:val="20"/>
          <w:color w:val="auto"/>
        </w:rPr>
      </w:pPr>
    </w:p>
    <w:p>
      <w:pPr>
        <w:ind w:left="5" w:right="3059" w:firstLine="2233"/>
        <w:spacing w:after="0" w:line="236" w:lineRule="auto"/>
        <w:rPr>
          <w:sz w:val="20"/>
          <w:szCs w:val="20"/>
          <w:color w:val="auto"/>
        </w:rPr>
      </w:pPr>
      <w:r>
        <w:rPr>
          <w:rFonts w:ascii="Courier New" w:cs="Courier New" w:eastAsia="Courier New" w:hAnsi="Courier New"/>
          <w:sz w:val="16"/>
          <w:szCs w:val="16"/>
          <w:color w:val="auto"/>
        </w:rPr>
        <w:t>3.3 DISABILITY. For purposes of this Agreement, "Disability" means disability which after the expiration of more than twelve (12) months after its commencement is determined to be total and permanent by an independent physician mutually agreeable to the parties. Notwithstanding any disability of Executive, he shall continue to receive all compensation and benefits provided</w:t>
      </w:r>
    </w:p>
    <w:p>
      <w:pPr>
        <w:spacing w:after="0" w:line="356"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1012" w:right="1440" w:bottom="1440" w:gutter="0" w:footer="0" w:header="0"/>
        </w:sectPr>
      </w:pPr>
    </w:p>
    <w:bookmarkStart w:id="63" w:name="page64"/>
    <w:bookmarkEnd w:id="63"/>
    <w:p>
      <w:pPr>
        <w:ind w:right="3239"/>
        <w:spacing w:after="0" w:line="234" w:lineRule="auto"/>
        <w:rPr>
          <w:sz w:val="20"/>
          <w:szCs w:val="20"/>
          <w:color w:val="auto"/>
        </w:rPr>
      </w:pPr>
      <w:r>
        <w:rPr>
          <w:rFonts w:ascii="Courier New" w:cs="Courier New" w:eastAsia="Courier New" w:hAnsi="Courier New"/>
          <w:sz w:val="16"/>
          <w:szCs w:val="16"/>
          <w:color w:val="auto"/>
        </w:rPr>
        <w:t>under Section 2 until his employment is actually terminated, by a Notice of Termination pursuant to Section 4.2.</w:t>
      </w:r>
    </w:p>
    <w:p>
      <w:pPr>
        <w:spacing w:after="0" w:line="177" w:lineRule="exact"/>
        <w:rPr>
          <w:sz w:val="20"/>
          <w:szCs w:val="20"/>
          <w:color w:val="auto"/>
        </w:rPr>
      </w:pPr>
    </w:p>
    <w:p>
      <w:pPr>
        <w:ind w:left="2220"/>
        <w:spacing w:after="0"/>
        <w:tabs>
          <w:tab w:leader="none" w:pos="3040" w:val="left"/>
          <w:tab w:leader="none" w:pos="434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GOOD REASON.</w:t>
      </w:r>
      <w:r>
        <w:rPr>
          <w:sz w:val="20"/>
          <w:szCs w:val="20"/>
          <w:color w:val="auto"/>
        </w:rPr>
        <w:tab/>
      </w:r>
      <w:r>
        <w:rPr>
          <w:rFonts w:ascii="Courier New" w:cs="Courier New" w:eastAsia="Courier New" w:hAnsi="Courier New"/>
          <w:sz w:val="14"/>
          <w:szCs w:val="14"/>
          <w:color w:val="auto"/>
        </w:rPr>
        <w:t>For purposes of this Agreement,</w:t>
      </w:r>
    </w:p>
    <w:p>
      <w:pPr>
        <w:spacing w:after="0" w:line="236" w:lineRule="auto"/>
        <w:rPr>
          <w:sz w:val="20"/>
          <w:szCs w:val="20"/>
          <w:color w:val="auto"/>
        </w:rPr>
      </w:pPr>
      <w:r>
        <w:rPr>
          <w:rFonts w:ascii="Courier New" w:cs="Courier New" w:eastAsia="Courier New" w:hAnsi="Courier New"/>
          <w:sz w:val="16"/>
          <w:szCs w:val="16"/>
          <w:color w:val="auto"/>
        </w:rPr>
        <w:t>"Good Reason" means:</w:t>
      </w:r>
    </w:p>
    <w:p>
      <w:pPr>
        <w:spacing w:after="0" w:line="177" w:lineRule="exact"/>
        <w:rPr>
          <w:sz w:val="20"/>
          <w:szCs w:val="20"/>
          <w:color w:val="auto"/>
        </w:rPr>
      </w:pPr>
    </w:p>
    <w:p>
      <w:pPr>
        <w:ind w:left="3620" w:hanging="741"/>
        <w:spacing w:after="0"/>
        <w:tabs>
          <w:tab w:leader="none" w:pos="36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and/or its</w:t>
      </w:r>
    </w:p>
    <w:p>
      <w:pPr>
        <w:spacing w:after="0" w:line="3" w:lineRule="exact"/>
        <w:rPr>
          <w:rFonts w:ascii="Courier New" w:cs="Courier New" w:eastAsia="Courier New" w:hAnsi="Courier New"/>
          <w:sz w:val="16"/>
          <w:szCs w:val="16"/>
          <w:color w:val="auto"/>
        </w:rPr>
      </w:pPr>
    </w:p>
    <w:p>
      <w:pPr>
        <w:ind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or affiliates to furnish the Executive and/or where applicable, his family, with: (i) total annual cash compensation (including annual bonus), (ii) 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 and/or its subsidiaries or affiliates during the six (6)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187" w:lineRule="exact"/>
        <w:rPr>
          <w:rFonts w:ascii="Courier New" w:cs="Courier New" w:eastAsia="Courier New" w:hAnsi="Courier New"/>
          <w:sz w:val="16"/>
          <w:szCs w:val="16"/>
          <w:color w:val="auto"/>
        </w:rPr>
      </w:pPr>
    </w:p>
    <w:p>
      <w:pPr>
        <w:ind w:left="3620" w:hanging="741"/>
        <w:spacing w:after="0"/>
        <w:tabs>
          <w:tab w:leader="none" w:pos="3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and/or its subsidiaries' or</w:t>
      </w:r>
    </w:p>
    <w:p>
      <w:pPr>
        <w:spacing w:after="0" w:line="20"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affiliates' requiring the Executive to be based or to perform services at any site or location more than fifteen (15) miles from the site or location at which the Executive is based at the time of the Change of Control, except for travel reasonably required in the performance of the Executive's responsibilities (which does not materially exceed the level of travel required of the Executive in the six (6) month period immediately preceding the Change of Control);</w:t>
      </w:r>
    </w:p>
    <w:p>
      <w:pPr>
        <w:spacing w:after="0" w:line="177" w:lineRule="exact"/>
        <w:rPr>
          <w:rFonts w:ascii="Courier New" w:cs="Courier New" w:eastAsia="Courier New" w:hAnsi="Courier New"/>
          <w:sz w:val="14"/>
          <w:szCs w:val="14"/>
          <w:color w:val="auto"/>
        </w:rPr>
      </w:pPr>
    </w:p>
    <w:p>
      <w:pPr>
        <w:ind w:left="3260" w:hanging="381"/>
        <w:spacing w:after="0"/>
        <w:tabs>
          <w:tab w:leader="none" w:pos="32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obtain the</w:t>
      </w:r>
    </w:p>
    <w:p>
      <w:pPr>
        <w:spacing w:after="0" w:line="3" w:lineRule="exact"/>
        <w:rPr>
          <w:rFonts w:ascii="Courier New" w:cs="Courier New" w:eastAsia="Courier New" w:hAnsi="Courier New"/>
          <w:sz w:val="16"/>
          <w:szCs w:val="16"/>
          <w:color w:val="auto"/>
        </w:rPr>
      </w:pPr>
    </w:p>
    <w:p>
      <w:pPr>
        <w:ind w:right="41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and agreement to perform this Agreement by a successor as contemplated by Section 9; or</w:t>
      </w:r>
    </w:p>
    <w:p>
      <w:pPr>
        <w:spacing w:after="0" w:line="183" w:lineRule="exact"/>
        <w:rPr>
          <w:rFonts w:ascii="Courier New" w:cs="Courier New" w:eastAsia="Courier New" w:hAnsi="Courier New"/>
          <w:sz w:val="16"/>
          <w:szCs w:val="16"/>
          <w:color w:val="auto"/>
        </w:rPr>
      </w:pPr>
    </w:p>
    <w:p>
      <w:pPr>
        <w:ind w:left="3620" w:hanging="741"/>
        <w:spacing w:after="0"/>
        <w:tabs>
          <w:tab w:leader="none" w:pos="3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express prior written consent</w:t>
      </w:r>
    </w:p>
    <w:p>
      <w:pPr>
        <w:spacing w:after="0" w:line="20" w:lineRule="exact"/>
        <w:rPr>
          <w:rFonts w:ascii="Courier New" w:cs="Courier New" w:eastAsia="Courier New" w:hAnsi="Courier New"/>
          <w:sz w:val="14"/>
          <w:szCs w:val="14"/>
          <w:color w:val="auto"/>
        </w:rPr>
      </w:pPr>
    </w:p>
    <w:p>
      <w:pPr>
        <w:ind w:right="323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Executive (which consent the Executive has the absolute right to withhold), (i) the assignment to the Executive of any duties inconsistent in any material respect with the highest level of the Executive's position (including titles and reporting relationships), authority, responsibilities or status as in effect at any time during the six (6) month period immediately preceding the Change of Control, or (ii) any other material adverse change in such position, authority, responsibility or status.</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For the purposes of this Section 3.4, any good faith</w:t>
      </w:r>
    </w:p>
    <w:p>
      <w:pPr>
        <w:spacing w:after="0" w:line="20" w:lineRule="exact"/>
        <w:rPr>
          <w:sz w:val="20"/>
          <w:szCs w:val="20"/>
          <w:color w:val="auto"/>
        </w:rPr>
      </w:pPr>
    </w:p>
    <w:p>
      <w:pPr>
        <w:ind w:right="4179"/>
        <w:spacing w:after="0" w:line="283" w:lineRule="auto"/>
        <w:rPr>
          <w:sz w:val="20"/>
          <w:szCs w:val="20"/>
          <w:color w:val="auto"/>
        </w:rPr>
      </w:pPr>
      <w:r>
        <w:rPr>
          <w:rFonts w:ascii="Courier New" w:cs="Courier New" w:eastAsia="Courier New" w:hAnsi="Courier New"/>
          <w:sz w:val="14"/>
          <w:szCs w:val="14"/>
          <w:color w:val="auto"/>
        </w:rPr>
        <w:t>interpretation by the Executive of the foregoing definitions of "Good Reason" shall be conclusive on the Company. No termination by Executive for Good Reason shall be deemed a voluntary</w:t>
      </w:r>
    </w:p>
    <w:p>
      <w:pPr>
        <w:spacing w:after="0" w:line="32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012" w:right="1440" w:bottom="1440" w:gutter="0" w:footer="0" w:header="0"/>
        </w:sectPr>
      </w:pPr>
    </w:p>
    <w:bookmarkStart w:id="64" w:name="page65"/>
    <w:bookmarkEnd w:id="64"/>
    <w:p>
      <w:pPr>
        <w:ind w:left="5" w:right="3239"/>
        <w:spacing w:after="0" w:line="234" w:lineRule="auto"/>
        <w:rPr>
          <w:sz w:val="20"/>
          <w:szCs w:val="20"/>
          <w:color w:val="auto"/>
        </w:rPr>
      </w:pPr>
      <w:r>
        <w:rPr>
          <w:rFonts w:ascii="Courier New" w:cs="Courier New" w:eastAsia="Courier New" w:hAnsi="Courier New"/>
          <w:sz w:val="16"/>
          <w:szCs w:val="16"/>
          <w:color w:val="auto"/>
        </w:rPr>
        <w:t>termination by Executive for purposes of any stock option, employee benefit or similar plan of the Company.</w:t>
      </w:r>
    </w:p>
    <w:p>
      <w:pPr>
        <w:spacing w:after="0" w:line="183" w:lineRule="exact"/>
        <w:rPr>
          <w:sz w:val="20"/>
          <w:szCs w:val="20"/>
          <w:color w:val="auto"/>
        </w:rPr>
      </w:pPr>
    </w:p>
    <w:p>
      <w:pPr>
        <w:ind w:left="5" w:right="3059" w:firstLine="2233"/>
        <w:spacing w:after="0" w:line="270" w:lineRule="auto"/>
        <w:rPr>
          <w:sz w:val="20"/>
          <w:szCs w:val="20"/>
          <w:color w:val="auto"/>
        </w:rPr>
      </w:pPr>
      <w:r>
        <w:rPr>
          <w:rFonts w:ascii="Courier New" w:cs="Courier New" w:eastAsia="Courier New" w:hAnsi="Courier New"/>
          <w:sz w:val="14"/>
          <w:szCs w:val="14"/>
          <w:color w:val="auto"/>
        </w:rPr>
        <w:t>3.5 NOTICE OF TERMINATION. For purposes of this Agreement, a "Notice of Termination" means a written notice which (i) indicates the specific termination provision in this Agreement relied upon,</w:t>
      </w:r>
    </w:p>
    <w:p>
      <w:pPr>
        <w:spacing w:after="0" w:line="1" w:lineRule="exact"/>
        <w:rPr>
          <w:sz w:val="20"/>
          <w:szCs w:val="20"/>
          <w:color w:val="auto"/>
        </w:rPr>
      </w:pPr>
    </w:p>
    <w:p>
      <w:pPr>
        <w:ind w:left="5" w:right="3239" w:hanging="5"/>
        <w:spacing w:after="0" w:line="276" w:lineRule="auto"/>
        <w:tabs>
          <w:tab w:leader="none" w:pos="47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sets forth in reasonable detail the facts and circumstances claimed to provide a basis for termination of the Executive's employment under the provision so indicated, and (iii) if the termination date is other than the date of receipt of such notice, specifies the termination date (which date shall be not more than fifteen (15) days after the giving of such notice).</w:t>
      </w:r>
    </w:p>
    <w:p>
      <w:pPr>
        <w:spacing w:after="0" w:line="155" w:lineRule="exact"/>
        <w:rPr>
          <w:sz w:val="20"/>
          <w:szCs w:val="20"/>
          <w:color w:val="auto"/>
        </w:rPr>
      </w:pPr>
    </w:p>
    <w:p>
      <w:pPr>
        <w:jc w:val="right"/>
        <w:ind w:right="2779"/>
        <w:spacing w:after="0"/>
        <w:tabs>
          <w:tab w:leader="none" w:pos="4360" w:val="left"/>
          <w:tab w:leader="none" w:pos="230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DATE OF TERMINATION.</w:t>
      </w:r>
      <w:r>
        <w:rPr>
          <w:sz w:val="20"/>
          <w:szCs w:val="20"/>
          <w:color w:val="auto"/>
        </w:rPr>
        <w:tab/>
      </w:r>
      <w:r>
        <w:rPr>
          <w:rFonts w:ascii="Courier New" w:cs="Courier New" w:eastAsia="Courier New" w:hAnsi="Courier New"/>
          <w:sz w:val="14"/>
          <w:szCs w:val="14"/>
          <w:color w:val="auto"/>
        </w:rPr>
        <w:t>Date of Termination means</w:t>
      </w:r>
    </w:p>
    <w:p>
      <w:pPr>
        <w:spacing w:after="0" w:line="4" w:lineRule="exact"/>
        <w:rPr>
          <w:sz w:val="20"/>
          <w:szCs w:val="20"/>
          <w:color w:val="auto"/>
        </w:rPr>
      </w:pPr>
    </w:p>
    <w:p>
      <w:pPr>
        <w:ind w:left="5" w:right="4079"/>
        <w:spacing w:after="0" w:line="234" w:lineRule="auto"/>
        <w:rPr>
          <w:sz w:val="20"/>
          <w:szCs w:val="20"/>
          <w:color w:val="auto"/>
        </w:rPr>
      </w:pPr>
      <w:r>
        <w:rPr>
          <w:rFonts w:ascii="Courier New" w:cs="Courier New" w:eastAsia="Courier New" w:hAnsi="Courier New"/>
          <w:sz w:val="16"/>
          <w:szCs w:val="16"/>
          <w:color w:val="auto"/>
        </w:rPr>
        <w:t>the date of receipt of the Notice of Termination or any later date specified therein, as the case may be.</w:t>
      </w:r>
    </w:p>
    <w:p>
      <w:pPr>
        <w:spacing w:after="0" w:line="177" w:lineRule="exact"/>
        <w:rPr>
          <w:sz w:val="20"/>
          <w:szCs w:val="20"/>
          <w:color w:val="auto"/>
        </w:rPr>
      </w:pPr>
    </w:p>
    <w:p>
      <w:pPr>
        <w:ind w:left="2225"/>
        <w:spacing w:after="0"/>
        <w:tabs>
          <w:tab w:leader="none" w:pos="3044" w:val="left"/>
          <w:tab w:leader="none" w:pos="4824"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SEVERANCE PERIOD.</w:t>
      </w:r>
      <w:r>
        <w:rPr>
          <w:sz w:val="20"/>
          <w:szCs w:val="20"/>
          <w:color w:val="auto"/>
        </w:rPr>
        <w:tab/>
      </w:r>
      <w:r>
        <w:rPr>
          <w:rFonts w:ascii="Courier New" w:cs="Courier New" w:eastAsia="Courier New" w:hAnsi="Courier New"/>
          <w:sz w:val="14"/>
          <w:szCs w:val="14"/>
          <w:color w:val="auto"/>
        </w:rPr>
        <w:t>The Severance Period means</w:t>
      </w:r>
    </w:p>
    <w:p>
      <w:pPr>
        <w:spacing w:after="0" w:line="4" w:lineRule="exact"/>
        <w:rPr>
          <w:sz w:val="20"/>
          <w:szCs w:val="20"/>
          <w:color w:val="auto"/>
        </w:rPr>
      </w:pPr>
    </w:p>
    <w:p>
      <w:pPr>
        <w:ind w:left="5" w:right="4639"/>
        <w:spacing w:after="0" w:line="234" w:lineRule="auto"/>
        <w:rPr>
          <w:sz w:val="20"/>
          <w:szCs w:val="20"/>
          <w:color w:val="auto"/>
        </w:rPr>
      </w:pPr>
      <w:r>
        <w:rPr>
          <w:rFonts w:ascii="Courier New" w:cs="Courier New" w:eastAsia="Courier New" w:hAnsi="Courier New"/>
          <w:sz w:val="16"/>
          <w:szCs w:val="16"/>
          <w:color w:val="auto"/>
        </w:rPr>
        <w:t>a period of two (2) years beginning on the day following the Executive's Date of Termination.</w:t>
      </w:r>
    </w:p>
    <w:p>
      <w:pPr>
        <w:spacing w:after="0" w:line="177" w:lineRule="exact"/>
        <w:rPr>
          <w:sz w:val="20"/>
          <w:szCs w:val="20"/>
          <w:color w:val="auto"/>
        </w:rPr>
      </w:pPr>
    </w:p>
    <w:p>
      <w:pPr>
        <w:ind w:left="2505" w:hanging="830"/>
        <w:spacing w:after="0"/>
        <w:tabs>
          <w:tab w:leader="none" w:pos="250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left="5" w:right="3339" w:firstLine="2233"/>
        <w:spacing w:after="0" w:line="274" w:lineRule="auto"/>
        <w:rPr>
          <w:sz w:val="20"/>
          <w:szCs w:val="20"/>
          <w:color w:val="auto"/>
        </w:rPr>
      </w:pPr>
      <w:r>
        <w:rPr>
          <w:rFonts w:ascii="Courier New" w:cs="Courier New" w:eastAsia="Courier New" w:hAnsi="Courier New"/>
          <w:sz w:val="14"/>
          <w:szCs w:val="14"/>
          <w:color w:val="auto"/>
        </w:rPr>
        <w:t>4.1 EVENTS OF TERMINATION. The Executive may terminate his employment with the Company, for Good Reason, at any time during the first three (3) years following a Change in Control of the Company. The Company may terminate Executive's employment with the Company at any time upon the occurrence of one or more of the events set forth in subsections (a) through (c) below. The death or Disability of Executive shall in no event be deemed a termination of employment by Executive.</w:t>
      </w:r>
    </w:p>
    <w:p>
      <w:pPr>
        <w:spacing w:after="0" w:line="158" w:lineRule="exact"/>
        <w:rPr>
          <w:sz w:val="20"/>
          <w:szCs w:val="20"/>
          <w:color w:val="auto"/>
        </w:rPr>
      </w:pPr>
    </w:p>
    <w:p>
      <w:pPr>
        <w:ind w:left="3165" w:hanging="839"/>
        <w:spacing w:after="0"/>
        <w:tabs>
          <w:tab w:leader="none" w:pos="31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death of Executive.</w:t>
      </w:r>
    </w:p>
    <w:p>
      <w:pPr>
        <w:spacing w:after="0" w:line="176" w:lineRule="exact"/>
        <w:rPr>
          <w:rFonts w:ascii="Courier New" w:cs="Courier New" w:eastAsia="Courier New" w:hAnsi="Courier New"/>
          <w:sz w:val="16"/>
          <w:szCs w:val="16"/>
          <w:color w:val="auto"/>
        </w:rPr>
      </w:pPr>
    </w:p>
    <w:p>
      <w:pPr>
        <w:ind w:left="3165" w:hanging="839"/>
        <w:spacing w:after="0"/>
        <w:tabs>
          <w:tab w:leader="none" w:pos="31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Disability of Executive.</w:t>
      </w:r>
    </w:p>
    <w:p>
      <w:pPr>
        <w:spacing w:after="0" w:line="182" w:lineRule="exact"/>
        <w:rPr>
          <w:rFonts w:ascii="Courier New" w:cs="Courier New" w:eastAsia="Courier New" w:hAnsi="Courier New"/>
          <w:sz w:val="16"/>
          <w:szCs w:val="16"/>
          <w:color w:val="auto"/>
        </w:rPr>
      </w:pPr>
    </w:p>
    <w:p>
      <w:pPr>
        <w:ind w:left="3165" w:hanging="839"/>
        <w:spacing w:after="0"/>
        <w:tabs>
          <w:tab w:leader="none" w:pos="316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discharge of Executive by the Company for</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Cause.</w:t>
      </w:r>
    </w:p>
    <w:p>
      <w:pPr>
        <w:spacing w:after="0" w:line="183" w:lineRule="exact"/>
        <w:rPr>
          <w:sz w:val="20"/>
          <w:szCs w:val="20"/>
          <w:color w:val="auto"/>
        </w:rPr>
      </w:pPr>
    </w:p>
    <w:p>
      <w:pPr>
        <w:ind w:left="5" w:right="2879" w:firstLine="2233"/>
        <w:spacing w:after="0" w:line="234" w:lineRule="auto"/>
        <w:rPr>
          <w:sz w:val="20"/>
          <w:szCs w:val="20"/>
          <w:color w:val="auto"/>
        </w:rPr>
      </w:pPr>
      <w:r>
        <w:rPr>
          <w:rFonts w:ascii="Courier New" w:cs="Courier New" w:eastAsia="Courier New" w:hAnsi="Courier New"/>
          <w:sz w:val="16"/>
          <w:szCs w:val="16"/>
          <w:color w:val="auto"/>
        </w:rPr>
        <w:t>4.2 NOTICE OF TERMINATION. Any termination of the Executive's employment by the Executive for Good Reason, or by the Company</w:t>
      </w:r>
    </w:p>
    <w:p>
      <w:pPr>
        <w:spacing w:after="0" w:line="4" w:lineRule="exact"/>
        <w:rPr>
          <w:sz w:val="20"/>
          <w:szCs w:val="20"/>
          <w:color w:val="auto"/>
        </w:rPr>
      </w:pPr>
    </w:p>
    <w:p>
      <w:pPr>
        <w:ind w:left="5" w:right="3439"/>
        <w:spacing w:after="0" w:line="234" w:lineRule="auto"/>
        <w:rPr>
          <w:sz w:val="20"/>
          <w:szCs w:val="20"/>
          <w:color w:val="auto"/>
        </w:rPr>
      </w:pPr>
      <w:r>
        <w:rPr>
          <w:rFonts w:ascii="Courier New" w:cs="Courier New" w:eastAsia="Courier New" w:hAnsi="Courier New"/>
          <w:sz w:val="16"/>
          <w:szCs w:val="16"/>
          <w:color w:val="auto"/>
        </w:rPr>
        <w:t>for Cause or otherwise, shall be communicated by Notice of Termination to the other party hereto given in accordance with Section 10(h).</w:t>
      </w:r>
    </w:p>
    <w:p>
      <w:pPr>
        <w:spacing w:after="0" w:line="177" w:lineRule="exact"/>
        <w:rPr>
          <w:sz w:val="20"/>
          <w:szCs w:val="20"/>
          <w:color w:val="auto"/>
        </w:rPr>
      </w:pPr>
    </w:p>
    <w:p>
      <w:pPr>
        <w:ind w:left="2505" w:hanging="830"/>
        <w:spacing w:after="0"/>
        <w:tabs>
          <w:tab w:leader="none" w:pos="250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UPON TERMINATION.</w:t>
      </w:r>
    </w:p>
    <w:p>
      <w:pPr>
        <w:spacing w:after="0" w:line="183" w:lineRule="exact"/>
        <w:rPr>
          <w:sz w:val="20"/>
          <w:szCs w:val="20"/>
          <w:color w:val="auto"/>
        </w:rPr>
      </w:pPr>
    </w:p>
    <w:p>
      <w:pPr>
        <w:ind w:left="5" w:right="3239" w:firstLine="2233"/>
        <w:spacing w:after="0" w:line="235" w:lineRule="auto"/>
        <w:rPr>
          <w:sz w:val="20"/>
          <w:szCs w:val="20"/>
          <w:color w:val="auto"/>
        </w:rPr>
      </w:pPr>
      <w:r>
        <w:rPr>
          <w:rFonts w:ascii="Courier New" w:cs="Courier New" w:eastAsia="Courier New" w:hAnsi="Courier New"/>
          <w:sz w:val="16"/>
          <w:szCs w:val="16"/>
          <w:color w:val="auto"/>
        </w:rPr>
        <w:t>5.1 VOLUNTARY TERMINATION BY EXECUTIVE AND TERMINATION FOR CAUSE. If the Executive's employment with the Company is terminated (i) voluntarily by the Executive, for any reason other than Good Reason, or (ii) by the Company for Cause, the Company shall pay Executive, within five (5) business days</w:t>
      </w:r>
    </w:p>
    <w:p>
      <w:pPr>
        <w:spacing w:after="0" w:line="18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1012" w:right="1440" w:bottom="1440" w:gutter="0" w:footer="0" w:header="0"/>
        </w:sectPr>
      </w:pPr>
    </w:p>
    <w:bookmarkStart w:id="65" w:name="page66"/>
    <w:bookmarkEnd w:id="65"/>
    <w:p>
      <w:pPr>
        <w:ind w:left="5" w:right="3239"/>
        <w:spacing w:after="0" w:line="236" w:lineRule="auto"/>
        <w:rPr>
          <w:sz w:val="20"/>
          <w:szCs w:val="20"/>
          <w:color w:val="auto"/>
        </w:rPr>
      </w:pPr>
      <w:r>
        <w:rPr>
          <w:rFonts w:ascii="Courier New" w:cs="Courier New" w:eastAsia="Courier New" w:hAnsi="Courier New"/>
          <w:sz w:val="16"/>
          <w:szCs w:val="16"/>
          <w:color w:val="auto"/>
        </w:rPr>
        <w:t>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w:t>
      </w:r>
    </w:p>
    <w:p>
      <w:pPr>
        <w:spacing w:after="0" w:line="184" w:lineRule="exact"/>
        <w:rPr>
          <w:sz w:val="20"/>
          <w:szCs w:val="20"/>
          <w:color w:val="auto"/>
        </w:rPr>
      </w:pPr>
    </w:p>
    <w:p>
      <w:pPr>
        <w:ind w:left="5" w:right="3239" w:firstLine="2326"/>
        <w:spacing w:after="0" w:line="236" w:lineRule="auto"/>
        <w:rPr>
          <w:sz w:val="20"/>
          <w:szCs w:val="20"/>
          <w:color w:val="auto"/>
        </w:rPr>
      </w:pPr>
      <w:r>
        <w:rPr>
          <w:rFonts w:ascii="Courier New" w:cs="Courier New" w:eastAsia="Courier New" w:hAnsi="Courier New"/>
          <w:sz w:val="16"/>
          <w:szCs w:val="16"/>
          <w:color w:val="auto"/>
        </w:rPr>
        <w:t>5.2 TERMINATION FOR DEATH OR DISABILITY. If Executive's employment is 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 Amounts payable under subsection (i) of this Section 5.2 shall be paid within five (5) business days after the Date of Termination, and the Bonus payable under subsection (ii) shall be paid on or before May 15 of the fiscal year following the fiscal year in which the termination occurred.</w:t>
      </w:r>
    </w:p>
    <w:p>
      <w:pPr>
        <w:spacing w:after="0" w:line="191" w:lineRule="exact"/>
        <w:rPr>
          <w:sz w:val="20"/>
          <w:szCs w:val="20"/>
          <w:color w:val="auto"/>
        </w:rPr>
      </w:pPr>
    </w:p>
    <w:p>
      <w:pPr>
        <w:jc w:val="both"/>
        <w:ind w:left="5" w:right="3339" w:firstLine="2326"/>
        <w:spacing w:after="0" w:line="235" w:lineRule="auto"/>
        <w:rPr>
          <w:sz w:val="20"/>
          <w:szCs w:val="20"/>
          <w:color w:val="auto"/>
        </w:rPr>
      </w:pPr>
      <w:r>
        <w:rPr>
          <w:rFonts w:ascii="Courier New" w:cs="Courier New" w:eastAsia="Courier New" w:hAnsi="Courier New"/>
          <w:sz w:val="16"/>
          <w:szCs w:val="16"/>
          <w:color w:val="auto"/>
        </w:rPr>
        <w:t>5.3 TERMINATION BY THE COMPANY IN DEFAULT OF AGREEMENT. If the Executive's employment with the Company is terminated by the Company for any reason other than the Executive's death or Disability, or Cause, the Company shall pay and provide Executive:</w:t>
      </w:r>
    </w:p>
    <w:p>
      <w:pPr>
        <w:spacing w:after="0" w:line="178" w:lineRule="exact"/>
        <w:rPr>
          <w:sz w:val="20"/>
          <w:szCs w:val="20"/>
          <w:color w:val="auto"/>
        </w:rPr>
      </w:pPr>
    </w:p>
    <w:p>
      <w:pPr>
        <w:ind w:left="3165" w:hanging="839"/>
        <w:spacing w:after="0"/>
        <w:tabs>
          <w:tab w:leader="none" w:pos="316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Executive's Base Salary, unused vacation</w:t>
      </w:r>
    </w:p>
    <w:p>
      <w:pPr>
        <w:spacing w:after="0" w:line="3" w:lineRule="exact"/>
        <w:rPr>
          <w:rFonts w:ascii="Courier New" w:cs="Courier New" w:eastAsia="Courier New" w:hAnsi="Courier New"/>
          <w:sz w:val="16"/>
          <w:szCs w:val="16"/>
          <w:color w:val="auto"/>
        </w:rPr>
      </w:pPr>
    </w:p>
    <w:p>
      <w:pPr>
        <w:ind w:left="5" w:right="41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entitlement and car allowance through the Date of Termination (if not already paid); plus</w:t>
      </w:r>
    </w:p>
    <w:p>
      <w:pPr>
        <w:spacing w:after="0" w:line="177" w:lineRule="exact"/>
        <w:rPr>
          <w:rFonts w:ascii="Courier New" w:cs="Courier New" w:eastAsia="Courier New" w:hAnsi="Courier New"/>
          <w:sz w:val="16"/>
          <w:szCs w:val="16"/>
          <w:color w:val="auto"/>
        </w:rPr>
      </w:pPr>
    </w:p>
    <w:p>
      <w:pPr>
        <w:ind w:left="3165" w:hanging="839"/>
        <w:spacing w:after="0"/>
        <w:tabs>
          <w:tab w:leader="none" w:pos="316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greater of: (i) the</w:t>
      </w:r>
    </w:p>
    <w:p>
      <w:pPr>
        <w:spacing w:after="0" w:line="3" w:lineRule="exact"/>
        <w:rPr>
          <w:rFonts w:ascii="Courier New" w:cs="Courier New" w:eastAsia="Courier New" w:hAnsi="Courier New"/>
          <w:sz w:val="16"/>
          <w:szCs w:val="16"/>
          <w:color w:val="auto"/>
        </w:rPr>
      </w:pPr>
    </w:p>
    <w:p>
      <w:pPr>
        <w:ind w:left="5" w:right="351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average annual cash compensation (Base Salary, car allowance and Bonus) paid to Executive during the five (5) fiscal years immediately preceding the Date of Termination, MULTIPLIED BY the number of years or portions thereof remaining on the Employment Term on the Date of Termination; or</w:t>
      </w:r>
    </w:p>
    <w:p>
      <w:pPr>
        <w:spacing w:after="0" w:line="1" w:lineRule="exact"/>
        <w:rPr>
          <w:rFonts w:ascii="Courier New" w:cs="Courier New" w:eastAsia="Courier New" w:hAnsi="Courier New"/>
          <w:sz w:val="16"/>
          <w:szCs w:val="16"/>
          <w:color w:val="auto"/>
        </w:rPr>
      </w:pPr>
    </w:p>
    <w:p>
      <w:pPr>
        <w:ind w:left="5" w:right="3439" w:hanging="5"/>
        <w:spacing w:after="0" w:line="234" w:lineRule="auto"/>
        <w:tabs>
          <w:tab w:leader="none" w:pos="47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payment described in Section I of Exhibit A attached hereto and made a part hereof; plus</w:t>
      </w:r>
    </w:p>
    <w:p>
      <w:pPr>
        <w:spacing w:after="0" w:line="183" w:lineRule="exact"/>
        <w:rPr>
          <w:rFonts w:ascii="Courier New" w:cs="Courier New" w:eastAsia="Courier New" w:hAnsi="Courier New"/>
          <w:sz w:val="16"/>
          <w:szCs w:val="16"/>
          <w:color w:val="auto"/>
        </w:rPr>
      </w:pPr>
    </w:p>
    <w:p>
      <w:pPr>
        <w:ind w:left="3165" w:hanging="839"/>
        <w:spacing w:after="0"/>
        <w:tabs>
          <w:tab w:leader="none" w:pos="316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described in Sections II through</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IV of Exhibit A.</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1012" w:right="1440" w:bottom="1440" w:gutter="0" w:footer="0" w:header="0"/>
        </w:sectPr>
      </w:pPr>
    </w:p>
    <w:bookmarkStart w:id="66" w:name="page67"/>
    <w:bookmarkEnd w:id="66"/>
    <w:p>
      <w:pPr>
        <w:ind w:left="5" w:right="3239"/>
        <w:spacing w:after="0" w:line="272" w:lineRule="auto"/>
        <w:rPr>
          <w:sz w:val="20"/>
          <w:szCs w:val="20"/>
          <w:color w:val="auto"/>
        </w:rPr>
      </w:pPr>
      <w:r>
        <w:rPr>
          <w:rFonts w:ascii="Courier New" w:cs="Courier New" w:eastAsia="Courier New" w:hAnsi="Courier New"/>
          <w:sz w:val="14"/>
          <w:szCs w:val="14"/>
          <w:color w:val="auto"/>
        </w:rPr>
        <w:t>The amounts payable under subsections (a) and (b)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may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345" w:lineRule="exact"/>
        <w:rPr>
          <w:sz w:val="20"/>
          <w:szCs w:val="20"/>
          <w:color w:val="auto"/>
        </w:rPr>
      </w:pPr>
    </w:p>
    <w:p>
      <w:pPr>
        <w:ind w:left="5" w:right="2959" w:firstLine="2233"/>
        <w:spacing w:after="0" w:line="235" w:lineRule="auto"/>
        <w:rPr>
          <w:sz w:val="20"/>
          <w:szCs w:val="20"/>
          <w:color w:val="auto"/>
        </w:rPr>
      </w:pPr>
      <w:r>
        <w:rPr>
          <w:rFonts w:ascii="Courier New" w:cs="Courier New" w:eastAsia="Courier New" w:hAnsi="Courier New"/>
          <w:sz w:val="16"/>
          <w:szCs w:val="16"/>
          <w:color w:val="auto"/>
        </w:rPr>
        <w:t>5.4 TERMINATION BY EXECUTIVE FOR GOOD REASON. If the Executive's employment with the Company is terminated by the Executive for Good Reason, the Company shall pay and provide Executive, within five</w:t>
      </w:r>
    </w:p>
    <w:p>
      <w:pPr>
        <w:spacing w:after="0" w:line="4" w:lineRule="exact"/>
        <w:rPr>
          <w:sz w:val="20"/>
          <w:szCs w:val="20"/>
          <w:color w:val="auto"/>
        </w:rPr>
      </w:pPr>
    </w:p>
    <w:p>
      <w:pPr>
        <w:ind w:left="5" w:right="3239" w:hanging="5"/>
        <w:spacing w:after="0" w:line="272" w:lineRule="auto"/>
        <w:tabs>
          <w:tab w:leader="none" w:pos="37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after the Date of Termination, as severance compensation, the cash amounts and benefits (collectively, "Severance Benefits") described in Exhibit A. The Severance Benefits paid and provided pursuant to this Section 5.4 shall be in lieu of all other compensation and benefits payable to Executive under this Agreement, and in full settlement of any and all claims by Executive for such compensation or benefits; except that, to the extent that the Company's insurance, stock option and other employee benefit plans provide certain rights and benefits after an employee's termination, Executive may continue to receive such rights and benefits in accordance with the terms of such plans. The Company agrees that following a Change of Control, the Company shall not, without the Executive's consent, amend any employee insurance or benefit plan or program of the Company or its subsidiaries or affiliates in any manner that would adversely affect the Executive's rights under such plan or program.</w:t>
      </w:r>
    </w:p>
    <w:p>
      <w:pPr>
        <w:spacing w:after="0" w:line="340" w:lineRule="exact"/>
        <w:rPr>
          <w:rFonts w:ascii="Courier New" w:cs="Courier New" w:eastAsia="Courier New" w:hAnsi="Courier New"/>
          <w:sz w:val="14"/>
          <w:szCs w:val="14"/>
          <w:color w:val="auto"/>
        </w:rPr>
      </w:pPr>
    </w:p>
    <w:p>
      <w:pPr>
        <w:ind w:left="2505" w:hanging="830"/>
        <w:spacing w:after="0"/>
        <w:tabs>
          <w:tab w:leader="none" w:pos="250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AGAINST UNFAIR COMPETITION.</w:t>
      </w:r>
    </w:p>
    <w:p>
      <w:pPr>
        <w:spacing w:after="0" w:line="182" w:lineRule="exact"/>
        <w:rPr>
          <w:rFonts w:ascii="Courier New" w:cs="Courier New" w:eastAsia="Courier New" w:hAnsi="Courier New"/>
          <w:sz w:val="16"/>
          <w:szCs w:val="16"/>
          <w:color w:val="auto"/>
        </w:rPr>
      </w:pPr>
    </w:p>
    <w:p>
      <w:pPr>
        <w:ind w:left="3165" w:hanging="839"/>
        <w:spacing w:after="0"/>
        <w:tabs>
          <w:tab w:leader="none" w:pos="3165"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while he is employed by</w:t>
      </w:r>
    </w:p>
    <w:p>
      <w:pPr>
        <w:spacing w:after="0" w:line="20" w:lineRule="exact"/>
        <w:rPr>
          <w:rFonts w:ascii="Courier New" w:cs="Courier New" w:eastAsia="Courier New" w:hAnsi="Courier New"/>
          <w:sz w:val="14"/>
          <w:szCs w:val="14"/>
          <w:color w:val="auto"/>
        </w:rPr>
      </w:pPr>
    </w:p>
    <w:p>
      <w:pPr>
        <w:ind w:left="5"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179" w:lineRule="exact"/>
        <w:rPr>
          <w:rFonts w:ascii="Courier New" w:cs="Courier New" w:eastAsia="Courier New" w:hAnsi="Courier New"/>
          <w:sz w:val="14"/>
          <w:szCs w:val="14"/>
          <w:color w:val="auto"/>
        </w:rPr>
      </w:pPr>
    </w:p>
    <w:p>
      <w:pPr>
        <w:ind w:left="3165" w:hanging="746"/>
        <w:spacing w:after="0"/>
        <w:tabs>
          <w:tab w:leader="none" w:pos="3165" w:val="left"/>
        </w:tabs>
        <w:numPr>
          <w:ilvl w:val="3"/>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control, manage, be employed by,</w:t>
      </w:r>
    </w:p>
    <w:p>
      <w:pPr>
        <w:spacing w:after="0" w:line="3" w:lineRule="exact"/>
        <w:rPr>
          <w:rFonts w:ascii="Courier New" w:cs="Courier New" w:eastAsia="Courier New" w:hAnsi="Courier New"/>
          <w:sz w:val="16"/>
          <w:szCs w:val="16"/>
          <w:color w:val="auto"/>
        </w:rPr>
      </w:pPr>
    </w:p>
    <w:p>
      <w:pPr>
        <w:ind w:left="5" w:right="32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consult with, or otherwise participate in, a business (other than that of the Company) involved within the Trade Area (as hereinafter defined) in (1) the storage, handling, delivery, marketing, sale,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1191" w:right="1440" w:bottom="1440" w:gutter="0" w:footer="0" w:header="0"/>
        </w:sectPr>
      </w:pPr>
    </w:p>
    <w:bookmarkStart w:id="67" w:name="page68"/>
    <w:bookmarkEnd w:id="67"/>
    <w:p>
      <w:pPr>
        <w:ind w:left="5" w:right="3719"/>
        <w:spacing w:after="0" w:line="274" w:lineRule="auto"/>
        <w:rPr>
          <w:sz w:val="20"/>
          <w:szCs w:val="20"/>
          <w:color w:val="auto"/>
        </w:rPr>
      </w:pPr>
      <w:r>
        <w:rPr>
          <w:rFonts w:ascii="Courier New" w:cs="Courier New" w:eastAsia="Courier New" w:hAnsi="Courier New"/>
          <w:sz w:val="14"/>
          <w:szCs w:val="14"/>
          <w:color w:val="auto"/>
        </w:rPr>
        <w:t>distribution or brokerage of aviation fuel, marine fuel or lubricants, aviation flight services, or marine fuel services, (2) the collection, storage, handling, recycling, processing, refining, sale, brokerage, marketing or distribution of used oil or used oil products, or (3) any other service or activity which is competitive with the services or activities which are or have been performed by the Company or its subsidiaries or affiliates since January 1, 1994;</w:t>
      </w:r>
    </w:p>
    <w:p>
      <w:pPr>
        <w:spacing w:after="0" w:line="164" w:lineRule="exact"/>
        <w:rPr>
          <w:sz w:val="20"/>
          <w:szCs w:val="20"/>
          <w:color w:val="auto"/>
        </w:rPr>
      </w:pPr>
    </w:p>
    <w:p>
      <w:pPr>
        <w:ind w:left="3545" w:hanging="1219"/>
        <w:spacing w:after="0"/>
        <w:tabs>
          <w:tab w:leader="none" w:pos="3545"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call upon, or attempt to solicit,</w:t>
      </w:r>
    </w:p>
    <w:p>
      <w:pPr>
        <w:spacing w:after="0" w:line="20" w:lineRule="exact"/>
        <w:rPr>
          <w:rFonts w:ascii="Courier New" w:cs="Courier New" w:eastAsia="Courier New" w:hAnsi="Courier New"/>
          <w:sz w:val="14"/>
          <w:szCs w:val="14"/>
          <w:color w:val="auto"/>
        </w:rPr>
      </w:pPr>
    </w:p>
    <w:p>
      <w:pPr>
        <w:ind w:left="5"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1994, for the purpose of obtaining the patronage of any such individual, partnership, corporation or other legal entity;</w:t>
      </w:r>
    </w:p>
    <w:p>
      <w:pPr>
        <w:spacing w:after="0" w:line="176" w:lineRule="exact"/>
        <w:rPr>
          <w:rFonts w:ascii="Courier New" w:cs="Courier New" w:eastAsia="Courier New" w:hAnsi="Courier New"/>
          <w:sz w:val="14"/>
          <w:szCs w:val="14"/>
          <w:color w:val="auto"/>
        </w:rPr>
      </w:pPr>
    </w:p>
    <w:p>
      <w:pPr>
        <w:ind w:left="3725" w:hanging="1306"/>
        <w:spacing w:after="0"/>
        <w:tabs>
          <w:tab w:leader="none" w:pos="3725" w:val="left"/>
        </w:tabs>
        <w:numPr>
          <w:ilvl w:val="3"/>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or induce, or in any manner</w:t>
      </w:r>
    </w:p>
    <w:p>
      <w:pPr>
        <w:spacing w:after="0" w:line="3" w:lineRule="exact"/>
        <w:rPr>
          <w:rFonts w:ascii="Courier New" w:cs="Courier New" w:eastAsia="Courier New" w:hAnsi="Courier New"/>
          <w:sz w:val="16"/>
          <w:szCs w:val="16"/>
          <w:color w:val="auto"/>
        </w:rPr>
      </w:pPr>
    </w:p>
    <w:p>
      <w:pPr>
        <w:ind w:left="5" w:right="351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attempt to solicit or induce, any person employed by the Company or its subsidiaries or affiliates to leave such employment, whether or not such employment is pursuant to a written contract and whether or not such employment is at will; or</w:t>
      </w:r>
    </w:p>
    <w:p>
      <w:pPr>
        <w:spacing w:after="0" w:line="184" w:lineRule="exact"/>
        <w:rPr>
          <w:rFonts w:ascii="Courier New" w:cs="Courier New" w:eastAsia="Courier New" w:hAnsi="Courier New"/>
          <w:sz w:val="16"/>
          <w:szCs w:val="16"/>
          <w:color w:val="auto"/>
        </w:rPr>
      </w:pPr>
    </w:p>
    <w:p>
      <w:pPr>
        <w:ind w:left="3625" w:hanging="1206"/>
        <w:spacing w:after="0"/>
        <w:tabs>
          <w:tab w:leader="none" w:pos="3625" w:val="left"/>
        </w:tabs>
        <w:numPr>
          <w:ilvl w:val="3"/>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directly or indirectly, on behalf of</w:t>
      </w:r>
    </w:p>
    <w:p>
      <w:pPr>
        <w:spacing w:after="0" w:line="20" w:lineRule="exact"/>
        <w:rPr>
          <w:rFonts w:ascii="Courier New" w:cs="Courier New" w:eastAsia="Courier New" w:hAnsi="Courier New"/>
          <w:sz w:val="14"/>
          <w:szCs w:val="14"/>
          <w:color w:val="auto"/>
        </w:rPr>
      </w:pPr>
    </w:p>
    <w:p>
      <w:pPr>
        <w:ind w:left="5"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himself or 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177" w:lineRule="exact"/>
        <w:rPr>
          <w:rFonts w:ascii="Courier New" w:cs="Courier New" w:eastAsia="Courier New" w:hAnsi="Courier New"/>
          <w:sz w:val="14"/>
          <w:szCs w:val="14"/>
          <w:color w:val="auto"/>
        </w:rPr>
      </w:pPr>
    </w:p>
    <w:p>
      <w:pPr>
        <w:ind w:left="3065" w:hanging="832"/>
        <w:spacing w:after="0"/>
        <w:tabs>
          <w:tab w:leader="none" w:pos="306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the term "Trade Area" shall</w:t>
      </w:r>
    </w:p>
    <w:p>
      <w:pPr>
        <w:spacing w:after="0" w:line="3" w:lineRule="exact"/>
        <w:rPr>
          <w:rFonts w:ascii="Courier New" w:cs="Courier New" w:eastAsia="Courier New" w:hAnsi="Courier New"/>
          <w:sz w:val="16"/>
          <w:szCs w:val="16"/>
          <w:color w:val="auto"/>
        </w:rPr>
      </w:pPr>
    </w:p>
    <w:p>
      <w:pPr>
        <w:ind w:left="5" w:right="361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mean: (i) the States of Florida, Louisiana, Georgia, Delaware, Pennsylvania, New York, California, Virginia, New Jersey, and Maryland,</w:t>
      </w:r>
    </w:p>
    <w:p>
      <w:pPr>
        <w:ind w:left="465" w:hanging="465"/>
        <w:spacing w:after="0" w:line="236" w:lineRule="auto"/>
        <w:tabs>
          <w:tab w:leader="none" w:pos="4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state where the Company and/or its subsidiaries or</w:t>
      </w:r>
    </w:p>
    <w:p>
      <w:pPr>
        <w:spacing w:after="0" w:line="4" w:lineRule="exact"/>
        <w:rPr>
          <w:sz w:val="20"/>
          <w:szCs w:val="20"/>
          <w:color w:val="auto"/>
        </w:rPr>
      </w:pPr>
    </w:p>
    <w:p>
      <w:pPr>
        <w:ind w:left="5" w:right="3339"/>
        <w:spacing w:after="0" w:line="279" w:lineRule="auto"/>
        <w:rPr>
          <w:sz w:val="20"/>
          <w:szCs w:val="20"/>
          <w:color w:val="auto"/>
        </w:rPr>
      </w:pPr>
      <w:r>
        <w:rPr>
          <w:rFonts w:ascii="Courier New" w:cs="Courier New" w:eastAsia="Courier New" w:hAnsi="Courier New"/>
          <w:sz w:val="14"/>
          <w:szCs w:val="14"/>
          <w:color w:val="auto"/>
        </w:rPr>
        <w:t>affiliates collect or sell used oil or used oil products, (iii) Singapore, Greece, South Korea, England and Costa Rica, and (iv) any airports or seaports throughout the world which are or were serviced by the Company or its subsidiaries or affiliates at any time since January 1, 1994.</w:t>
      </w:r>
    </w:p>
    <w:p>
      <w:pPr>
        <w:spacing w:after="0" w:line="151" w:lineRule="exact"/>
        <w:rPr>
          <w:sz w:val="20"/>
          <w:szCs w:val="20"/>
          <w:color w:val="auto"/>
        </w:rPr>
      </w:pPr>
    </w:p>
    <w:p>
      <w:pPr>
        <w:ind w:left="3065" w:hanging="832"/>
        <w:spacing w:after="0"/>
        <w:tabs>
          <w:tab w:leader="none" w:pos="30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recognizes the importance of the</w:t>
      </w:r>
    </w:p>
    <w:p>
      <w:pPr>
        <w:spacing w:after="0" w:line="3" w:lineRule="exact"/>
        <w:rPr>
          <w:rFonts w:ascii="Courier New" w:cs="Courier New" w:eastAsia="Courier New" w:hAnsi="Courier New"/>
          <w:sz w:val="16"/>
          <w:szCs w:val="16"/>
          <w:color w:val="auto"/>
        </w:rPr>
      </w:pPr>
    </w:p>
    <w:p>
      <w:pPr>
        <w:ind w:left="5"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interests, including without limitation, the</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1012" w:right="1440" w:bottom="1440" w:gutter="0" w:footer="0" w:header="0"/>
        </w:sectPr>
      </w:pPr>
    </w:p>
    <w:bookmarkStart w:id="68" w:name="page69"/>
    <w:bookmarkEnd w:id="68"/>
    <w:p>
      <w:pPr>
        <w:ind w:right="3239"/>
        <w:spacing w:after="0" w:line="236" w:lineRule="auto"/>
        <w:rPr>
          <w:sz w:val="20"/>
          <w:szCs w:val="20"/>
          <w:color w:val="auto"/>
        </w:rPr>
      </w:pPr>
      <w:r>
        <w:rPr>
          <w:rFonts w:ascii="Courier New" w:cs="Courier New" w:eastAsia="Courier New" w:hAnsi="Courier New"/>
          <w:sz w:val="16"/>
          <w:szCs w:val="16"/>
          <w:color w:val="auto"/>
        </w:rPr>
        <w:t>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177" w:lineRule="exact"/>
        <w:rPr>
          <w:sz w:val="20"/>
          <w:szCs w:val="20"/>
          <w:color w:val="auto"/>
        </w:rPr>
      </w:pPr>
    </w:p>
    <w:p>
      <w:pPr>
        <w:ind w:left="3060" w:hanging="832"/>
        <w:spacing w:after="0"/>
        <w:tabs>
          <w:tab w:leader="none" w:pos="30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Executive commits a breach or threatens to</w:t>
      </w:r>
    </w:p>
    <w:p>
      <w:pPr>
        <w:spacing w:after="0" w:line="3" w:lineRule="exact"/>
        <w:rPr>
          <w:rFonts w:ascii="Courier New" w:cs="Courier New" w:eastAsia="Courier New" w:hAnsi="Courier New"/>
          <w:sz w:val="16"/>
          <w:szCs w:val="16"/>
          <w:color w:val="auto"/>
        </w:rPr>
      </w:pPr>
    </w:p>
    <w:p>
      <w:pPr>
        <w:ind w:right="33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184" w:lineRule="exact"/>
        <w:rPr>
          <w:rFonts w:ascii="Courier New" w:cs="Courier New" w:eastAsia="Courier New" w:hAnsi="Courier New"/>
          <w:sz w:val="16"/>
          <w:szCs w:val="16"/>
          <w:color w:val="auto"/>
        </w:rPr>
      </w:pPr>
    </w:p>
    <w:p>
      <w:pPr>
        <w:ind w:left="3060" w:hanging="832"/>
        <w:spacing w:after="0"/>
        <w:tabs>
          <w:tab w:leader="none" w:pos="306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covenant contained in this Section 6, or</w:t>
      </w:r>
    </w:p>
    <w:p>
      <w:pPr>
        <w:spacing w:after="0" w:line="20" w:lineRule="exact"/>
        <w:rPr>
          <w:rFonts w:ascii="Courier New" w:cs="Courier New" w:eastAsia="Courier New" w:hAnsi="Courier New"/>
          <w:sz w:val="14"/>
          <w:szCs w:val="14"/>
          <w:color w:val="auto"/>
        </w:rPr>
      </w:pPr>
    </w:p>
    <w:p>
      <w:pPr>
        <w:ind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182" w:lineRule="exact"/>
        <w:rPr>
          <w:rFonts w:ascii="Courier New" w:cs="Courier New" w:eastAsia="Courier New" w:hAnsi="Courier New"/>
          <w:sz w:val="14"/>
          <w:szCs w:val="14"/>
          <w:color w:val="auto"/>
        </w:rPr>
      </w:pPr>
    </w:p>
    <w:p>
      <w:pPr>
        <w:ind w:left="3060" w:hanging="832"/>
        <w:spacing w:after="0"/>
        <w:tabs>
          <w:tab w:leader="none" w:pos="306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6 shall survive</w:t>
      </w:r>
    </w:p>
    <w:p>
      <w:pPr>
        <w:spacing w:after="0" w:line="20" w:lineRule="exact"/>
        <w:rPr>
          <w:rFonts w:ascii="Courier New" w:cs="Courier New" w:eastAsia="Courier New" w:hAnsi="Courier New"/>
          <w:sz w:val="14"/>
          <w:szCs w:val="14"/>
          <w:color w:val="auto"/>
        </w:rPr>
      </w:pPr>
    </w:p>
    <w:p>
      <w:pPr>
        <w:ind w:right="427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and termination of this Agreement, and the termination of Executive's employment hereunder, for any reason.</w:t>
      </w:r>
    </w:p>
    <w:p>
      <w:pPr>
        <w:spacing w:after="0" w:line="140" w:lineRule="exact"/>
        <w:rPr>
          <w:rFonts w:ascii="Courier New" w:cs="Courier New" w:eastAsia="Courier New" w:hAnsi="Courier New"/>
          <w:sz w:val="14"/>
          <w:szCs w:val="14"/>
          <w:color w:val="auto"/>
        </w:rPr>
      </w:pPr>
    </w:p>
    <w:p>
      <w:pPr>
        <w:ind w:left="2700" w:hanging="1030"/>
        <w:spacing w:after="0"/>
        <w:tabs>
          <w:tab w:leader="none" w:pos="27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Nothing in this</w:t>
      </w:r>
    </w:p>
    <w:p>
      <w:pPr>
        <w:spacing w:after="0" w:line="3" w:lineRule="exact"/>
        <w:rPr>
          <w:rFonts w:ascii="Courier New" w:cs="Courier New" w:eastAsia="Courier New" w:hAnsi="Courier New"/>
          <w:sz w:val="16"/>
          <w:szCs w:val="16"/>
          <w:color w:val="auto"/>
        </w:rPr>
      </w:pPr>
    </w:p>
    <w:p>
      <w:pPr>
        <w:ind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shall prevent or limit the Executive's continuing or future participation in any benefit, bonus, incentive or other plan or program provided by the Company or any of its subsidiaries or affiliates and for which the Executive may qualify, nor shall anything herein limit or otherwise affect such rights as the 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181"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SETTLEMENT.  Except as specifically provided</w:t>
      </w:r>
    </w:p>
    <w:p>
      <w:pPr>
        <w:spacing w:after="0" w:line="3" w:lineRule="exact"/>
        <w:rPr>
          <w:rFonts w:ascii="Courier New" w:cs="Courier New" w:eastAsia="Courier New" w:hAnsi="Courier New"/>
          <w:sz w:val="16"/>
          <w:szCs w:val="16"/>
          <w:color w:val="auto"/>
        </w:rPr>
      </w:pPr>
    </w:p>
    <w:p>
      <w:pPr>
        <w:ind w:right="407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otherwise in this 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12" w:right="1440" w:bottom="1440" w:gutter="0" w:footer="0" w:header="0"/>
        </w:sectPr>
      </w:pPr>
    </w:p>
    <w:bookmarkStart w:id="69" w:name="page70"/>
    <w:bookmarkEnd w:id="69"/>
    <w:p>
      <w:pPr>
        <w:ind w:right="3239"/>
        <w:spacing w:after="0" w:line="272" w:lineRule="auto"/>
        <w:rPr>
          <w:sz w:val="20"/>
          <w:szCs w:val="20"/>
          <w:color w:val="auto"/>
        </w:rPr>
      </w:pPr>
      <w:r>
        <w:rPr>
          <w:rFonts w:ascii="Courier New" w:cs="Courier New" w:eastAsia="Courier New" w:hAnsi="Courier New"/>
          <w:sz w:val="14"/>
          <w:szCs w:val="14"/>
          <w:color w:val="auto"/>
        </w:rPr>
        <w:t>may have against the Executive or others. The Executive shall not be obligated to seek other employment by way of mitigation of the amounts payable to the Executive under any of the provisions of this Agreement. Except as expressly provided in Section II(ii)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NationsBank of Florida, N.A. in effect from time to time during the period of such nonpayment, but in no event greater than the highest interest rate permitted by law for such payments.</w:t>
      </w:r>
    </w:p>
    <w:p>
      <w:pPr>
        <w:spacing w:after="0" w:line="200" w:lineRule="exact"/>
        <w:rPr>
          <w:sz w:val="20"/>
          <w:szCs w:val="20"/>
          <w:color w:val="auto"/>
        </w:rPr>
      </w:pPr>
    </w:p>
    <w:p>
      <w:pPr>
        <w:spacing w:after="0" w:line="324" w:lineRule="exact"/>
        <w:rPr>
          <w:sz w:val="20"/>
          <w:szCs w:val="20"/>
          <w:color w:val="auto"/>
        </w:rPr>
      </w:pPr>
    </w:p>
    <w:p>
      <w:pPr>
        <w:ind w:right="3239" w:firstLine="1670"/>
        <w:spacing w:after="0" w:line="236" w:lineRule="auto"/>
        <w:tabs>
          <w:tab w:leader="none" w:pos="269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 reasonably satisfactory to the Executive, delivered to the Executive within five (5) business days after such succession.</w:t>
      </w:r>
    </w:p>
    <w:p>
      <w:pPr>
        <w:spacing w:after="0" w:line="182"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2" w:lineRule="exact"/>
        <w:rPr>
          <w:rFonts w:ascii="Courier New" w:cs="Courier New" w:eastAsia="Courier New" w:hAnsi="Courier New"/>
          <w:sz w:val="16"/>
          <w:szCs w:val="16"/>
          <w:color w:val="auto"/>
        </w:rPr>
      </w:pPr>
    </w:p>
    <w:p>
      <w:pPr>
        <w:ind w:left="3060" w:hanging="832"/>
        <w:spacing w:after="0"/>
        <w:tabs>
          <w:tab w:leader="none" w:pos="306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AND WAIVER.  Any term or condition</w:t>
      </w:r>
    </w:p>
    <w:p>
      <w:pPr>
        <w:spacing w:after="0" w:line="20"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184" w:lineRule="exact"/>
        <w:rPr>
          <w:rFonts w:ascii="Courier New" w:cs="Courier New" w:eastAsia="Courier New" w:hAnsi="Courier New"/>
          <w:sz w:val="14"/>
          <w:szCs w:val="14"/>
          <w:color w:val="auto"/>
        </w:rPr>
      </w:pPr>
    </w:p>
    <w:p>
      <w:pPr>
        <w:ind w:left="3060" w:hanging="832"/>
        <w:spacing w:after="0"/>
        <w:tabs>
          <w:tab w:leader="none" w:pos="306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and effect of this</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Agreement shall be governed by and construed and enforced in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012" w:right="1440" w:bottom="1440" w:gutter="0" w:footer="0" w:header="0"/>
        </w:sectPr>
      </w:pPr>
    </w:p>
    <w:bookmarkStart w:id="70" w:name="page71"/>
    <w:bookmarkEnd w:id="70"/>
    <w:p>
      <w:pPr>
        <w:ind w:right="3239"/>
        <w:spacing w:after="0" w:line="274" w:lineRule="auto"/>
        <w:rPr>
          <w:sz w:val="20"/>
          <w:szCs w:val="20"/>
          <w:color w:val="auto"/>
        </w:rPr>
      </w:pPr>
      <w:r>
        <w:rPr>
          <w:rFonts w:ascii="Courier New" w:cs="Courier New" w:eastAsia="Courier New" w:hAnsi="Courier New"/>
          <w:sz w:val="14"/>
          <w:szCs w:val="14"/>
          <w:color w:val="auto"/>
        </w:rPr>
        <w:t>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 extent it may effectively do so, the defense of an inconvenient forum to the maintenance of any Action in Miami, Florida.</w:t>
      </w:r>
    </w:p>
    <w:p>
      <w:pPr>
        <w:spacing w:after="0" w:line="155" w:lineRule="exact"/>
        <w:rPr>
          <w:sz w:val="20"/>
          <w:szCs w:val="20"/>
          <w:color w:val="auto"/>
        </w:rPr>
      </w:pPr>
    </w:p>
    <w:p>
      <w:pPr>
        <w:ind w:left="3060" w:hanging="832"/>
        <w:spacing w:after="0"/>
        <w:tabs>
          <w:tab w:leader="none" w:pos="3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WITHHOLDING.  The payments and benefits</w:t>
      </w:r>
    </w:p>
    <w:p>
      <w:pPr>
        <w:spacing w:after="0" w:line="3" w:lineRule="exact"/>
        <w:rPr>
          <w:rFonts w:ascii="Courier New" w:cs="Courier New" w:eastAsia="Courier New" w:hAnsi="Courier New"/>
          <w:sz w:val="16"/>
          <w:szCs w:val="16"/>
          <w:color w:val="auto"/>
        </w:rPr>
      </w:pPr>
    </w:p>
    <w:p>
      <w:pPr>
        <w:ind w:right="33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this Agreement 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176" w:lineRule="exact"/>
        <w:rPr>
          <w:rFonts w:ascii="Courier New" w:cs="Courier New" w:eastAsia="Courier New" w:hAnsi="Courier New"/>
          <w:sz w:val="16"/>
          <w:szCs w:val="16"/>
          <w:color w:val="auto"/>
        </w:rPr>
      </w:pPr>
    </w:p>
    <w:p>
      <w:pPr>
        <w:ind w:left="3060" w:hanging="832"/>
        <w:spacing w:after="0"/>
        <w:tabs>
          <w:tab w:leader="none" w:pos="3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CAPTIONS.  Section and other captions</w:t>
      </w:r>
    </w:p>
    <w:p>
      <w:pPr>
        <w:spacing w:after="0" w:line="3" w:lineRule="exact"/>
        <w:rPr>
          <w:rFonts w:ascii="Courier New" w:cs="Courier New" w:eastAsia="Courier New" w:hAnsi="Courier New"/>
          <w:sz w:val="16"/>
          <w:szCs w:val="16"/>
          <w:color w:val="auto"/>
        </w:rPr>
      </w:pPr>
    </w:p>
    <w:p>
      <w:pPr>
        <w:jc w:val="both"/>
        <w:ind w:right="34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contained in this Agreement are for reference purposes only and are in no way intended to describe, interpret, define or limit the scope, extent or intent of this Agreement or any provision hereof.</w:t>
      </w:r>
    </w:p>
    <w:p>
      <w:pPr>
        <w:spacing w:after="0" w:line="177" w:lineRule="exact"/>
        <w:rPr>
          <w:rFonts w:ascii="Courier New" w:cs="Courier New" w:eastAsia="Courier New" w:hAnsi="Courier New"/>
          <w:sz w:val="16"/>
          <w:szCs w:val="16"/>
          <w:color w:val="auto"/>
        </w:rPr>
      </w:pPr>
    </w:p>
    <w:p>
      <w:pPr>
        <w:ind w:left="3060" w:hanging="832"/>
        <w:spacing w:after="0"/>
        <w:tabs>
          <w:tab w:leader="none" w:pos="3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Every provision of this</w:t>
      </w:r>
    </w:p>
    <w:p>
      <w:pPr>
        <w:spacing w:after="0" w:line="3" w:lineRule="exact"/>
        <w:rPr>
          <w:rFonts w:ascii="Courier New" w:cs="Courier New" w:eastAsia="Courier New" w:hAnsi="Courier New"/>
          <w:sz w:val="16"/>
          <w:szCs w:val="16"/>
          <w:color w:val="auto"/>
        </w:rPr>
      </w:pPr>
    </w:p>
    <w:p>
      <w:pPr>
        <w:ind w:right="323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Agreement is intended to be severable. If any term or provision hereof is illegal or invalid for any reason whatsoever, such illegality or invalidity shall not affect the validity of the remainder of this Agreement.</w:t>
      </w:r>
    </w:p>
    <w:p>
      <w:pPr>
        <w:spacing w:after="0" w:line="148" w:lineRule="exact"/>
        <w:rPr>
          <w:rFonts w:ascii="Courier New" w:cs="Courier New" w:eastAsia="Courier New" w:hAnsi="Courier New"/>
          <w:sz w:val="16"/>
          <w:szCs w:val="16"/>
          <w:color w:val="auto"/>
        </w:rPr>
      </w:pPr>
    </w:p>
    <w:p>
      <w:pPr>
        <w:ind w:left="3060" w:hanging="832"/>
        <w:spacing w:after="0"/>
        <w:tabs>
          <w:tab w:leader="none" w:pos="3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INTEGRATED AGREEMENT.  This Agreement</w:t>
      </w:r>
    </w:p>
    <w:p>
      <w:pPr>
        <w:spacing w:after="0" w:line="3" w:lineRule="exact"/>
        <w:rPr>
          <w:rFonts w:ascii="Courier New" w:cs="Courier New" w:eastAsia="Courier New" w:hAnsi="Courier New"/>
          <w:sz w:val="16"/>
          <w:szCs w:val="16"/>
          <w:color w:val="auto"/>
        </w:rPr>
      </w:pPr>
    </w:p>
    <w:p>
      <w:pPr>
        <w:ind w:right="323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constitutes the entire 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161" w:lineRule="exact"/>
        <w:rPr>
          <w:rFonts w:ascii="Courier New" w:cs="Courier New" w:eastAsia="Courier New" w:hAnsi="Courier New"/>
          <w:sz w:val="16"/>
          <w:szCs w:val="16"/>
          <w:color w:val="auto"/>
        </w:rPr>
      </w:pPr>
    </w:p>
    <w:p>
      <w:pPr>
        <w:ind w:left="3060" w:hanging="832"/>
        <w:spacing w:after="0"/>
        <w:tabs>
          <w:tab w:leader="none" w:pos="3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No provision of this Agreement</w:t>
      </w:r>
    </w:p>
    <w:p>
      <w:pPr>
        <w:spacing w:after="0" w:line="20" w:lineRule="exact"/>
        <w:rPr>
          <w:rFonts w:ascii="Courier New" w:cs="Courier New" w:eastAsia="Courier New" w:hAnsi="Courier New"/>
          <w:sz w:val="14"/>
          <w:szCs w:val="14"/>
          <w:color w:val="auto"/>
        </w:rPr>
      </w:pPr>
    </w:p>
    <w:p>
      <w:pPr>
        <w:ind w:right="333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163" w:lineRule="exact"/>
        <w:rPr>
          <w:rFonts w:ascii="Courier New" w:cs="Courier New" w:eastAsia="Courier New" w:hAnsi="Courier New"/>
          <w:sz w:val="14"/>
          <w:szCs w:val="14"/>
          <w:color w:val="auto"/>
        </w:rPr>
      </w:pPr>
    </w:p>
    <w:p>
      <w:pPr>
        <w:ind w:left="3060" w:hanging="832"/>
        <w:spacing w:after="0"/>
        <w:tabs>
          <w:tab w:leader="none" w:pos="3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w:t>
      </w:r>
    </w:p>
    <w:p>
      <w:pPr>
        <w:spacing w:after="0" w:line="20" w:lineRule="exact"/>
        <w:rPr>
          <w:rFonts w:ascii="Courier New" w:cs="Courier New" w:eastAsia="Courier New" w:hAnsi="Courier New"/>
          <w:sz w:val="14"/>
          <w:szCs w:val="14"/>
          <w:color w:val="auto"/>
        </w:rPr>
      </w:pPr>
    </w:p>
    <w:p>
      <w:pPr>
        <w:ind w:right="34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hereunder shall be in writing and shall be given by hand delivery to the other party or by registered or certified mail, return receipt requested, postage prepaid, addressed as follows: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012" w:right="1440" w:bottom="1440" w:gutter="0" w:footer="0" w:header="0"/>
        </w:sectPr>
      </w:pPr>
    </w:p>
    <w:bookmarkStart w:id="71" w:name="page72"/>
    <w:bookmarkEnd w:id="71"/>
    <w:p>
      <w:pPr>
        <w:ind w:right="3619" w:firstLine="1674"/>
        <w:spacing w:after="0" w:line="234" w:lineRule="auto"/>
        <w:rPr>
          <w:sz w:val="20"/>
          <w:szCs w:val="20"/>
          <w:color w:val="auto"/>
        </w:rPr>
      </w:pPr>
      <w:r>
        <w:rPr>
          <w:rFonts w:ascii="Courier New" w:cs="Courier New" w:eastAsia="Courier New" w:hAnsi="Courier New"/>
          <w:sz w:val="16"/>
          <w:szCs w:val="16"/>
          <w:color w:val="auto"/>
        </w:rPr>
        <w:t>IF TO THE EXECUTIVE: at the Executive's last address appearing in the payroll/personnel records of the Company.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IF TO THE COMPANY: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International Recovery Corp.</w:t>
      </w:r>
    </w:p>
    <w:p>
      <w:pPr>
        <w:ind w:left="1660"/>
        <w:spacing w:after="0" w:line="236" w:lineRule="auto"/>
        <w:rPr>
          <w:sz w:val="20"/>
          <w:szCs w:val="20"/>
          <w:color w:val="auto"/>
        </w:rPr>
      </w:pPr>
      <w:r>
        <w:rPr>
          <w:rFonts w:ascii="Courier New" w:cs="Courier New" w:eastAsia="Courier New" w:hAnsi="Courier New"/>
          <w:sz w:val="16"/>
          <w:szCs w:val="16"/>
          <w:color w:val="auto"/>
        </w:rPr>
        <w:t>700 S. Royal Poinciana Blvd.</w:t>
      </w:r>
    </w:p>
    <w:p>
      <w:pPr>
        <w:ind w:left="1660"/>
        <w:spacing w:after="0" w:line="237" w:lineRule="auto"/>
        <w:rPr>
          <w:sz w:val="20"/>
          <w:szCs w:val="20"/>
          <w:color w:val="auto"/>
        </w:rPr>
      </w:pPr>
      <w:r>
        <w:rPr>
          <w:rFonts w:ascii="Courier New" w:cs="Courier New" w:eastAsia="Courier New" w:hAnsi="Courier New"/>
          <w:sz w:val="16"/>
          <w:szCs w:val="16"/>
          <w:color w:val="auto"/>
        </w:rPr>
        <w:t>Suite 800</w:t>
      </w:r>
    </w:p>
    <w:p>
      <w:pPr>
        <w:ind w:left="1660"/>
        <w:spacing w:after="0"/>
        <w:tabs>
          <w:tab w:leader="none" w:pos="3420" w:val="left"/>
        </w:tabs>
        <w:rPr>
          <w:sz w:val="20"/>
          <w:szCs w:val="20"/>
          <w:color w:val="auto"/>
        </w:rPr>
      </w:pPr>
      <w:r>
        <w:rPr>
          <w:rFonts w:ascii="Courier New" w:cs="Courier New" w:eastAsia="Courier New" w:hAnsi="Courier New"/>
          <w:sz w:val="16"/>
          <w:szCs w:val="16"/>
          <w:color w:val="auto"/>
        </w:rPr>
        <w:t>Miami Springs, FL</w:t>
      </w:r>
      <w:r>
        <w:rPr>
          <w:sz w:val="20"/>
          <w:szCs w:val="20"/>
          <w:color w:val="auto"/>
        </w:rPr>
        <w:tab/>
      </w:r>
      <w:r>
        <w:rPr>
          <w:rFonts w:ascii="Courier New" w:cs="Courier New" w:eastAsia="Courier New" w:hAnsi="Courier New"/>
          <w:sz w:val="14"/>
          <w:szCs w:val="14"/>
          <w:color w:val="auto"/>
        </w:rPr>
        <w:t>33166</w:t>
      </w:r>
    </w:p>
    <w:p>
      <w:pPr>
        <w:spacing w:after="0" w:line="183"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or to such other address as either party shall have furnished to the other in writing in accordance herewith. Notices and communications shall be effective when actually received by addressee.</w:t>
      </w:r>
    </w:p>
    <w:p>
      <w:pPr>
        <w:spacing w:after="0" w:line="183" w:lineRule="exact"/>
        <w:rPr>
          <w:sz w:val="20"/>
          <w:szCs w:val="20"/>
          <w:color w:val="auto"/>
        </w:rPr>
      </w:pPr>
    </w:p>
    <w:p>
      <w:pPr>
        <w:ind w:right="3619" w:firstLine="1674"/>
        <w:spacing w:after="0" w:line="234" w:lineRule="auto"/>
        <w:rPr>
          <w:sz w:val="20"/>
          <w:szCs w:val="20"/>
          <w:color w:val="auto"/>
        </w:rPr>
      </w:pPr>
      <w:r>
        <w:rPr>
          <w:rFonts w:ascii="Courier New" w:cs="Courier New" w:eastAsia="Courier New" w:hAnsi="Courier New"/>
          <w:sz w:val="16"/>
          <w:szCs w:val="16"/>
          <w:color w:val="auto"/>
        </w:rPr>
        <w:t>IN WITNESS WHEREOF, the undersigned have hereunto set their hands and seals the day and year first above written.</w:t>
      </w:r>
    </w:p>
    <w:p>
      <w:pPr>
        <w:sectPr>
          <w:pgSz w:w="11900" w:h="16838" w:orient="portrait"/>
          <w:cols w:equalWidth="0" w:num="1">
            <w:col w:w="10219"/>
          </w:cols>
          <w:pgMar w:left="240" w:top="119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RECOVERY CORP.</w:t>
      </w:r>
    </w:p>
    <w:p>
      <w:pPr>
        <w:spacing w:after="0" w:line="199" w:lineRule="exact"/>
        <w:rPr>
          <w:sz w:val="20"/>
          <w:szCs w:val="20"/>
          <w:color w:val="auto"/>
        </w:rPr>
      </w:pPr>
    </w:p>
    <w:p>
      <w:pPr>
        <w:sectPr>
          <w:pgSz w:w="11900" w:h="16838" w:orient="portrait"/>
          <w:cols w:equalWidth="0" w:num="2">
            <w:col w:w="3180" w:space="720"/>
            <w:col w:w="6319"/>
          </w:cols>
          <w:pgMar w:left="240" w:top="119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 JANET RUSAKOV</w:t>
      </w:r>
    </w:p>
    <w:p>
      <w:pPr>
        <w:sectPr>
          <w:pgSz w:w="11900" w:h="16838" w:orient="portrait"/>
          <w:cols w:equalWidth="0" w:num="1">
            <w:col w:w="10219"/>
          </w:cols>
          <w:pgMar w:left="240" w:top="1191" w:right="1440"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SONIA ASENCIO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BENBOW</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Benbow, Chairman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77" w:lineRule="exact"/>
        <w:rPr>
          <w:sz w:val="20"/>
          <w:szCs w:val="20"/>
          <w:color w:val="auto"/>
        </w:rPr>
      </w:pPr>
    </w:p>
    <w:p>
      <w:pPr>
        <w:sectPr>
          <w:pgSz w:w="11900" w:h="16838" w:orient="portrait"/>
          <w:cols w:equalWidth="0" w:num="3">
            <w:col w:w="3280" w:space="720"/>
            <w:col w:w="280" w:space="180"/>
            <w:col w:w="5759"/>
          </w:cols>
          <w:pgMar w:left="240" w:top="1191"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JANET RUSAKOV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JERROLD BLAIR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sectPr>
          <w:pgSz w:w="11900" w:h="16838" w:orient="portrait"/>
          <w:cols w:equalWidth="0" w:num="2">
            <w:col w:w="3740" w:space="720"/>
            <w:col w:w="5759"/>
          </w:cols>
          <w:pgMar w:left="240" w:top="119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/S/ SONIA ASENCIO</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19"/>
          </w:cols>
          <w:pgMar w:left="240" w:top="1191" w:right="1440" w:bottom="1440" w:gutter="0" w:footer="0" w:header="0"/>
          <w:type w:val="continuous"/>
        </w:sectPr>
      </w:pPr>
    </w:p>
    <w:bookmarkStart w:id="72" w:name="page73"/>
    <w:bookmarkEnd w:id="72"/>
    <w:p>
      <w:pPr>
        <w:ind w:left="2785"/>
        <w:spacing w:after="0"/>
        <w:rPr>
          <w:sz w:val="20"/>
          <w:szCs w:val="20"/>
          <w:color w:val="auto"/>
        </w:rPr>
      </w:pPr>
      <w:r>
        <w:rPr>
          <w:rFonts w:ascii="Courier New" w:cs="Courier New" w:eastAsia="Courier New" w:hAnsi="Courier New"/>
          <w:sz w:val="16"/>
          <w:szCs w:val="16"/>
          <w:color w:val="auto"/>
        </w:rPr>
        <w:t>EXHIBIT A</w:t>
      </w:r>
    </w:p>
    <w:p>
      <w:pPr>
        <w:ind w:left="2325"/>
        <w:spacing w:after="0" w:line="236" w:lineRule="auto"/>
        <w:rPr>
          <w:sz w:val="20"/>
          <w:szCs w:val="20"/>
          <w:color w:val="auto"/>
        </w:rPr>
      </w:pPr>
      <w:r>
        <w:rPr>
          <w:rFonts w:ascii="Courier New" w:cs="Courier New" w:eastAsia="Courier New" w:hAnsi="Courier New"/>
          <w:sz w:val="16"/>
          <w:szCs w:val="16"/>
          <w:color w:val="auto"/>
        </w:rPr>
        <w:t>SEVERANCE BENEFITS</w:t>
      </w:r>
    </w:p>
    <w:p>
      <w:pPr>
        <w:spacing w:after="0" w:line="177" w:lineRule="exact"/>
        <w:rPr>
          <w:sz w:val="20"/>
          <w:szCs w:val="20"/>
          <w:color w:val="auto"/>
        </w:rPr>
      </w:pPr>
    </w:p>
    <w:p>
      <w:pPr>
        <w:ind w:left="2505" w:hanging="830"/>
        <w:spacing w:after="0"/>
        <w:tabs>
          <w:tab w:leader="none" w:pos="250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PAYMENT.  The Company shall pay to the</w:t>
      </w:r>
    </w:p>
    <w:p>
      <w:pPr>
        <w:spacing w:after="0" w:line="3" w:lineRule="exact"/>
        <w:rPr>
          <w:rFonts w:ascii="Courier New" w:cs="Courier New" w:eastAsia="Courier New" w:hAnsi="Courier New"/>
          <w:sz w:val="16"/>
          <w:szCs w:val="16"/>
          <w:color w:val="auto"/>
        </w:rPr>
      </w:pPr>
    </w:p>
    <w:p>
      <w:pPr>
        <w:ind w:left="5" w:right="45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the aggregate of the amounts determined pursuant to clauses (A) through (C) below:</w:t>
      </w:r>
    </w:p>
    <w:p>
      <w:pPr>
        <w:spacing w:after="0" w:line="177" w:lineRule="exact"/>
        <w:rPr>
          <w:rFonts w:ascii="Courier New" w:cs="Courier New" w:eastAsia="Courier New" w:hAnsi="Courier New"/>
          <w:sz w:val="16"/>
          <w:szCs w:val="16"/>
          <w:color w:val="auto"/>
        </w:rPr>
      </w:pPr>
    </w:p>
    <w:p>
      <w:pPr>
        <w:ind w:left="3345" w:hanging="833"/>
        <w:spacing w:after="0"/>
        <w:tabs>
          <w:tab w:leader="none" w:pos="3345"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already paid, the Executive's Base</w:t>
      </w:r>
    </w:p>
    <w:p>
      <w:pPr>
        <w:spacing w:after="0" w:line="3" w:lineRule="exact"/>
        <w:rPr>
          <w:rFonts w:ascii="Courier New" w:cs="Courier New" w:eastAsia="Courier New" w:hAnsi="Courier New"/>
          <w:sz w:val="16"/>
          <w:szCs w:val="16"/>
          <w:color w:val="auto"/>
        </w:rPr>
      </w:pPr>
    </w:p>
    <w:p>
      <w:pPr>
        <w:ind w:left="5" w:right="41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Salary, unused vacation entitlement and car allowance through the Date of Termination; and</w:t>
      </w:r>
    </w:p>
    <w:p>
      <w:pPr>
        <w:spacing w:after="0" w:line="183" w:lineRule="exact"/>
        <w:rPr>
          <w:rFonts w:ascii="Courier New" w:cs="Courier New" w:eastAsia="Courier New" w:hAnsi="Courier New"/>
          <w:sz w:val="16"/>
          <w:szCs w:val="16"/>
          <w:color w:val="auto"/>
        </w:rPr>
      </w:pPr>
    </w:p>
    <w:p>
      <w:pPr>
        <w:ind w:left="3345" w:hanging="833"/>
        <w:spacing w:after="0"/>
        <w:tabs>
          <w:tab w:leader="none" w:pos="334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Executive's average</w:t>
      </w:r>
    </w:p>
    <w:p>
      <w:pPr>
        <w:spacing w:after="0" w:line="20" w:lineRule="exact"/>
        <w:rPr>
          <w:rFonts w:ascii="Courier New" w:cs="Courier New" w:eastAsia="Courier New" w:hAnsi="Courier New"/>
          <w:sz w:val="14"/>
          <w:szCs w:val="14"/>
          <w:color w:val="auto"/>
        </w:rPr>
      </w:pPr>
    </w:p>
    <w:p>
      <w:pPr>
        <w:ind w:left="5" w:right="34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annual Base Salary and annual car allowance (collectively, the "Average Base") paid to the Executive during the five (5) fiscal years immediately preceding the fiscal year of termination, MULTIPLIED BY three (3); provided, however, that if the Date of Termination is in the last two (2) years of the Employment Term, the Average Base shall be MULTIPLIED BY two</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 and</w:t>
      </w:r>
    </w:p>
    <w:p>
      <w:pPr>
        <w:spacing w:after="0" w:line="183" w:lineRule="exact"/>
        <w:rPr>
          <w:rFonts w:ascii="Courier New" w:cs="Courier New" w:eastAsia="Courier New" w:hAnsi="Courier New"/>
          <w:sz w:val="14"/>
          <w:szCs w:val="14"/>
          <w:color w:val="auto"/>
        </w:rPr>
      </w:pPr>
    </w:p>
    <w:p>
      <w:pPr>
        <w:ind w:left="3345" w:hanging="833"/>
        <w:spacing w:after="0"/>
        <w:tabs>
          <w:tab w:leader="none" w:pos="334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average annual bonus</w:t>
      </w:r>
    </w:p>
    <w:p>
      <w:pPr>
        <w:spacing w:after="0" w:line="20" w:lineRule="exact"/>
        <w:rPr>
          <w:rFonts w:ascii="Courier New" w:cs="Courier New" w:eastAsia="Courier New" w:hAnsi="Courier New"/>
          <w:sz w:val="14"/>
          <w:szCs w:val="14"/>
          <w:color w:val="auto"/>
        </w:rPr>
      </w:pPr>
    </w:p>
    <w:p>
      <w:pPr>
        <w:ind w:left="5"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paid to the Executive during the five (5) fiscal years immediately preceding the fiscal year of termination (the "Average Bonus"); MULTIPLIED BY three (3); provided, however, that if the Date of Termination is in the last two (2) years of the Employment Term, the Average Bonus shall be MULTIPLIED BY two (2).</w:t>
      </w:r>
    </w:p>
    <w:p>
      <w:pPr>
        <w:spacing w:after="0" w:line="186" w:lineRule="exact"/>
        <w:rPr>
          <w:sz w:val="20"/>
          <w:szCs w:val="20"/>
          <w:color w:val="auto"/>
        </w:rPr>
      </w:pPr>
    </w:p>
    <w:p>
      <w:pPr>
        <w:ind w:left="2505"/>
        <w:spacing w:after="0"/>
        <w:rPr>
          <w:sz w:val="20"/>
          <w:szCs w:val="20"/>
          <w:color w:val="auto"/>
        </w:rPr>
      </w:pPr>
      <w:r>
        <w:rPr>
          <w:rFonts w:ascii="Courier New" w:cs="Courier New" w:eastAsia="Courier New" w:hAnsi="Courier New"/>
          <w:sz w:val="14"/>
          <w:szCs w:val="14"/>
          <w:color w:val="auto"/>
        </w:rPr>
        <w:t>The Company shall pay to the Executive the aggregate</w:t>
      </w:r>
    </w:p>
    <w:p>
      <w:pPr>
        <w:spacing w:after="0" w:line="199" w:lineRule="exact"/>
        <w:rPr>
          <w:sz w:val="20"/>
          <w:szCs w:val="20"/>
          <w:color w:val="auto"/>
        </w:rPr>
      </w:pPr>
    </w:p>
    <w:p>
      <w:pPr>
        <w:ind w:left="5" w:right="3519"/>
        <w:spacing w:after="0" w:line="235" w:lineRule="auto"/>
        <w:rPr>
          <w:sz w:val="20"/>
          <w:szCs w:val="20"/>
          <w:color w:val="auto"/>
        </w:rPr>
      </w:pPr>
      <w:r>
        <w:rPr>
          <w:rFonts w:ascii="Courier New" w:cs="Courier New" w:eastAsia="Courier New" w:hAnsi="Courier New"/>
          <w:sz w:val="16"/>
          <w:szCs w:val="16"/>
          <w:color w:val="auto"/>
        </w:rPr>
        <w:t>of the amounts determined pursuant to clauses (A) through (C) above in a lump sum by cashier's check within five (5) business days after the Executive's Date of Termination.</w:t>
      </w:r>
    </w:p>
    <w:p>
      <w:pPr>
        <w:spacing w:after="0" w:line="177" w:lineRule="exact"/>
        <w:rPr>
          <w:sz w:val="20"/>
          <w:szCs w:val="20"/>
          <w:color w:val="auto"/>
        </w:rPr>
      </w:pPr>
    </w:p>
    <w:p>
      <w:pPr>
        <w:ind w:left="2705" w:hanging="1495"/>
        <w:spacing w:after="0"/>
        <w:tabs>
          <w:tab w:leader="none" w:pos="270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MEDICAL, DENTAL, DISABILITY, LIFE INSURANCE</w:t>
      </w:r>
    </w:p>
    <w:p>
      <w:pPr>
        <w:spacing w:after="0" w:line="3" w:lineRule="exact"/>
        <w:rPr>
          <w:rFonts w:ascii="Courier New" w:cs="Courier New" w:eastAsia="Courier New" w:hAnsi="Courier New"/>
          <w:sz w:val="16"/>
          <w:szCs w:val="16"/>
          <w:color w:val="auto"/>
        </w:rPr>
      </w:pPr>
    </w:p>
    <w:p>
      <w:pPr>
        <w:ind w:left="5" w:right="323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AND OTHER SIMILAR PLANS AND PROGRAMS. Until the earlier to occur of (i) the last day of the Severance 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w:t>
      </w:r>
    </w:p>
    <w:p>
      <w:pPr>
        <w:spacing w:after="0" w:line="3" w:lineRule="exact"/>
        <w:rPr>
          <w:rFonts w:ascii="Courier New" w:cs="Courier New" w:eastAsia="Courier New" w:hAnsi="Courier New"/>
          <w:sz w:val="16"/>
          <w:szCs w:val="16"/>
          <w:color w:val="auto"/>
        </w:rPr>
      </w:pPr>
    </w:p>
    <w:p>
      <w:pPr>
        <w:ind w:left="5" w:right="3239" w:hanging="5"/>
        <w:spacing w:after="0" w:line="236" w:lineRule="auto"/>
        <w:tabs>
          <w:tab w:leader="none" w:pos="37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1006" w:right="1440" w:bottom="1440" w:gutter="0" w:footer="0" w:header="0"/>
        </w:sectPr>
      </w:pPr>
    </w:p>
    <w:bookmarkStart w:id="73" w:name="page74"/>
    <w:bookmarkEnd w:id="73"/>
    <w:p>
      <w:pPr>
        <w:ind w:right="3239"/>
        <w:spacing w:after="0" w:line="273" w:lineRule="auto"/>
        <w:rPr>
          <w:sz w:val="20"/>
          <w:szCs w:val="20"/>
          <w:color w:val="auto"/>
        </w:rPr>
      </w:pPr>
      <w:r>
        <w:rPr>
          <w:rFonts w:ascii="Courier New" w:cs="Courier New" w:eastAsia="Courier New" w:hAnsi="Courier New"/>
          <w:sz w:val="14"/>
          <w:szCs w:val="14"/>
          <w:color w:val="auto"/>
        </w:rPr>
        <w:t>providing the Executive and/or his family with the opportunity to receive benefits at least equal to the greatest level of benefits provided by 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 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343" w:lineRule="exact"/>
        <w:rPr>
          <w:sz w:val="20"/>
          <w:szCs w:val="20"/>
          <w:color w:val="auto"/>
        </w:rPr>
      </w:pPr>
    </w:p>
    <w:p>
      <w:pPr>
        <w:ind w:right="3239" w:firstLine="1112"/>
        <w:spacing w:after="0" w:line="273" w:lineRule="auto"/>
        <w:tabs>
          <w:tab w:leader="none" w:pos="269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AND RIGHTS. If the Executive is a participant in 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 The phrase "Termination Date" as used in the Stock Rights shall mean the end of the Severance Period with respect to Non-Qualified Stock Options granted to the Executive, and the Executive's Date of Termination with respect to Incentive Stock Options granted to Executive.</w:t>
      </w:r>
    </w:p>
    <w:p>
      <w:pPr>
        <w:spacing w:after="0" w:line="165" w:lineRule="exact"/>
        <w:rPr>
          <w:sz w:val="20"/>
          <w:szCs w:val="20"/>
          <w:color w:val="auto"/>
        </w:rPr>
      </w:pPr>
    </w:p>
    <w:p>
      <w:pPr>
        <w:ind w:right="3239" w:firstLine="1209"/>
        <w:spacing w:after="0" w:line="236" w:lineRule="auto"/>
        <w:rPr>
          <w:sz w:val="20"/>
          <w:szCs w:val="20"/>
          <w:color w:val="auto"/>
        </w:rPr>
      </w:pPr>
      <w:r>
        <w:rPr>
          <w:rFonts w:ascii="Courier New" w:cs="Courier New" w:eastAsia="Courier New" w:hAnsi="Courier New"/>
          <w:sz w:val="16"/>
          <w:szCs w:val="16"/>
          <w:color w:val="auto"/>
        </w:rPr>
        <w:t>(IV) DEFERRED COMPENSATION. The Company shall pay to the Executive the 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177" w:lineRule="exact"/>
        <w:rPr>
          <w:sz w:val="20"/>
          <w:szCs w:val="20"/>
          <w:color w:val="auto"/>
        </w:rPr>
      </w:pPr>
    </w:p>
    <w:p>
      <w:pPr>
        <w:ind w:left="2700" w:hanging="1030"/>
        <w:spacing w:after="0"/>
        <w:tabs>
          <w:tab w:leader="none" w:pos="27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Notwithstanding anything in the</w:t>
      </w:r>
    </w:p>
    <w:p>
      <w:pPr>
        <w:spacing w:after="0" w:line="3" w:lineRule="exact"/>
        <w:rPr>
          <w:rFonts w:ascii="Courier New" w:cs="Courier New" w:eastAsia="Courier New" w:hAnsi="Courier New"/>
          <w:sz w:val="16"/>
          <w:szCs w:val="16"/>
          <w:color w:val="auto"/>
        </w:rPr>
      </w:pPr>
    </w:p>
    <w:p>
      <w:pPr>
        <w:ind w:right="323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foregoing to the contrary, the Company shall not be obligated to pay any portion of the Severance Benefits otherwise payable to Executive pursuant to Section 5.4 of this Agreement if the Company could not reasonably deduct such portion solely by operation of Section 280G of the Internal Revenue Code of 1986, as amended (the "Code"). For purposes of this limitation: (i) no portion of the Severance Benefits, the receipt or enjoyment of which Executive shall have effectively waived in writing prior to the date of payment, shall be taken into account; (ii) no portion of any Severance Benefits shall be taken into account which, in the opinion of tax counsel selected by the Company's independent auditors and acceptable to Executive, does not constitute a "parachute payment" within the meaning of Section 280G(b)(2) of the Code; (iii) the Severance Benefits to Executive shall be reduced only to the extent necessary so that the total Severance Benefits (other than those referred to in clause (i or ii) ) in their entirety constitute reasonable compensation for services actually rendered within the meaning of Section 280G(b)(4) of the Code, in the opinion of the tax counsel</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012" w:right="1440" w:bottom="1440" w:gutter="0" w:footer="0" w:header="0"/>
        </w:sectPr>
      </w:pPr>
    </w:p>
    <w:bookmarkStart w:id="74" w:name="page75"/>
    <w:bookmarkEnd w:id="74"/>
    <w:p>
      <w:pPr>
        <w:ind w:left="5" w:right="3239"/>
        <w:spacing w:after="0" w:line="235" w:lineRule="auto"/>
        <w:rPr>
          <w:sz w:val="20"/>
          <w:szCs w:val="20"/>
          <w:color w:val="auto"/>
        </w:rPr>
      </w:pPr>
      <w:r>
        <w:rPr>
          <w:rFonts w:ascii="Courier New" w:cs="Courier New" w:eastAsia="Courier New" w:hAnsi="Courier New"/>
          <w:sz w:val="16"/>
          <w:szCs w:val="16"/>
          <w:color w:val="auto"/>
        </w:rPr>
        <w:t>referred to in clause (ii); and (iv) the value of any non-cash benefit or any deferred payment or benefit included in the Severance Benefits shall be determined by the Company's independent auditors in accordance with the principles of Sections 280G(d)(3) and (4) of the Code.</w:t>
      </w:r>
    </w:p>
    <w:p>
      <w:pPr>
        <w:spacing w:after="0" w:line="178"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Dated as of the 15th day of February, 1995.</w:t>
      </w:r>
    </w:p>
    <w:p>
      <w:pPr>
        <w:sectPr>
          <w:pgSz w:w="11900" w:h="16838" w:orient="portrait"/>
          <w:cols w:equalWidth="0" w:num="1">
            <w:col w:w="10224"/>
          </w:cols>
          <w:pgMar w:left="235" w:top="833" w:right="1440" w:bottom="1440" w:gutter="0" w:footer="0" w:header="0"/>
        </w:sectPr>
      </w:pP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 JANET RUSAKOV</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Witness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JERROLD BLAIR</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sectPr>
          <w:pgSz w:w="11900" w:h="16838" w:orient="portrait"/>
          <w:cols w:equalWidth="0" w:num="2">
            <w:col w:w="3285" w:space="720"/>
            <w:col w:w="6219"/>
          </w:cols>
          <w:pgMar w:left="235" w:top="833" w:right="1440" w:bottom="1440" w:gutter="0" w:footer="0" w:header="0"/>
          <w:type w:val="continuous"/>
        </w:sectPr>
      </w:pPr>
    </w:p>
    <w:p>
      <w:pPr>
        <w:ind w:left="185"/>
        <w:spacing w:after="0"/>
        <w:rPr>
          <w:sz w:val="20"/>
          <w:szCs w:val="20"/>
          <w:color w:val="auto"/>
        </w:rPr>
      </w:pPr>
      <w:r>
        <w:rPr>
          <w:rFonts w:ascii="Courier New" w:cs="Courier New" w:eastAsia="Courier New" w:hAnsi="Courier New"/>
          <w:sz w:val="16"/>
          <w:szCs w:val="16"/>
          <w:color w:val="auto"/>
        </w:rPr>
        <w:t>/S/ SONIA ASENCIO</w:t>
      </w:r>
    </w:p>
    <w:p>
      <w:pPr>
        <w:ind w:left="5"/>
        <w:spacing w:after="0" w:line="236" w:lineRule="auto"/>
        <w:rPr>
          <w:sz w:val="20"/>
          <w:szCs w:val="20"/>
          <w:color w:val="auto"/>
        </w:rPr>
      </w:pPr>
      <w:r>
        <w:rPr>
          <w:rFonts w:ascii="Courier New" w:cs="Courier New" w:eastAsia="Courier New" w:hAnsi="Courier New"/>
          <w:sz w:val="16"/>
          <w:szCs w:val="16"/>
          <w:color w:val="auto"/>
        </w:rPr>
        <w:t>- -------------------</w:t>
      </w:r>
    </w:p>
    <w:p>
      <w:pPr>
        <w:ind w:left="5"/>
        <w:spacing w:after="0" w:line="237" w:lineRule="auto"/>
        <w:rPr>
          <w:sz w:val="20"/>
          <w:szCs w:val="20"/>
          <w:color w:val="auto"/>
        </w:rPr>
      </w:pPr>
      <w:r>
        <w:rPr>
          <w:rFonts w:ascii="Courier New" w:cs="Courier New" w:eastAsia="Courier New" w:hAnsi="Courier New"/>
          <w:sz w:val="16"/>
          <w:szCs w:val="16"/>
          <w:color w:val="auto"/>
        </w:rPr>
        <w:t>Witness</w:t>
      </w:r>
    </w:p>
    <w:p>
      <w:pPr>
        <w:spacing w:after="0" w:line="183" w:lineRule="exact"/>
        <w:rPr>
          <w:sz w:val="20"/>
          <w:szCs w:val="20"/>
          <w:color w:val="auto"/>
        </w:rPr>
      </w:pPr>
    </w:p>
    <w:p>
      <w:pPr>
        <w:jc w:val="center"/>
        <w:ind w:right="-384"/>
        <w:spacing w:after="0"/>
        <w:rPr>
          <w:sz w:val="20"/>
          <w:szCs w:val="20"/>
          <w:color w:val="auto"/>
        </w:rPr>
      </w:pPr>
      <w:r>
        <w:rPr>
          <w:rFonts w:ascii="Courier New" w:cs="Courier New" w:eastAsia="Courier New" w:hAnsi="Courier New"/>
          <w:sz w:val="14"/>
          <w:szCs w:val="14"/>
          <w:color w:val="auto"/>
        </w:rPr>
        <w:t>INTERNATIONAL RECOVERY CORP.</w:t>
      </w:r>
    </w:p>
    <w:p>
      <w:pPr>
        <w:sectPr>
          <w:pgSz w:w="11900" w:h="16838" w:orient="portrait"/>
          <w:cols w:equalWidth="0" w:num="1">
            <w:col w:w="10224"/>
          </w:cols>
          <w:pgMar w:left="235" w:top="833" w:right="1440" w:bottom="1440" w:gutter="0" w:footer="0" w:header="0"/>
          <w:type w:val="continuous"/>
        </w:sectPr>
      </w:pPr>
    </w:p>
    <w:p>
      <w:pPr>
        <w:spacing w:after="0" w:line="193"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 JANET RUSAKOV</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Witness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BENBOW</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Benbow, Chairman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77" w:lineRule="exact"/>
        <w:rPr>
          <w:sz w:val="20"/>
          <w:szCs w:val="20"/>
          <w:color w:val="auto"/>
        </w:rPr>
      </w:pPr>
    </w:p>
    <w:p>
      <w:pPr>
        <w:sectPr>
          <w:pgSz w:w="11900" w:h="16838" w:orient="portrait"/>
          <w:cols w:equalWidth="0" w:num="3">
            <w:col w:w="3365" w:space="720"/>
            <w:col w:w="280" w:space="200"/>
            <w:col w:w="5659"/>
          </w:cols>
          <w:pgMar w:left="235" w:top="833" w:right="1440" w:bottom="1440" w:gutter="0" w:footer="0" w:header="0"/>
          <w:type w:val="continuous"/>
        </w:sectPr>
      </w:pPr>
    </w:p>
    <w:p>
      <w:pPr>
        <w:ind w:left="185"/>
        <w:spacing w:after="0"/>
        <w:rPr>
          <w:sz w:val="20"/>
          <w:szCs w:val="20"/>
          <w:color w:val="auto"/>
        </w:rPr>
      </w:pPr>
      <w:r>
        <w:rPr>
          <w:rFonts w:ascii="Courier New" w:cs="Courier New" w:eastAsia="Courier New" w:hAnsi="Courier New"/>
          <w:sz w:val="16"/>
          <w:szCs w:val="16"/>
          <w:color w:val="auto"/>
        </w:rPr>
        <w:t>/S/ SONIA ASENCIO</w:t>
      </w:r>
    </w:p>
    <w:p>
      <w:pPr>
        <w:ind w:left="185" w:hanging="185"/>
        <w:spacing w:after="0" w:line="236" w:lineRule="auto"/>
        <w:tabs>
          <w:tab w:leader="none" w:pos="1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Witness</w:t>
      </w:r>
    </w:p>
    <w:p>
      <w:pPr>
        <w:spacing w:after="0" w:line="362" w:lineRule="exact"/>
        <w:rPr>
          <w:sz w:val="20"/>
          <w:szCs w:val="20"/>
          <w:color w:val="auto"/>
        </w:rPr>
      </w:pPr>
    </w:p>
    <w:p>
      <w:pPr>
        <w:ind w:left="3805"/>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24"/>
          </w:cols>
          <w:pgMar w:left="235" w:top="833" w:right="1440" w:bottom="1440" w:gutter="0" w:footer="0" w:header="0"/>
          <w:type w:val="continuous"/>
        </w:sectPr>
      </w:pPr>
    </w:p>
    <w:bookmarkStart w:id="75" w:name="page76"/>
    <w:bookmarkEnd w:id="75"/>
    <w:p>
      <w:pPr>
        <w:ind w:left="2500"/>
        <w:spacing w:after="0"/>
        <w:rPr>
          <w:sz w:val="20"/>
          <w:szCs w:val="20"/>
          <w:color w:val="auto"/>
        </w:rPr>
      </w:pPr>
      <w:r>
        <w:rPr>
          <w:rFonts w:ascii="Courier New" w:cs="Courier New" w:eastAsia="Courier New" w:hAnsi="Courier New"/>
          <w:sz w:val="16"/>
          <w:szCs w:val="16"/>
          <w:color w:val="auto"/>
        </w:rPr>
        <w:t>AMENDED AND RESTATED</w:t>
      </w:r>
    </w:p>
    <w:p>
      <w:pPr>
        <w:ind w:left="2500"/>
        <w:spacing w:after="0" w:line="236" w:lineRule="auto"/>
        <w:rPr>
          <w:sz w:val="20"/>
          <w:szCs w:val="20"/>
          <w:color w:val="auto"/>
        </w:rPr>
      </w:pPr>
      <w:r>
        <w:rPr>
          <w:rFonts w:ascii="Courier New" w:cs="Courier New" w:eastAsia="Courier New" w:hAnsi="Courier New"/>
          <w:sz w:val="16"/>
          <w:szCs w:val="16"/>
          <w:color w:val="auto"/>
        </w:rPr>
        <w:t>EMPLOYMENT AGREEMENT</w:t>
      </w:r>
    </w:p>
    <w:p>
      <w:pPr>
        <w:spacing w:after="0" w:line="183" w:lineRule="exact"/>
        <w:rPr>
          <w:sz w:val="20"/>
          <w:szCs w:val="20"/>
          <w:color w:val="auto"/>
        </w:rPr>
      </w:pPr>
    </w:p>
    <w:p>
      <w:pPr>
        <w:ind w:right="3239" w:firstLine="1674"/>
        <w:spacing w:after="0" w:line="283" w:lineRule="auto"/>
        <w:rPr>
          <w:sz w:val="20"/>
          <w:szCs w:val="20"/>
          <w:color w:val="auto"/>
        </w:rPr>
      </w:pPr>
      <w:r>
        <w:rPr>
          <w:rFonts w:ascii="Courier New" w:cs="Courier New" w:eastAsia="Courier New" w:hAnsi="Courier New"/>
          <w:sz w:val="14"/>
          <w:szCs w:val="14"/>
          <w:color w:val="auto"/>
        </w:rPr>
        <w:t>THIS AGREEMENT is made and entered into as of this 15th day of February, 1995, by and between International Recovery Corp., a Florida corporation (the "Company"), and Ralph R. Weiser (the "Executive").</w:t>
      </w:r>
    </w:p>
    <w:p>
      <w:pPr>
        <w:spacing w:after="0" w:line="155" w:lineRule="exact"/>
        <w:rPr>
          <w:sz w:val="20"/>
          <w:szCs w:val="20"/>
          <w:color w:val="auto"/>
        </w:rPr>
      </w:pPr>
    </w:p>
    <w:p>
      <w:pPr>
        <w:ind w:right="3239" w:firstLine="1674"/>
        <w:spacing w:after="0" w:line="236" w:lineRule="auto"/>
        <w:rPr>
          <w:sz w:val="20"/>
          <w:szCs w:val="20"/>
          <w:color w:val="auto"/>
        </w:rPr>
      </w:pPr>
      <w:r>
        <w:rPr>
          <w:rFonts w:ascii="Courier New" w:cs="Courier New" w:eastAsia="Courier New" w:hAnsi="Courier New"/>
          <w:sz w:val="16"/>
          <w:szCs w:val="16"/>
          <w:color w:val="auto"/>
        </w:rPr>
        <w:t>RECITALS. Executive is currently employed by the Company pursuant to an employment agreement which expires January 31, 1999. Executive is a senior executive officer of the Company and an integral part of its management. The Company wishes to extend the Executive's employment for an additional one year term, and to extend and expand the scope of the Executive's current non-compete covenant. In order to retain the Executive and to assure both the Executive and the Company of the continuity of management in the event of any actual or threatened Change of Control (as defined in Section 3.1) of the Company, the Company desires to provide severance benefits to the Executive if the Executive's employment with the Company and/or its subsidiaries or affiliates terminates as provided herein concurrent with or subsequent to a Change of Control. The parties have agreed to amend and restate the Executive's employment agreement to reflect the foregoing terms.</w:t>
      </w:r>
    </w:p>
    <w:p>
      <w:pPr>
        <w:spacing w:after="0" w:line="188" w:lineRule="exact"/>
        <w:rPr>
          <w:sz w:val="20"/>
          <w:szCs w:val="20"/>
          <w:color w:val="auto"/>
        </w:rPr>
      </w:pPr>
    </w:p>
    <w:p>
      <w:pPr>
        <w:ind w:right="3339" w:firstLine="1674"/>
        <w:spacing w:after="0" w:line="235" w:lineRule="auto"/>
        <w:rPr>
          <w:sz w:val="20"/>
          <w:szCs w:val="20"/>
          <w:color w:val="auto"/>
        </w:rPr>
      </w:pPr>
      <w:r>
        <w:rPr>
          <w:rFonts w:ascii="Courier New" w:cs="Courier New" w:eastAsia="Courier New" w:hAnsi="Courier New"/>
          <w:sz w:val="16"/>
          <w:szCs w:val="16"/>
          <w:color w:val="auto"/>
        </w:rPr>
        <w:t>NOW, THEREFORE, for and in consideration of the premises and the mutual covenants and agreements herein contained, and for other valuable consideration, the receipt and sufficiency of which are hereby acknowledged, the parties hereby agree as follows:</w:t>
      </w:r>
    </w:p>
    <w:p>
      <w:pPr>
        <w:spacing w:after="0" w:line="178" w:lineRule="exact"/>
        <w:rPr>
          <w:sz w:val="20"/>
          <w:szCs w:val="20"/>
          <w:color w:val="auto"/>
        </w:rPr>
      </w:pPr>
    </w:p>
    <w:p>
      <w:pPr>
        <w:ind w:left="2500" w:hanging="830"/>
        <w:spacing w:after="0"/>
        <w:tabs>
          <w:tab w:leader="none" w:pos="25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Company hereby employs Executive</w:t>
      </w:r>
    </w:p>
    <w:p>
      <w:pPr>
        <w:spacing w:after="0" w:line="3" w:lineRule="exact"/>
        <w:rPr>
          <w:rFonts w:ascii="Courier New" w:cs="Courier New" w:eastAsia="Courier New" w:hAnsi="Courier New"/>
          <w:sz w:val="16"/>
          <w:szCs w:val="16"/>
          <w:color w:val="auto"/>
        </w:rPr>
      </w:pPr>
    </w:p>
    <w:p>
      <w:pPr>
        <w:ind w:right="41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term (the "Employment Term"), commencing on the date hereof and ending on March 31, 2000, to serve as Chairman of the Board. Executive hereby accepts such employment.</w:t>
      </w:r>
    </w:p>
    <w:p>
      <w:pPr>
        <w:spacing w:after="0" w:line="177"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  During the Employment</w:t>
      </w:r>
    </w:p>
    <w:p>
      <w:pPr>
        <w:spacing w:after="0" w:line="3" w:lineRule="exact"/>
        <w:rPr>
          <w:rFonts w:ascii="Courier New" w:cs="Courier New" w:eastAsia="Courier New" w:hAnsi="Courier New"/>
          <w:sz w:val="16"/>
          <w:szCs w:val="16"/>
          <w:color w:val="auto"/>
        </w:rPr>
      </w:pPr>
    </w:p>
    <w:p>
      <w:pPr>
        <w:ind w:right="42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 the Company shall pay Executive the compensation and other amounts set forth below.</w:t>
      </w:r>
    </w:p>
    <w:p>
      <w:pPr>
        <w:spacing w:after="0" w:line="177" w:lineRule="exact"/>
        <w:rPr>
          <w:sz w:val="20"/>
          <w:szCs w:val="20"/>
          <w:color w:val="auto"/>
        </w:rPr>
      </w:pPr>
    </w:p>
    <w:p>
      <w:pPr>
        <w:jc w:val="right"/>
        <w:ind w:right="2879"/>
        <w:spacing w:after="0"/>
        <w:tabs>
          <w:tab w:leader="none" w:pos="4160" w:val="left"/>
          <w:tab w:leader="none" w:pos="28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BASE SALARY.</w:t>
      </w:r>
      <w:r>
        <w:rPr>
          <w:sz w:val="20"/>
          <w:szCs w:val="20"/>
          <w:color w:val="auto"/>
        </w:rPr>
        <w:tab/>
      </w:r>
      <w:r>
        <w:rPr>
          <w:rFonts w:ascii="Courier New" w:cs="Courier New" w:eastAsia="Courier New" w:hAnsi="Courier New"/>
          <w:sz w:val="14"/>
          <w:szCs w:val="14"/>
          <w:color w:val="auto"/>
        </w:rPr>
        <w:t>The Company shall pay Executive</w:t>
      </w:r>
    </w:p>
    <w:p>
      <w:pPr>
        <w:spacing w:after="0" w:line="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an annual salary ("Base Salary") of $250,000 during each year of the Employment Term, payable in equal installments according to the Company's regular payroll practices and subject to such deductions as may be required by law.</w:t>
      </w:r>
    </w:p>
    <w:p>
      <w:pPr>
        <w:spacing w:after="0" w:line="178" w:lineRule="exact"/>
        <w:rPr>
          <w:sz w:val="20"/>
          <w:szCs w:val="20"/>
          <w:color w:val="auto"/>
        </w:rPr>
      </w:pPr>
    </w:p>
    <w:p>
      <w:pPr>
        <w:ind w:left="2320"/>
        <w:spacing w:after="0"/>
        <w:tabs>
          <w:tab w:leader="none" w:pos="31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4"/>
          <w:szCs w:val="14"/>
          <w:color w:val="auto"/>
        </w:rPr>
        <w:t>BONUS.</w:t>
      </w:r>
    </w:p>
    <w:p>
      <w:pPr>
        <w:spacing w:after="0" w:line="183" w:lineRule="exact"/>
        <w:rPr>
          <w:sz w:val="20"/>
          <w:szCs w:val="20"/>
          <w:color w:val="auto"/>
        </w:rPr>
      </w:pPr>
    </w:p>
    <w:p>
      <w:pPr>
        <w:ind w:left="3620" w:hanging="741"/>
        <w:spacing w:after="0"/>
        <w:tabs>
          <w:tab w:leader="none" w:pos="3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subsections (c), (d) and (e)</w:t>
      </w:r>
    </w:p>
    <w:p>
      <w:pPr>
        <w:spacing w:after="0" w:line="20" w:lineRule="exact"/>
        <w:rPr>
          <w:rFonts w:ascii="Courier New" w:cs="Courier New" w:eastAsia="Courier New" w:hAnsi="Courier New"/>
          <w:sz w:val="14"/>
          <w:szCs w:val="14"/>
          <w:color w:val="auto"/>
        </w:rPr>
      </w:pPr>
    </w:p>
    <w:p>
      <w:pPr>
        <w:ind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below, the Company shall pay Executive an annual bonus (the "Bonus") for each fiscal year during the Employment Term, through March 31, 2000, equal to five percent (5%) of the net pre-tax profit of the Company in excess of $2,000,000. For purposes of this Agreement, the net pre-tax profit of the Company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39"/>
        <w:spacing w:after="0" w:line="295" w:lineRule="auto"/>
        <w:rPr>
          <w:sz w:val="20"/>
          <w:szCs w:val="20"/>
          <w:color w:val="auto"/>
        </w:rPr>
      </w:pPr>
      <w:r>
        <w:rPr>
          <w:rFonts w:ascii="Courier New" w:cs="Courier New" w:eastAsia="Courier New" w:hAnsi="Courier New"/>
          <w:sz w:val="14"/>
          <w:szCs w:val="14"/>
          <w:color w:val="auto"/>
        </w:rPr>
        <w:t>determined by the Company's certified public accountants in accordance with generally accepted accounting principles, applied on a consistent basis.</w:t>
      </w:r>
    </w:p>
    <w:p>
      <w:pPr>
        <w:spacing w:after="0" w:line="147" w:lineRule="exact"/>
        <w:rPr>
          <w:sz w:val="20"/>
          <w:szCs w:val="20"/>
          <w:color w:val="auto"/>
        </w:rPr>
      </w:pPr>
    </w:p>
    <w:p>
      <w:pPr>
        <w:ind w:left="3620" w:hanging="741"/>
        <w:spacing w:after="0"/>
        <w:tabs>
          <w:tab w:leader="none" w:pos="3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requirement that the Company achieve</w:t>
      </w:r>
    </w:p>
    <w:p>
      <w:pPr>
        <w:spacing w:after="0" w:line="20" w:lineRule="exact"/>
        <w:rPr>
          <w:rFonts w:ascii="Courier New" w:cs="Courier New" w:eastAsia="Courier New" w:hAnsi="Courier New"/>
          <w:sz w:val="14"/>
          <w:szCs w:val="14"/>
          <w:color w:val="auto"/>
        </w:rPr>
      </w:pPr>
    </w:p>
    <w:p>
      <w:pPr>
        <w:ind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net pre-tax profit required by this Section 2.2 (the "Performance Goal") is intended as a "performance goal" for Executive, as that term is used in Section 162(m)(4)(C) of the Internal Revenue Code of 1986, as amended (the "Code") and Regulations promulgated thereunder. The Company hereby represents and warrants to Executive that such Performance Goal has been determined and approved by a Compensation Committee of the Board of Directors (the "Compensation Committee"), consisting of three (3) outside directors, as required by Code section 162(m)(4)(C)(i) and Regulations promulgated thereunder.</w:t>
      </w:r>
    </w:p>
    <w:p>
      <w:pPr>
        <w:spacing w:after="0" w:line="184" w:lineRule="exact"/>
        <w:rPr>
          <w:rFonts w:ascii="Courier New" w:cs="Courier New" w:eastAsia="Courier New" w:hAnsi="Courier New"/>
          <w:sz w:val="14"/>
          <w:szCs w:val="14"/>
          <w:color w:val="auto"/>
        </w:rPr>
      </w:pPr>
    </w:p>
    <w:p>
      <w:pPr>
        <w:ind w:left="3620" w:hanging="741"/>
        <w:spacing w:after="0"/>
        <w:tabs>
          <w:tab w:leader="none" w:pos="3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w:t>
      </w:r>
    </w:p>
    <w:p>
      <w:pPr>
        <w:spacing w:after="0" w:line="20"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contained herein, in no event shall Executive receive any portion of his Bonus if the Company could not reasonably deduct such portion solely by operation of Code section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section 162(m) and Regulations promulgated thereunder; and (iii) the value of any non-cash benefit or any deferred payment or benefit included in the Executive's remuneration shall be determined by the Company's independent auditors in accordance with the Code.</w:t>
      </w:r>
    </w:p>
    <w:p>
      <w:pPr>
        <w:spacing w:after="0" w:line="188" w:lineRule="exact"/>
        <w:rPr>
          <w:rFonts w:ascii="Courier New" w:cs="Courier New" w:eastAsia="Courier New" w:hAnsi="Courier New"/>
          <w:sz w:val="14"/>
          <w:szCs w:val="14"/>
          <w:color w:val="auto"/>
        </w:rPr>
      </w:pPr>
    </w:p>
    <w:p>
      <w:pPr>
        <w:ind w:left="3620" w:hanging="741"/>
        <w:spacing w:after="0"/>
        <w:tabs>
          <w:tab w:leader="none" w:pos="3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Employment Term,</w:t>
      </w:r>
    </w:p>
    <w:p>
      <w:pPr>
        <w:spacing w:after="0" w:line="20" w:lineRule="exact"/>
        <w:rPr>
          <w:rFonts w:ascii="Courier New" w:cs="Courier New" w:eastAsia="Courier New" w:hAnsi="Courier New"/>
          <w:sz w:val="14"/>
          <w:szCs w:val="14"/>
          <w:color w:val="auto"/>
        </w:rPr>
      </w:pPr>
    </w:p>
    <w:p>
      <w:pPr>
        <w:ind w:right="3239"/>
        <w:spacing w:after="0" w:line="2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request of Executive, the Company shall submit the Performance Goal and other material compensation terms provided herein for approval by the Company's shareholders so as to comply with Code section</w:t>
      </w:r>
    </w:p>
    <w:p>
      <w:pPr>
        <w:sectPr>
          <w:pgSz w:w="11900" w:h="16838" w:orient="portrait"/>
          <w:cols w:equalWidth="0" w:num="1">
            <w:col w:w="10219"/>
          </w:cols>
          <w:pgMar w:left="240" w:top="314" w:right="1440" w:bottom="0" w:gutter="0" w:footer="0" w:header="0"/>
        </w:sectPr>
      </w:pPr>
    </w:p>
    <w:bookmarkStart w:id="76" w:name="page77"/>
    <w:bookmarkEnd w:id="76"/>
    <w:p>
      <w:pPr>
        <w:ind w:left="5" w:right="3239"/>
        <w:spacing w:after="0" w:line="270" w:lineRule="auto"/>
        <w:rPr>
          <w:sz w:val="20"/>
          <w:szCs w:val="20"/>
          <w:color w:val="auto"/>
        </w:rPr>
      </w:pPr>
      <w:r>
        <w:rPr>
          <w:rFonts w:ascii="Courier New" w:cs="Courier New" w:eastAsia="Courier New" w:hAnsi="Courier New"/>
          <w:sz w:val="14"/>
          <w:szCs w:val="14"/>
          <w:color w:val="auto"/>
        </w:rPr>
        <w:t>162(m)(4)(C)(ii) and Regulations promulgated thereunder, and the Company shall use reasonable efforts to secure such shareholder approval; provided,</w:t>
      </w:r>
    </w:p>
    <w:p>
      <w:pPr>
        <w:ind w:left="365" w:hanging="365"/>
        <w:spacing w:after="0" w:line="233" w:lineRule="auto"/>
        <w:tabs>
          <w:tab w:leader="none" w:pos="36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call a special shareholders</w:t>
      </w:r>
    </w:p>
    <w:p>
      <w:pPr>
        <w:spacing w:after="0" w:line="3" w:lineRule="exact"/>
        <w:rPr>
          <w:rFonts w:ascii="Courier New" w:cs="Courier New" w:eastAsia="Courier New" w:hAnsi="Courier New"/>
          <w:sz w:val="16"/>
          <w:szCs w:val="16"/>
          <w:color w:val="auto"/>
        </w:rPr>
      </w:pPr>
    </w:p>
    <w:p>
      <w:pPr>
        <w:ind w:left="5"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meeting for the sole purpose of complying with this section; and (ii) in order to have such approval sought at the Company's annual shareholders meeting, Executive shall 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 have the right to submit the Performance Goals and compensation arrangements of all executive officers for shareholder approval at the same meeting.</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142" w:right="1440" w:bottom="1440" w:gutter="0" w:footer="0" w:header="0"/>
        </w:sectPr>
      </w:pPr>
    </w:p>
    <w:bookmarkStart w:id="77" w:name="page78"/>
    <w:bookmarkEnd w:id="77"/>
    <w:p>
      <w:pPr>
        <w:ind w:right="3239" w:firstLine="2879"/>
        <w:spacing w:after="0" w:line="235" w:lineRule="auto"/>
        <w:tabs>
          <w:tab w:leader="none" w:pos="362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to comply with Code section 162(m)(4)(C)(iii), the Company's Compensation Committee shall, before the payment of any Bonus, certify in writing, if applicable, that the Performance Goal and any other material terms hereof were satisfied, as necessary to comply with Code section 162(m)(4)(C)(iii).</w:t>
      </w:r>
    </w:p>
    <w:p>
      <w:pPr>
        <w:spacing w:after="0" w:line="179" w:lineRule="exact"/>
        <w:rPr>
          <w:rFonts w:ascii="Courier New" w:cs="Courier New" w:eastAsia="Courier New" w:hAnsi="Courier New"/>
          <w:sz w:val="16"/>
          <w:szCs w:val="16"/>
          <w:color w:val="auto"/>
        </w:rPr>
      </w:pPr>
    </w:p>
    <w:p>
      <w:pPr>
        <w:ind w:left="3620" w:hanging="741"/>
        <w:spacing w:after="0"/>
        <w:tabs>
          <w:tab w:leader="none" w:pos="36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2.2 are</w:t>
      </w:r>
    </w:p>
    <w:p>
      <w:pPr>
        <w:spacing w:after="0" w:line="3" w:lineRule="exact"/>
        <w:rPr>
          <w:rFonts w:ascii="Courier New" w:cs="Courier New" w:eastAsia="Courier New" w:hAnsi="Courier New"/>
          <w:sz w:val="16"/>
          <w:szCs w:val="16"/>
          <w:color w:val="auto"/>
        </w:rPr>
      </w:pPr>
    </w:p>
    <w:p>
      <w:pPr>
        <w:ind w:right="287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intended, and shall be interpreted, to comply with the requirements of Code section 162(m) so as to permit the Company to deduct all payments of applicable employee remuneration made to Executive pursuant to this Agreement.</w:t>
      </w:r>
    </w:p>
    <w:p>
      <w:pPr>
        <w:spacing w:after="0" w:line="155" w:lineRule="exact"/>
        <w:rPr>
          <w:sz w:val="20"/>
          <w:szCs w:val="20"/>
          <w:color w:val="auto"/>
        </w:rPr>
      </w:pPr>
    </w:p>
    <w:p>
      <w:pPr>
        <w:ind w:right="2779" w:firstLine="2233"/>
        <w:spacing w:after="0" w:line="234" w:lineRule="auto"/>
        <w:rPr>
          <w:sz w:val="20"/>
          <w:szCs w:val="20"/>
          <w:color w:val="auto"/>
        </w:rPr>
      </w:pPr>
      <w:r>
        <w:rPr>
          <w:rFonts w:ascii="Courier New" w:cs="Courier New" w:eastAsia="Courier New" w:hAnsi="Courier New"/>
          <w:sz w:val="16"/>
          <w:szCs w:val="16"/>
          <w:color w:val="auto"/>
        </w:rPr>
        <w:t>2.3 BENEFITS. Executive: (i) shall be entitled to receive all medical, health, disability, life and dental insurance, and</w:t>
      </w:r>
    </w:p>
    <w:p>
      <w:pPr>
        <w:spacing w:after="0" w:line="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6"/>
          <w:szCs w:val="16"/>
          <w:color w:val="auto"/>
        </w:rPr>
        <w:t>other similar employee benefit programs, which may be provided by the Company to its employees from time-to-time; (ii) shall be entitled to reimbursement for reasonable and necessary out-of-pocket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and (iv) shall be entitled to six (6) weeks paid vacation each calendar year, and any vacation time not taken during any calendar year shall be carried over into subsequent calendar years.</w:t>
      </w:r>
    </w:p>
    <w:p>
      <w:pPr>
        <w:spacing w:after="0" w:line="179" w:lineRule="exact"/>
        <w:rPr>
          <w:sz w:val="20"/>
          <w:szCs w:val="20"/>
          <w:color w:val="auto"/>
        </w:rPr>
      </w:pPr>
    </w:p>
    <w:p>
      <w:pPr>
        <w:ind w:left="2500" w:hanging="830"/>
        <w:spacing w:after="0"/>
        <w:tabs>
          <w:tab w:leader="none" w:pos="25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77" w:lineRule="exact"/>
        <w:rPr>
          <w:sz w:val="20"/>
          <w:szCs w:val="20"/>
          <w:color w:val="auto"/>
        </w:rPr>
      </w:pPr>
    </w:p>
    <w:p>
      <w:pPr>
        <w:ind w:left="2220"/>
        <w:spacing w:after="0"/>
        <w:tabs>
          <w:tab w:leader="none" w:pos="3040" w:val="left"/>
          <w:tab w:leader="none" w:pos="49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CHANGE OF CONTROL.</w:t>
      </w:r>
      <w:r>
        <w:rPr>
          <w:sz w:val="20"/>
          <w:szCs w:val="20"/>
          <w:color w:val="auto"/>
        </w:rPr>
        <w:tab/>
      </w:r>
      <w:r>
        <w:rPr>
          <w:rFonts w:ascii="Courier New" w:cs="Courier New" w:eastAsia="Courier New" w:hAnsi="Courier New"/>
          <w:sz w:val="14"/>
          <w:szCs w:val="14"/>
          <w:color w:val="auto"/>
        </w:rPr>
        <w:t>For purposes of this</w:t>
      </w:r>
    </w:p>
    <w:p>
      <w:pPr>
        <w:spacing w:after="0" w:line="236" w:lineRule="auto"/>
        <w:rPr>
          <w:sz w:val="20"/>
          <w:szCs w:val="20"/>
          <w:color w:val="auto"/>
        </w:rPr>
      </w:pPr>
      <w:r>
        <w:rPr>
          <w:rFonts w:ascii="Courier New" w:cs="Courier New" w:eastAsia="Courier New" w:hAnsi="Courier New"/>
          <w:sz w:val="16"/>
          <w:szCs w:val="16"/>
          <w:color w:val="auto"/>
        </w:rPr>
        <w:t>Agreement, a "Change of Control" shall be deemed to have occurred if:</w:t>
      </w:r>
    </w:p>
    <w:p>
      <w:pPr>
        <w:spacing w:after="0" w:line="177" w:lineRule="exact"/>
        <w:rPr>
          <w:sz w:val="20"/>
          <w:szCs w:val="20"/>
          <w:color w:val="auto"/>
        </w:rPr>
      </w:pPr>
    </w:p>
    <w:p>
      <w:pPr>
        <w:ind w:left="3620" w:hanging="741"/>
        <w:spacing w:after="0"/>
        <w:tabs>
          <w:tab w:leader="none" w:pos="36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third person, including a "group" as</w:t>
      </w:r>
    </w:p>
    <w:p>
      <w:pPr>
        <w:spacing w:after="0" w:line="3" w:lineRule="exact"/>
        <w:rPr>
          <w:rFonts w:ascii="Courier New" w:cs="Courier New" w:eastAsia="Courier New" w:hAnsi="Courier New"/>
          <w:sz w:val="16"/>
          <w:szCs w:val="16"/>
          <w:color w:val="auto"/>
        </w:rPr>
      </w:pPr>
    </w:p>
    <w:p>
      <w:pPr>
        <w:ind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177" w:lineRule="exact"/>
        <w:rPr>
          <w:rFonts w:ascii="Courier New" w:cs="Courier New" w:eastAsia="Courier New" w:hAnsi="Courier New"/>
          <w:sz w:val="16"/>
          <w:szCs w:val="16"/>
          <w:color w:val="auto"/>
        </w:rPr>
      </w:pPr>
    </w:p>
    <w:p>
      <w:pPr>
        <w:ind w:left="3720" w:hanging="748"/>
        <w:spacing w:after="0"/>
        <w:tabs>
          <w:tab w:leader="none" w:pos="372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the date</w:t>
      </w:r>
    </w:p>
    <w:p>
      <w:pPr>
        <w:spacing w:after="0" w:line="3" w:lineRule="exact"/>
        <w:rPr>
          <w:rFonts w:ascii="Courier New" w:cs="Courier New" w:eastAsia="Courier New" w:hAnsi="Courier New"/>
          <w:sz w:val="16"/>
          <w:szCs w:val="16"/>
          <w:color w:val="auto"/>
        </w:rPr>
      </w:pPr>
    </w:p>
    <w:p>
      <w:pPr>
        <w:ind w:right="33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hereof, constitute the Board of Directors of the Company (the "Board" generally and as of the date hereof the "Incumbent Board") cease for any reason to constitute a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12" w:right="1440" w:bottom="1440" w:gutter="0" w:footer="0" w:header="0"/>
        </w:sectPr>
      </w:pPr>
    </w:p>
    <w:bookmarkStart w:id="78" w:name="page79"/>
    <w:bookmarkEnd w:id="78"/>
    <w:p>
      <w:pPr>
        <w:ind w:left="5" w:right="3339"/>
        <w:spacing w:after="0" w:line="270" w:lineRule="auto"/>
        <w:rPr>
          <w:sz w:val="20"/>
          <w:szCs w:val="20"/>
          <w:color w:val="auto"/>
        </w:rPr>
      </w:pPr>
      <w:r>
        <w:rPr>
          <w:rFonts w:ascii="Courier New" w:cs="Courier New" w:eastAsia="Courier New" w:hAnsi="Courier New"/>
          <w:sz w:val="14"/>
          <w:szCs w:val="14"/>
          <w:color w:val="auto"/>
        </w:rPr>
        <w:t>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as such terms are used in Rule</w:t>
      </w:r>
    </w:p>
    <w:p>
      <w:pPr>
        <w:spacing w:after="0" w:line="5" w:lineRule="exact"/>
        <w:rPr>
          <w:sz w:val="20"/>
          <w:szCs w:val="20"/>
          <w:color w:val="auto"/>
        </w:rPr>
      </w:pPr>
    </w:p>
    <w:p>
      <w:pPr>
        <w:jc w:val="both"/>
        <w:ind w:left="5" w:right="3339"/>
        <w:spacing w:after="0" w:line="235" w:lineRule="auto"/>
        <w:rPr>
          <w:sz w:val="20"/>
          <w:szCs w:val="20"/>
          <w:color w:val="auto"/>
        </w:rPr>
      </w:pPr>
      <w:r>
        <w:rPr>
          <w:rFonts w:ascii="Courier New" w:cs="Courier New" w:eastAsia="Courier New" w:hAnsi="Courier New"/>
          <w:sz w:val="16"/>
          <w:szCs w:val="16"/>
          <w:color w:val="auto"/>
        </w:rPr>
        <w:t>14a-11 of Regulation 14A promulgated under the Exchange Act) shall be, for purposes of this Agreement, considered as though such person were a member of the Incumbent Board; or</w:t>
      </w:r>
    </w:p>
    <w:p>
      <w:pPr>
        <w:spacing w:after="0" w:line="183" w:lineRule="exact"/>
        <w:rPr>
          <w:sz w:val="20"/>
          <w:szCs w:val="20"/>
          <w:color w:val="auto"/>
        </w:rPr>
      </w:pPr>
    </w:p>
    <w:p>
      <w:pPr>
        <w:ind w:left="3725" w:hanging="748"/>
        <w:spacing w:after="0"/>
        <w:tabs>
          <w:tab w:leader="none" w:pos="372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liquidation or dissolution of</w:t>
      </w:r>
    </w:p>
    <w:p>
      <w:pPr>
        <w:spacing w:after="0" w:line="20" w:lineRule="exact"/>
        <w:rPr>
          <w:rFonts w:ascii="Courier New" w:cs="Courier New" w:eastAsia="Courier New" w:hAnsi="Courier New"/>
          <w:sz w:val="14"/>
          <w:szCs w:val="14"/>
          <w:color w:val="auto"/>
        </w:rPr>
      </w:pPr>
    </w:p>
    <w:p>
      <w:pPr>
        <w:ind w:left="5"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Company or a sale of all or substantially all of the assets of either or both (i) the business group which constitutes the aviation and marine fuel sales division of the Company as of the date hereof, or (ii) the business group which constitutes the used oil division of the Company as of the date hereof; or</w:t>
      </w:r>
    </w:p>
    <w:p>
      <w:pPr>
        <w:spacing w:after="0" w:line="185" w:lineRule="exact"/>
        <w:rPr>
          <w:rFonts w:ascii="Courier New" w:cs="Courier New" w:eastAsia="Courier New" w:hAnsi="Courier New"/>
          <w:sz w:val="14"/>
          <w:szCs w:val="14"/>
          <w:color w:val="auto"/>
        </w:rPr>
      </w:pPr>
    </w:p>
    <w:p>
      <w:pPr>
        <w:ind w:left="3725" w:hanging="748"/>
        <w:spacing w:after="0"/>
        <w:tabs>
          <w:tab w:leader="none" w:pos="372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enters into an agreement</w:t>
      </w:r>
    </w:p>
    <w:p>
      <w:pPr>
        <w:spacing w:after="0" w:line="20" w:lineRule="exact"/>
        <w:rPr>
          <w:rFonts w:ascii="Courier New" w:cs="Courier New" w:eastAsia="Courier New" w:hAnsi="Courier New"/>
          <w:sz w:val="14"/>
          <w:szCs w:val="14"/>
          <w:color w:val="auto"/>
        </w:rPr>
      </w:pPr>
    </w:p>
    <w:p>
      <w:pPr>
        <w:ind w:left="5"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or series of agreements or the Board passes a resolution which will result in the occurrence of any of the matters described in Subsections (a), (b) or (c), and the Executive's employment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 (b) or (c), a Change of Control shall be deemed to have retroactively occurred on the date of the execution of the earliest of such agreement(s) or the passage of such resolution.</w:t>
      </w:r>
    </w:p>
    <w:p>
      <w:pPr>
        <w:spacing w:after="0" w:line="186" w:lineRule="exact"/>
        <w:rPr>
          <w:sz w:val="20"/>
          <w:szCs w:val="20"/>
          <w:color w:val="auto"/>
        </w:rPr>
      </w:pPr>
    </w:p>
    <w:p>
      <w:pPr>
        <w:ind w:left="5" w:right="2779" w:firstLine="2233"/>
        <w:spacing w:after="0" w:line="235" w:lineRule="auto"/>
        <w:rPr>
          <w:sz w:val="20"/>
          <w:szCs w:val="20"/>
          <w:color w:val="auto"/>
        </w:rPr>
      </w:pPr>
      <w:r>
        <w:rPr>
          <w:rFonts w:ascii="Courier New" w:cs="Courier New" w:eastAsia="Courier New" w:hAnsi="Courier New"/>
          <w:sz w:val="16"/>
          <w:szCs w:val="16"/>
          <w:color w:val="auto"/>
        </w:rPr>
        <w:t>3.2 CAUSE. For purposes of this Agreement, "Cause" means (i) an act or acts of fraud, misappropriation, or embezzlement on the Executive's part which result in or are intended to result in his personal enrichment at the expense of the Company or its subsidiaries or affiliates,</w:t>
      </w:r>
    </w:p>
    <w:p>
      <w:pPr>
        <w:spacing w:after="0" w:line="6" w:lineRule="exact"/>
        <w:rPr>
          <w:sz w:val="20"/>
          <w:szCs w:val="20"/>
          <w:color w:val="auto"/>
        </w:rPr>
      </w:pPr>
    </w:p>
    <w:p>
      <w:pPr>
        <w:jc w:val="both"/>
        <w:ind w:left="5" w:right="3239" w:hanging="5"/>
        <w:spacing w:after="0" w:line="235" w:lineRule="auto"/>
        <w:tabs>
          <w:tab w:leader="none" w:pos="47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a felony, or (iii) willful failure to report to work for more than thirty (30) continuous days not attributable to eligible vacation or supported by a licensed physician's statement.</w:t>
      </w:r>
    </w:p>
    <w:p>
      <w:pPr>
        <w:spacing w:after="0" w:line="183" w:lineRule="exact"/>
        <w:rPr>
          <w:sz w:val="20"/>
          <w:szCs w:val="20"/>
          <w:color w:val="auto"/>
        </w:rPr>
      </w:pPr>
    </w:p>
    <w:p>
      <w:pPr>
        <w:ind w:left="5" w:right="3059" w:firstLine="2233"/>
        <w:spacing w:after="0" w:line="236" w:lineRule="auto"/>
        <w:rPr>
          <w:sz w:val="20"/>
          <w:szCs w:val="20"/>
          <w:color w:val="auto"/>
        </w:rPr>
      </w:pPr>
      <w:r>
        <w:rPr>
          <w:rFonts w:ascii="Courier New" w:cs="Courier New" w:eastAsia="Courier New" w:hAnsi="Courier New"/>
          <w:sz w:val="16"/>
          <w:szCs w:val="16"/>
          <w:color w:val="auto"/>
        </w:rPr>
        <w:t>3.3 DISABILITY. For purposes of this Agreement, "Disability" means disability which after the expiration of more than twelve (12) months after its commencement is determined to be total and permanent by an independent physician mutually agreeable to the parties. Notwithstanding any disability of Executive, he shall continue to receive all compensation and benefits provided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1012" w:right="1440" w:bottom="1440" w:gutter="0" w:footer="0" w:header="0"/>
        </w:sectPr>
      </w:pPr>
    </w:p>
    <w:bookmarkStart w:id="79" w:name="page80"/>
    <w:bookmarkEnd w:id="79"/>
    <w:p>
      <w:pPr>
        <w:ind w:right="3239"/>
        <w:spacing w:after="0" w:line="234" w:lineRule="auto"/>
        <w:rPr>
          <w:sz w:val="20"/>
          <w:szCs w:val="20"/>
          <w:color w:val="auto"/>
        </w:rPr>
      </w:pPr>
      <w:r>
        <w:rPr>
          <w:rFonts w:ascii="Courier New" w:cs="Courier New" w:eastAsia="Courier New" w:hAnsi="Courier New"/>
          <w:sz w:val="16"/>
          <w:szCs w:val="16"/>
          <w:color w:val="auto"/>
        </w:rPr>
        <w:t>under Section 2 until his employment is actually terminated, by a Notice of Termination pursuant to Section 4.2.</w:t>
      </w:r>
    </w:p>
    <w:p>
      <w:pPr>
        <w:spacing w:after="0" w:line="177" w:lineRule="exact"/>
        <w:rPr>
          <w:sz w:val="20"/>
          <w:szCs w:val="20"/>
          <w:color w:val="auto"/>
        </w:rPr>
      </w:pPr>
    </w:p>
    <w:p>
      <w:pPr>
        <w:ind w:left="2220"/>
        <w:spacing w:after="0"/>
        <w:tabs>
          <w:tab w:leader="none" w:pos="3040" w:val="left"/>
          <w:tab w:leader="none" w:pos="434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GOOD REASON.</w:t>
      </w:r>
      <w:r>
        <w:rPr>
          <w:sz w:val="20"/>
          <w:szCs w:val="20"/>
          <w:color w:val="auto"/>
        </w:rPr>
        <w:tab/>
      </w:r>
      <w:r>
        <w:rPr>
          <w:rFonts w:ascii="Courier New" w:cs="Courier New" w:eastAsia="Courier New" w:hAnsi="Courier New"/>
          <w:sz w:val="14"/>
          <w:szCs w:val="14"/>
          <w:color w:val="auto"/>
        </w:rPr>
        <w:t>For purposes of this Agreement,</w:t>
      </w:r>
    </w:p>
    <w:p>
      <w:pPr>
        <w:spacing w:after="0" w:line="236" w:lineRule="auto"/>
        <w:rPr>
          <w:sz w:val="20"/>
          <w:szCs w:val="20"/>
          <w:color w:val="auto"/>
        </w:rPr>
      </w:pPr>
      <w:r>
        <w:rPr>
          <w:rFonts w:ascii="Courier New" w:cs="Courier New" w:eastAsia="Courier New" w:hAnsi="Courier New"/>
          <w:sz w:val="16"/>
          <w:szCs w:val="16"/>
          <w:color w:val="auto"/>
        </w:rPr>
        <w:t>"Good Reason" means:</w:t>
      </w:r>
    </w:p>
    <w:p>
      <w:pPr>
        <w:spacing w:after="0" w:line="177" w:lineRule="exact"/>
        <w:rPr>
          <w:sz w:val="20"/>
          <w:szCs w:val="20"/>
          <w:color w:val="auto"/>
        </w:rPr>
      </w:pPr>
    </w:p>
    <w:p>
      <w:pPr>
        <w:ind w:left="3620" w:hanging="741"/>
        <w:spacing w:after="0"/>
        <w:tabs>
          <w:tab w:leader="none" w:pos="36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and/or its</w:t>
      </w:r>
    </w:p>
    <w:p>
      <w:pPr>
        <w:spacing w:after="0" w:line="3" w:lineRule="exact"/>
        <w:rPr>
          <w:rFonts w:ascii="Courier New" w:cs="Courier New" w:eastAsia="Courier New" w:hAnsi="Courier New"/>
          <w:sz w:val="16"/>
          <w:szCs w:val="16"/>
          <w:color w:val="auto"/>
        </w:rPr>
      </w:pPr>
    </w:p>
    <w:p>
      <w:pPr>
        <w:ind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or affiliates to furnish the Executive and/or where applicable, his family, with: (i) total annual cash compensation (including annual bonus), (ii) 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 and/or its subsidiaries or affiliates during the six (6)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187" w:lineRule="exact"/>
        <w:rPr>
          <w:rFonts w:ascii="Courier New" w:cs="Courier New" w:eastAsia="Courier New" w:hAnsi="Courier New"/>
          <w:sz w:val="16"/>
          <w:szCs w:val="16"/>
          <w:color w:val="auto"/>
        </w:rPr>
      </w:pPr>
    </w:p>
    <w:p>
      <w:pPr>
        <w:ind w:left="3620" w:hanging="741"/>
        <w:spacing w:after="0"/>
        <w:tabs>
          <w:tab w:leader="none" w:pos="36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and/or its subsidiaries' or</w:t>
      </w:r>
    </w:p>
    <w:p>
      <w:pPr>
        <w:spacing w:after="0" w:line="20"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affiliates' requiring the Executive to be based or to perform services at any site or location more than fifteen (15) miles from the site or location at which the Executive is based at the time of the Change of Control, except for travel reasonably required in the performance of the Executive's responsibilities (which does not materially exceed the level of travel required of the Executive in the six (6) month period immediately preceding the Change of Control);</w:t>
      </w:r>
    </w:p>
    <w:p>
      <w:pPr>
        <w:spacing w:after="0" w:line="177" w:lineRule="exact"/>
        <w:rPr>
          <w:rFonts w:ascii="Courier New" w:cs="Courier New" w:eastAsia="Courier New" w:hAnsi="Courier New"/>
          <w:sz w:val="14"/>
          <w:szCs w:val="14"/>
          <w:color w:val="auto"/>
        </w:rPr>
      </w:pPr>
    </w:p>
    <w:p>
      <w:pPr>
        <w:ind w:left="3340" w:hanging="368"/>
        <w:spacing w:after="0"/>
        <w:tabs>
          <w:tab w:leader="none" w:pos="334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obtain the</w:t>
      </w:r>
    </w:p>
    <w:p>
      <w:pPr>
        <w:spacing w:after="0" w:line="3" w:lineRule="exact"/>
        <w:rPr>
          <w:rFonts w:ascii="Courier New" w:cs="Courier New" w:eastAsia="Courier New" w:hAnsi="Courier New"/>
          <w:sz w:val="16"/>
          <w:szCs w:val="16"/>
          <w:color w:val="auto"/>
        </w:rPr>
      </w:pPr>
    </w:p>
    <w:p>
      <w:pPr>
        <w:ind w:right="41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and agreement to perform this Agreement by a successor as contemplated by Section 9; or</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express prior written consent</w:t>
      </w:r>
    </w:p>
    <w:p>
      <w:pPr>
        <w:spacing w:after="0" w:line="4" w:lineRule="exact"/>
        <w:rPr>
          <w:sz w:val="20"/>
          <w:szCs w:val="20"/>
          <w:color w:val="auto"/>
        </w:rPr>
      </w:pPr>
    </w:p>
    <w:p>
      <w:pPr>
        <w:ind w:right="3239"/>
        <w:spacing w:after="0" w:line="274" w:lineRule="auto"/>
        <w:rPr>
          <w:sz w:val="20"/>
          <w:szCs w:val="20"/>
          <w:color w:val="auto"/>
        </w:rPr>
      </w:pPr>
      <w:r>
        <w:rPr>
          <w:rFonts w:ascii="Courier New" w:cs="Courier New" w:eastAsia="Courier New" w:hAnsi="Courier New"/>
          <w:sz w:val="14"/>
          <w:szCs w:val="14"/>
          <w:color w:val="auto"/>
        </w:rPr>
        <w:t>of the Executive (which consent the Executive has the absolute right to withhold), (i) the assignment to the Executive of any duties inconsistent in any material respect with the highest level of the Executive's position (including titles and reporting relationships), authority, responsibilities or status as in effect at any time during the six (6) month period immediately preceding the Change of Control, or (ii) any other material adverse change in such position, authority, responsibility or status.</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For the purposes of this Section 3.4, any good faith</w:t>
      </w:r>
    </w:p>
    <w:p>
      <w:pPr>
        <w:spacing w:after="0" w:line="20" w:lineRule="exact"/>
        <w:rPr>
          <w:sz w:val="20"/>
          <w:szCs w:val="20"/>
          <w:color w:val="auto"/>
        </w:rPr>
      </w:pPr>
    </w:p>
    <w:p>
      <w:pPr>
        <w:ind w:right="4179"/>
        <w:spacing w:after="0" w:line="283" w:lineRule="auto"/>
        <w:rPr>
          <w:sz w:val="20"/>
          <w:szCs w:val="20"/>
          <w:color w:val="auto"/>
        </w:rPr>
      </w:pPr>
      <w:r>
        <w:rPr>
          <w:rFonts w:ascii="Courier New" w:cs="Courier New" w:eastAsia="Courier New" w:hAnsi="Courier New"/>
          <w:sz w:val="14"/>
          <w:szCs w:val="14"/>
          <w:color w:val="auto"/>
        </w:rPr>
        <w:t>interpretation by the Executive of the foregoing definitions of "Good Reason" shall be conclusive on the Company. No termination by Executive for Good Reason shall be deemed a voluntary</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012" w:right="1440" w:bottom="1440" w:gutter="0" w:footer="0" w:header="0"/>
        </w:sectPr>
      </w:pPr>
    </w:p>
    <w:bookmarkStart w:id="80" w:name="page81"/>
    <w:bookmarkEnd w:id="80"/>
    <w:p>
      <w:pPr>
        <w:ind w:left="5" w:right="3239"/>
        <w:spacing w:after="0" w:line="234" w:lineRule="auto"/>
        <w:rPr>
          <w:sz w:val="20"/>
          <w:szCs w:val="20"/>
          <w:color w:val="auto"/>
        </w:rPr>
      </w:pPr>
      <w:r>
        <w:rPr>
          <w:rFonts w:ascii="Courier New" w:cs="Courier New" w:eastAsia="Courier New" w:hAnsi="Courier New"/>
          <w:sz w:val="16"/>
          <w:szCs w:val="16"/>
          <w:color w:val="auto"/>
        </w:rPr>
        <w:t>termination by Executive for purposes of any stock option, employee benefit or similar plan of the Company.</w:t>
      </w:r>
    </w:p>
    <w:p>
      <w:pPr>
        <w:spacing w:after="0" w:line="183" w:lineRule="exact"/>
        <w:rPr>
          <w:sz w:val="20"/>
          <w:szCs w:val="20"/>
          <w:color w:val="auto"/>
        </w:rPr>
      </w:pPr>
    </w:p>
    <w:p>
      <w:pPr>
        <w:ind w:left="5" w:right="3059" w:firstLine="2233"/>
        <w:spacing w:after="0" w:line="270" w:lineRule="auto"/>
        <w:rPr>
          <w:sz w:val="20"/>
          <w:szCs w:val="20"/>
          <w:color w:val="auto"/>
        </w:rPr>
      </w:pPr>
      <w:r>
        <w:rPr>
          <w:rFonts w:ascii="Courier New" w:cs="Courier New" w:eastAsia="Courier New" w:hAnsi="Courier New"/>
          <w:sz w:val="14"/>
          <w:szCs w:val="14"/>
          <w:color w:val="auto"/>
        </w:rPr>
        <w:t>3.5 NOTICE OF TERMINATION. For purposes of this Agreement, a "Notice of Termination" means a written notice which (i) indicates the specific termination provision in this Agreement relied upon,</w:t>
      </w:r>
    </w:p>
    <w:p>
      <w:pPr>
        <w:spacing w:after="0" w:line="1" w:lineRule="exact"/>
        <w:rPr>
          <w:sz w:val="20"/>
          <w:szCs w:val="20"/>
          <w:color w:val="auto"/>
        </w:rPr>
      </w:pPr>
    </w:p>
    <w:p>
      <w:pPr>
        <w:ind w:left="5" w:right="3239" w:hanging="5"/>
        <w:spacing w:after="0" w:line="276" w:lineRule="auto"/>
        <w:tabs>
          <w:tab w:leader="none" w:pos="4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sets forth in reasonable detail the facts and circumstances claimed to provide a basis for termination of the Executive's employment under the provision so indicated, and (iii) if the termination date is other than the date of receipt of such notice, specifies the termination date (which date shall be not more than fifteen (15) days after the giving of such notice).</w:t>
      </w:r>
    </w:p>
    <w:p>
      <w:pPr>
        <w:spacing w:after="0" w:line="155" w:lineRule="exact"/>
        <w:rPr>
          <w:sz w:val="20"/>
          <w:szCs w:val="20"/>
          <w:color w:val="auto"/>
        </w:rPr>
      </w:pPr>
    </w:p>
    <w:p>
      <w:pPr>
        <w:jc w:val="right"/>
        <w:ind w:right="2779"/>
        <w:spacing w:after="0"/>
        <w:tabs>
          <w:tab w:leader="none" w:pos="4360" w:val="left"/>
          <w:tab w:leader="none" w:pos="230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DATE OF TERMINATION.</w:t>
      </w:r>
      <w:r>
        <w:rPr>
          <w:sz w:val="20"/>
          <w:szCs w:val="20"/>
          <w:color w:val="auto"/>
        </w:rPr>
        <w:tab/>
      </w:r>
      <w:r>
        <w:rPr>
          <w:rFonts w:ascii="Courier New" w:cs="Courier New" w:eastAsia="Courier New" w:hAnsi="Courier New"/>
          <w:sz w:val="14"/>
          <w:szCs w:val="14"/>
          <w:color w:val="auto"/>
        </w:rPr>
        <w:t>Date of Termination means</w:t>
      </w:r>
    </w:p>
    <w:p>
      <w:pPr>
        <w:spacing w:after="0" w:line="4" w:lineRule="exact"/>
        <w:rPr>
          <w:sz w:val="20"/>
          <w:szCs w:val="20"/>
          <w:color w:val="auto"/>
        </w:rPr>
      </w:pPr>
    </w:p>
    <w:p>
      <w:pPr>
        <w:ind w:left="5" w:right="4079"/>
        <w:spacing w:after="0" w:line="234" w:lineRule="auto"/>
        <w:rPr>
          <w:sz w:val="20"/>
          <w:szCs w:val="20"/>
          <w:color w:val="auto"/>
        </w:rPr>
      </w:pPr>
      <w:r>
        <w:rPr>
          <w:rFonts w:ascii="Courier New" w:cs="Courier New" w:eastAsia="Courier New" w:hAnsi="Courier New"/>
          <w:sz w:val="16"/>
          <w:szCs w:val="16"/>
          <w:color w:val="auto"/>
        </w:rPr>
        <w:t>the date of receipt of the Notice of Termination or any later date specified therein, as the case may be.</w:t>
      </w:r>
    </w:p>
    <w:p>
      <w:pPr>
        <w:spacing w:after="0" w:line="177" w:lineRule="exact"/>
        <w:rPr>
          <w:sz w:val="20"/>
          <w:szCs w:val="20"/>
          <w:color w:val="auto"/>
        </w:rPr>
      </w:pPr>
    </w:p>
    <w:p>
      <w:pPr>
        <w:ind w:left="2225"/>
        <w:spacing w:after="0"/>
        <w:tabs>
          <w:tab w:leader="none" w:pos="3044" w:val="left"/>
          <w:tab w:leader="none" w:pos="4824"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SEVERANCE PERIOD.</w:t>
      </w:r>
      <w:r>
        <w:rPr>
          <w:sz w:val="20"/>
          <w:szCs w:val="20"/>
          <w:color w:val="auto"/>
        </w:rPr>
        <w:tab/>
      </w:r>
      <w:r>
        <w:rPr>
          <w:rFonts w:ascii="Courier New" w:cs="Courier New" w:eastAsia="Courier New" w:hAnsi="Courier New"/>
          <w:sz w:val="14"/>
          <w:szCs w:val="14"/>
          <w:color w:val="auto"/>
        </w:rPr>
        <w:t>The Severance Period means</w:t>
      </w:r>
    </w:p>
    <w:p>
      <w:pPr>
        <w:spacing w:after="0" w:line="4" w:lineRule="exact"/>
        <w:rPr>
          <w:sz w:val="20"/>
          <w:szCs w:val="20"/>
          <w:color w:val="auto"/>
        </w:rPr>
      </w:pPr>
    </w:p>
    <w:p>
      <w:pPr>
        <w:ind w:left="5" w:right="4639"/>
        <w:spacing w:after="0" w:line="234" w:lineRule="auto"/>
        <w:rPr>
          <w:sz w:val="20"/>
          <w:szCs w:val="20"/>
          <w:color w:val="auto"/>
        </w:rPr>
      </w:pPr>
      <w:r>
        <w:rPr>
          <w:rFonts w:ascii="Courier New" w:cs="Courier New" w:eastAsia="Courier New" w:hAnsi="Courier New"/>
          <w:sz w:val="16"/>
          <w:szCs w:val="16"/>
          <w:color w:val="auto"/>
        </w:rPr>
        <w:t>a period of two (2) years beginning on the day following the Executive's Date of Termination.</w:t>
      </w:r>
    </w:p>
    <w:p>
      <w:pPr>
        <w:spacing w:after="0" w:line="177" w:lineRule="exact"/>
        <w:rPr>
          <w:sz w:val="20"/>
          <w:szCs w:val="20"/>
          <w:color w:val="auto"/>
        </w:rPr>
      </w:pPr>
    </w:p>
    <w:p>
      <w:pPr>
        <w:ind w:left="2505" w:hanging="830"/>
        <w:spacing w:after="0"/>
        <w:tabs>
          <w:tab w:leader="none" w:pos="250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left="5" w:right="3339" w:firstLine="2233"/>
        <w:spacing w:after="0" w:line="274" w:lineRule="auto"/>
        <w:rPr>
          <w:sz w:val="20"/>
          <w:szCs w:val="20"/>
          <w:color w:val="auto"/>
        </w:rPr>
      </w:pPr>
      <w:r>
        <w:rPr>
          <w:rFonts w:ascii="Courier New" w:cs="Courier New" w:eastAsia="Courier New" w:hAnsi="Courier New"/>
          <w:sz w:val="14"/>
          <w:szCs w:val="14"/>
          <w:color w:val="auto"/>
        </w:rPr>
        <w:t>4.1 EVENTS OF TERMINATION. The Executive may terminate his employment with the Company, for Good Reason, at any time during the first three (3) years following a Change in Control of the Company. The Company may terminate Executive's employment with the Company at any time upon the occurrence of one or more of the events set forth in subsections (a) through (c) below. The death or Disability of Executive shall in no event be deemed a termination of employment by Executive.</w:t>
      </w:r>
    </w:p>
    <w:p>
      <w:pPr>
        <w:spacing w:after="0" w:line="158" w:lineRule="exact"/>
        <w:rPr>
          <w:sz w:val="20"/>
          <w:szCs w:val="20"/>
          <w:color w:val="auto"/>
        </w:rPr>
      </w:pPr>
    </w:p>
    <w:p>
      <w:pPr>
        <w:ind w:left="3165" w:hanging="839"/>
        <w:spacing w:after="0"/>
        <w:tabs>
          <w:tab w:leader="none" w:pos="31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death of Executive.</w:t>
      </w:r>
    </w:p>
    <w:p>
      <w:pPr>
        <w:spacing w:after="0" w:line="176" w:lineRule="exact"/>
        <w:rPr>
          <w:rFonts w:ascii="Courier New" w:cs="Courier New" w:eastAsia="Courier New" w:hAnsi="Courier New"/>
          <w:sz w:val="16"/>
          <w:szCs w:val="16"/>
          <w:color w:val="auto"/>
        </w:rPr>
      </w:pPr>
    </w:p>
    <w:p>
      <w:pPr>
        <w:ind w:left="3165" w:hanging="839"/>
        <w:spacing w:after="0"/>
        <w:tabs>
          <w:tab w:leader="none" w:pos="31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Disability of Executive.</w:t>
      </w:r>
    </w:p>
    <w:p>
      <w:pPr>
        <w:spacing w:after="0" w:line="182" w:lineRule="exact"/>
        <w:rPr>
          <w:rFonts w:ascii="Courier New" w:cs="Courier New" w:eastAsia="Courier New" w:hAnsi="Courier New"/>
          <w:sz w:val="16"/>
          <w:szCs w:val="16"/>
          <w:color w:val="auto"/>
        </w:rPr>
      </w:pPr>
    </w:p>
    <w:p>
      <w:pPr>
        <w:ind w:left="3165" w:hanging="839"/>
        <w:spacing w:after="0"/>
        <w:tabs>
          <w:tab w:leader="none" w:pos="316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discharge of Executive by the Company for</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Cause.</w:t>
      </w:r>
    </w:p>
    <w:p>
      <w:pPr>
        <w:spacing w:after="0" w:line="183" w:lineRule="exact"/>
        <w:rPr>
          <w:sz w:val="20"/>
          <w:szCs w:val="20"/>
          <w:color w:val="auto"/>
        </w:rPr>
      </w:pPr>
    </w:p>
    <w:p>
      <w:pPr>
        <w:ind w:left="5" w:right="2879" w:firstLine="2233"/>
        <w:spacing w:after="0" w:line="234" w:lineRule="auto"/>
        <w:rPr>
          <w:sz w:val="20"/>
          <w:szCs w:val="20"/>
          <w:color w:val="auto"/>
        </w:rPr>
      </w:pPr>
      <w:r>
        <w:rPr>
          <w:rFonts w:ascii="Courier New" w:cs="Courier New" w:eastAsia="Courier New" w:hAnsi="Courier New"/>
          <w:sz w:val="16"/>
          <w:szCs w:val="16"/>
          <w:color w:val="auto"/>
        </w:rPr>
        <w:t>4.2 NOTICE OF TERMINATION. Any termination of the Executive's employment by the Executive for Good Reason, or by the Company</w:t>
      </w:r>
    </w:p>
    <w:p>
      <w:pPr>
        <w:spacing w:after="0" w:line="4" w:lineRule="exact"/>
        <w:rPr>
          <w:sz w:val="20"/>
          <w:szCs w:val="20"/>
          <w:color w:val="auto"/>
        </w:rPr>
      </w:pPr>
    </w:p>
    <w:p>
      <w:pPr>
        <w:ind w:left="5" w:right="3439"/>
        <w:spacing w:after="0" w:line="234" w:lineRule="auto"/>
        <w:rPr>
          <w:sz w:val="20"/>
          <w:szCs w:val="20"/>
          <w:color w:val="auto"/>
        </w:rPr>
      </w:pPr>
      <w:r>
        <w:rPr>
          <w:rFonts w:ascii="Courier New" w:cs="Courier New" w:eastAsia="Courier New" w:hAnsi="Courier New"/>
          <w:sz w:val="16"/>
          <w:szCs w:val="16"/>
          <w:color w:val="auto"/>
        </w:rPr>
        <w:t>for Cause or otherwise, shall be communicated by Notice of Termination to the other party hereto given in accordance with Section 10(h).</w:t>
      </w:r>
    </w:p>
    <w:p>
      <w:pPr>
        <w:spacing w:after="0" w:line="177" w:lineRule="exact"/>
        <w:rPr>
          <w:sz w:val="20"/>
          <w:szCs w:val="20"/>
          <w:color w:val="auto"/>
        </w:rPr>
      </w:pPr>
    </w:p>
    <w:p>
      <w:pPr>
        <w:ind w:left="2505" w:hanging="830"/>
        <w:spacing w:after="0"/>
        <w:tabs>
          <w:tab w:leader="none" w:pos="250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UPON TERMINATION.</w:t>
      </w:r>
    </w:p>
    <w:p>
      <w:pPr>
        <w:spacing w:after="0" w:line="183" w:lineRule="exact"/>
        <w:rPr>
          <w:sz w:val="20"/>
          <w:szCs w:val="20"/>
          <w:color w:val="auto"/>
        </w:rPr>
      </w:pPr>
    </w:p>
    <w:p>
      <w:pPr>
        <w:ind w:left="5" w:right="3239" w:firstLine="2233"/>
        <w:spacing w:after="0" w:line="235" w:lineRule="auto"/>
        <w:rPr>
          <w:sz w:val="20"/>
          <w:szCs w:val="20"/>
          <w:color w:val="auto"/>
        </w:rPr>
      </w:pPr>
      <w:r>
        <w:rPr>
          <w:rFonts w:ascii="Courier New" w:cs="Courier New" w:eastAsia="Courier New" w:hAnsi="Courier New"/>
          <w:sz w:val="16"/>
          <w:szCs w:val="16"/>
          <w:color w:val="auto"/>
        </w:rPr>
        <w:t>5.1 VOLUNTARY TERMINATION BY EXECUTIVE AND TERMINATION FOR CAUSE. If the Executive's employment with the Company is terminated (i) voluntarily by the Executive, for any reason other than Good Reason, or (ii) by the Company for Cause, the Company shall pay Executive, within five (5) business days</w:t>
      </w:r>
    </w:p>
    <w:p>
      <w:pPr>
        <w:spacing w:after="0" w:line="18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1012" w:right="1440" w:bottom="1440" w:gutter="0" w:footer="0" w:header="0"/>
        </w:sectPr>
      </w:pPr>
    </w:p>
    <w:bookmarkStart w:id="81" w:name="page82"/>
    <w:bookmarkEnd w:id="81"/>
    <w:p>
      <w:pPr>
        <w:ind w:left="5" w:right="3239"/>
        <w:spacing w:after="0" w:line="236" w:lineRule="auto"/>
        <w:rPr>
          <w:sz w:val="20"/>
          <w:szCs w:val="20"/>
          <w:color w:val="auto"/>
        </w:rPr>
      </w:pPr>
      <w:r>
        <w:rPr>
          <w:rFonts w:ascii="Courier New" w:cs="Courier New" w:eastAsia="Courier New" w:hAnsi="Courier New"/>
          <w:sz w:val="16"/>
          <w:szCs w:val="16"/>
          <w:color w:val="auto"/>
        </w:rPr>
        <w:t>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w:t>
      </w:r>
    </w:p>
    <w:p>
      <w:pPr>
        <w:spacing w:after="0" w:line="184" w:lineRule="exact"/>
        <w:rPr>
          <w:sz w:val="20"/>
          <w:szCs w:val="20"/>
          <w:color w:val="auto"/>
        </w:rPr>
      </w:pPr>
    </w:p>
    <w:p>
      <w:pPr>
        <w:ind w:left="5" w:right="3239" w:firstLine="2233"/>
        <w:spacing w:after="0" w:line="236" w:lineRule="auto"/>
        <w:rPr>
          <w:sz w:val="20"/>
          <w:szCs w:val="20"/>
          <w:color w:val="auto"/>
        </w:rPr>
      </w:pPr>
      <w:r>
        <w:rPr>
          <w:rFonts w:ascii="Courier New" w:cs="Courier New" w:eastAsia="Courier New" w:hAnsi="Courier New"/>
          <w:sz w:val="16"/>
          <w:szCs w:val="16"/>
          <w:color w:val="auto"/>
        </w:rPr>
        <w:t>5.2 TERMINATION FOR DEATH OR DISABILITY. If Executive's employment is 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 Amounts payable under subsection (i) of this Section 5.2 shall be paid within five (5) business days after the Date of Termination, and the Bonus payable under subsection (ii) shall be paid on or before May 15 of the fiscal year following the fiscal year in which the termination occurred.</w:t>
      </w:r>
    </w:p>
    <w:p>
      <w:pPr>
        <w:spacing w:after="0" w:line="191" w:lineRule="exact"/>
        <w:rPr>
          <w:sz w:val="20"/>
          <w:szCs w:val="20"/>
          <w:color w:val="auto"/>
        </w:rPr>
      </w:pPr>
    </w:p>
    <w:p>
      <w:pPr>
        <w:jc w:val="both"/>
        <w:ind w:left="5" w:right="3339" w:firstLine="2233"/>
        <w:spacing w:after="0" w:line="235" w:lineRule="auto"/>
        <w:rPr>
          <w:sz w:val="20"/>
          <w:szCs w:val="20"/>
          <w:color w:val="auto"/>
        </w:rPr>
      </w:pPr>
      <w:r>
        <w:rPr>
          <w:rFonts w:ascii="Courier New" w:cs="Courier New" w:eastAsia="Courier New" w:hAnsi="Courier New"/>
          <w:sz w:val="16"/>
          <w:szCs w:val="16"/>
          <w:color w:val="auto"/>
        </w:rPr>
        <w:t>5.3 TERMINATION BY THE COMPANY IN DEFAULT OF AGREEMENT. If the Executive's employment with the Company is terminated by the Company for any reason other than the Executive's death or Disability, or Cause, the Company shall pay and provide Executive:</w:t>
      </w:r>
    </w:p>
    <w:p>
      <w:pPr>
        <w:spacing w:after="0" w:line="178" w:lineRule="exact"/>
        <w:rPr>
          <w:sz w:val="20"/>
          <w:szCs w:val="20"/>
          <w:color w:val="auto"/>
        </w:rPr>
      </w:pPr>
    </w:p>
    <w:p>
      <w:pPr>
        <w:ind w:left="3165" w:hanging="839"/>
        <w:spacing w:after="0"/>
        <w:tabs>
          <w:tab w:leader="none" w:pos="3165"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Executive's Base Salary, unused vacation</w:t>
      </w:r>
    </w:p>
    <w:p>
      <w:pPr>
        <w:spacing w:after="0" w:line="3" w:lineRule="exact"/>
        <w:rPr>
          <w:rFonts w:ascii="Courier New" w:cs="Courier New" w:eastAsia="Courier New" w:hAnsi="Courier New"/>
          <w:sz w:val="16"/>
          <w:szCs w:val="16"/>
          <w:color w:val="auto"/>
        </w:rPr>
      </w:pPr>
    </w:p>
    <w:p>
      <w:pPr>
        <w:ind w:left="5" w:right="41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entitlement and car allowance through the Date of Termination (if not already paid); plus</w:t>
      </w:r>
    </w:p>
    <w:p>
      <w:pPr>
        <w:spacing w:after="0" w:line="177" w:lineRule="exact"/>
        <w:rPr>
          <w:rFonts w:ascii="Courier New" w:cs="Courier New" w:eastAsia="Courier New" w:hAnsi="Courier New"/>
          <w:sz w:val="16"/>
          <w:szCs w:val="16"/>
          <w:color w:val="auto"/>
        </w:rPr>
      </w:pPr>
    </w:p>
    <w:p>
      <w:pPr>
        <w:ind w:left="3165" w:hanging="839"/>
        <w:spacing w:after="0"/>
        <w:tabs>
          <w:tab w:leader="none" w:pos="3165"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greater of: (i) the</w:t>
      </w:r>
    </w:p>
    <w:p>
      <w:pPr>
        <w:spacing w:after="0" w:line="3" w:lineRule="exact"/>
        <w:rPr>
          <w:rFonts w:ascii="Courier New" w:cs="Courier New" w:eastAsia="Courier New" w:hAnsi="Courier New"/>
          <w:sz w:val="16"/>
          <w:szCs w:val="16"/>
          <w:color w:val="auto"/>
        </w:rPr>
      </w:pPr>
    </w:p>
    <w:p>
      <w:pPr>
        <w:ind w:left="5" w:right="351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average annual cash compensation (Base Salary, car allowance and Bonus) paid to Executive during the five (5) fiscal years immediately preceding the Date of Termination, MULTIPLIED BY the number of years or portions thereof remaining on the Employment Term on the Date of Termination; or</w:t>
      </w:r>
    </w:p>
    <w:p>
      <w:pPr>
        <w:spacing w:after="0" w:line="1" w:lineRule="exact"/>
        <w:rPr>
          <w:rFonts w:ascii="Courier New" w:cs="Courier New" w:eastAsia="Courier New" w:hAnsi="Courier New"/>
          <w:sz w:val="16"/>
          <w:szCs w:val="16"/>
          <w:color w:val="auto"/>
        </w:rPr>
      </w:pPr>
    </w:p>
    <w:p>
      <w:pPr>
        <w:ind w:left="5" w:right="3439" w:hanging="5"/>
        <w:spacing w:after="0" w:line="234" w:lineRule="auto"/>
        <w:tabs>
          <w:tab w:leader="none" w:pos="47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payment described in Section I of Exhibit A attached hereto and made a part hereof; plus</w:t>
      </w:r>
    </w:p>
    <w:p>
      <w:pPr>
        <w:spacing w:after="0" w:line="183" w:lineRule="exact"/>
        <w:rPr>
          <w:rFonts w:ascii="Courier New" w:cs="Courier New" w:eastAsia="Courier New" w:hAnsi="Courier New"/>
          <w:sz w:val="16"/>
          <w:szCs w:val="16"/>
          <w:color w:val="auto"/>
        </w:rPr>
      </w:pPr>
    </w:p>
    <w:p>
      <w:pPr>
        <w:ind w:left="3165" w:hanging="839"/>
        <w:spacing w:after="0"/>
        <w:tabs>
          <w:tab w:leader="none" w:pos="316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described in Sections II through</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IV of Exhibit A.</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1012" w:right="1440" w:bottom="1440" w:gutter="0" w:footer="0" w:header="0"/>
        </w:sectPr>
      </w:pPr>
    </w:p>
    <w:bookmarkStart w:id="82" w:name="page83"/>
    <w:bookmarkEnd w:id="82"/>
    <w:p>
      <w:pPr>
        <w:ind w:left="5" w:right="3239"/>
        <w:spacing w:after="0" w:line="272" w:lineRule="auto"/>
        <w:rPr>
          <w:sz w:val="20"/>
          <w:szCs w:val="20"/>
          <w:color w:val="auto"/>
        </w:rPr>
      </w:pPr>
      <w:r>
        <w:rPr>
          <w:rFonts w:ascii="Courier New" w:cs="Courier New" w:eastAsia="Courier New" w:hAnsi="Courier New"/>
          <w:sz w:val="14"/>
          <w:szCs w:val="14"/>
          <w:color w:val="auto"/>
        </w:rPr>
        <w:t>The amounts payable under subsections (a) and (b)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may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345" w:lineRule="exact"/>
        <w:rPr>
          <w:sz w:val="20"/>
          <w:szCs w:val="20"/>
          <w:color w:val="auto"/>
        </w:rPr>
      </w:pPr>
    </w:p>
    <w:p>
      <w:pPr>
        <w:ind w:left="5" w:right="2959" w:firstLine="2233"/>
        <w:spacing w:after="0" w:line="235" w:lineRule="auto"/>
        <w:rPr>
          <w:sz w:val="20"/>
          <w:szCs w:val="20"/>
          <w:color w:val="auto"/>
        </w:rPr>
      </w:pPr>
      <w:r>
        <w:rPr>
          <w:rFonts w:ascii="Courier New" w:cs="Courier New" w:eastAsia="Courier New" w:hAnsi="Courier New"/>
          <w:sz w:val="16"/>
          <w:szCs w:val="16"/>
          <w:color w:val="auto"/>
        </w:rPr>
        <w:t>5.4 TERMINATION BY EXECUTIVE FOR GOOD REASON. If the Executive's employment with the Company is terminated by the Executive for Good Reason, the Company shall pay and provide Executive, within five</w:t>
      </w:r>
    </w:p>
    <w:p>
      <w:pPr>
        <w:spacing w:after="0" w:line="4" w:lineRule="exact"/>
        <w:rPr>
          <w:sz w:val="20"/>
          <w:szCs w:val="20"/>
          <w:color w:val="auto"/>
        </w:rPr>
      </w:pPr>
    </w:p>
    <w:p>
      <w:pPr>
        <w:ind w:left="5" w:right="3239" w:hanging="5"/>
        <w:spacing w:after="0" w:line="272" w:lineRule="auto"/>
        <w:tabs>
          <w:tab w:leader="none" w:pos="37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after the Date of Termination, as severance compensation, the cash amounts and benefits (collectively, "Severance Benefits") described in Exhibit A. The Severance Benefits paid and provided pursuant to this Section 5.4 shall be in lieu of all other compensation and benefits payable to Executive under this Agreement, and in full settlement of any and all claims by Executive for such compensation or benefits; except that, to the extent that the Company's insurance, stock option and other employee benefit plans provide certain rights and benefits after an employee's termination, Executive may continue to receive such rights and benefits in accordance with the terms of such plans. The Company agrees that following a Change of Control, the Company shall not, without the Executive's consent, amend any employee insurance or benefit plan or program of the Company or its subsidiaries or affiliates in any manner that would adversely affect the Executive's rights under such plan or program.</w:t>
      </w:r>
    </w:p>
    <w:p>
      <w:pPr>
        <w:spacing w:after="0" w:line="340" w:lineRule="exact"/>
        <w:rPr>
          <w:rFonts w:ascii="Courier New" w:cs="Courier New" w:eastAsia="Courier New" w:hAnsi="Courier New"/>
          <w:sz w:val="14"/>
          <w:szCs w:val="14"/>
          <w:color w:val="auto"/>
        </w:rPr>
      </w:pPr>
    </w:p>
    <w:p>
      <w:pPr>
        <w:ind w:left="2505" w:hanging="830"/>
        <w:spacing w:after="0"/>
        <w:tabs>
          <w:tab w:leader="none" w:pos="2505"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AGAINST UNFAIR COMPETITION.</w:t>
      </w:r>
    </w:p>
    <w:p>
      <w:pPr>
        <w:spacing w:after="0" w:line="182" w:lineRule="exact"/>
        <w:rPr>
          <w:rFonts w:ascii="Courier New" w:cs="Courier New" w:eastAsia="Courier New" w:hAnsi="Courier New"/>
          <w:sz w:val="16"/>
          <w:szCs w:val="16"/>
          <w:color w:val="auto"/>
        </w:rPr>
      </w:pPr>
    </w:p>
    <w:p>
      <w:pPr>
        <w:ind w:left="3165" w:hanging="839"/>
        <w:spacing w:after="0"/>
        <w:tabs>
          <w:tab w:leader="none" w:pos="3165"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while he is employed by</w:t>
      </w:r>
    </w:p>
    <w:p>
      <w:pPr>
        <w:spacing w:after="0" w:line="20" w:lineRule="exact"/>
        <w:rPr>
          <w:rFonts w:ascii="Courier New" w:cs="Courier New" w:eastAsia="Courier New" w:hAnsi="Courier New"/>
          <w:sz w:val="14"/>
          <w:szCs w:val="14"/>
          <w:color w:val="auto"/>
        </w:rPr>
      </w:pPr>
    </w:p>
    <w:p>
      <w:pPr>
        <w:ind w:left="5"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179" w:lineRule="exact"/>
        <w:rPr>
          <w:rFonts w:ascii="Courier New" w:cs="Courier New" w:eastAsia="Courier New" w:hAnsi="Courier New"/>
          <w:sz w:val="14"/>
          <w:szCs w:val="14"/>
          <w:color w:val="auto"/>
        </w:rPr>
      </w:pPr>
    </w:p>
    <w:p>
      <w:pPr>
        <w:ind w:left="3545" w:hanging="754"/>
        <w:spacing w:after="0"/>
        <w:tabs>
          <w:tab w:leader="none" w:pos="3545" w:val="left"/>
        </w:tabs>
        <w:numPr>
          <w:ilvl w:val="3"/>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control, manage, be employed by,</w:t>
      </w:r>
    </w:p>
    <w:p>
      <w:pPr>
        <w:spacing w:after="0" w:line="3" w:lineRule="exact"/>
        <w:rPr>
          <w:rFonts w:ascii="Courier New" w:cs="Courier New" w:eastAsia="Courier New" w:hAnsi="Courier New"/>
          <w:sz w:val="16"/>
          <w:szCs w:val="16"/>
          <w:color w:val="auto"/>
        </w:rPr>
      </w:pPr>
    </w:p>
    <w:p>
      <w:pPr>
        <w:ind w:left="5" w:right="32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consult with, or otherwise participate in, a business (other than that of the Company) involved within the Trade Area (as hereinafter defined) in (1) the storage, handling, delivery, marketing, sale,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1191" w:right="1440" w:bottom="1440" w:gutter="0" w:footer="0" w:header="0"/>
        </w:sectPr>
      </w:pPr>
    </w:p>
    <w:bookmarkStart w:id="83" w:name="page84"/>
    <w:bookmarkEnd w:id="83"/>
    <w:p>
      <w:pPr>
        <w:ind w:left="5" w:right="3719"/>
        <w:spacing w:after="0" w:line="274" w:lineRule="auto"/>
        <w:rPr>
          <w:sz w:val="20"/>
          <w:szCs w:val="20"/>
          <w:color w:val="auto"/>
        </w:rPr>
      </w:pPr>
      <w:r>
        <w:rPr>
          <w:rFonts w:ascii="Courier New" w:cs="Courier New" w:eastAsia="Courier New" w:hAnsi="Courier New"/>
          <w:sz w:val="14"/>
          <w:szCs w:val="14"/>
          <w:color w:val="auto"/>
        </w:rPr>
        <w:t>distribution or brokerage of aviation fuel, marine fuel or lubricants, aviation flight services, or marine fuel services, (2) the collection, storage, handling, recycling, processing, refining, sale, brokerage, marketing or distribution of used oil or used oil products, or (3) any other service or activity which is competitive with the services or activities which are or have been performed by the Company or its subsidiaries or affiliates since January 1, 1994;</w:t>
      </w:r>
    </w:p>
    <w:p>
      <w:pPr>
        <w:spacing w:after="0" w:line="164" w:lineRule="exact"/>
        <w:rPr>
          <w:sz w:val="20"/>
          <w:szCs w:val="20"/>
          <w:color w:val="auto"/>
        </w:rPr>
      </w:pPr>
    </w:p>
    <w:p>
      <w:pPr>
        <w:ind w:left="3545" w:hanging="1219"/>
        <w:spacing w:after="0"/>
        <w:tabs>
          <w:tab w:leader="none" w:pos="354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call upon, or attempt to solicit,</w:t>
      </w:r>
    </w:p>
    <w:p>
      <w:pPr>
        <w:spacing w:after="0" w:line="20" w:lineRule="exact"/>
        <w:rPr>
          <w:rFonts w:ascii="Courier New" w:cs="Courier New" w:eastAsia="Courier New" w:hAnsi="Courier New"/>
          <w:sz w:val="14"/>
          <w:szCs w:val="14"/>
          <w:color w:val="auto"/>
        </w:rPr>
      </w:pPr>
    </w:p>
    <w:p>
      <w:pPr>
        <w:ind w:left="5"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1994, for the purpose of obtaining the patronage of any such individual, partnership, corporation or other legal entity;</w:t>
      </w:r>
    </w:p>
    <w:p>
      <w:pPr>
        <w:spacing w:after="0" w:line="176" w:lineRule="exact"/>
        <w:rPr>
          <w:rFonts w:ascii="Courier New" w:cs="Courier New" w:eastAsia="Courier New" w:hAnsi="Courier New"/>
          <w:sz w:val="14"/>
          <w:szCs w:val="14"/>
          <w:color w:val="auto"/>
        </w:rPr>
      </w:pPr>
    </w:p>
    <w:p>
      <w:pPr>
        <w:ind w:left="3725" w:hanging="1306"/>
        <w:spacing w:after="0"/>
        <w:tabs>
          <w:tab w:leader="none" w:pos="372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or induce, or in any manner</w:t>
      </w:r>
    </w:p>
    <w:p>
      <w:pPr>
        <w:spacing w:after="0" w:line="3" w:lineRule="exact"/>
        <w:rPr>
          <w:rFonts w:ascii="Courier New" w:cs="Courier New" w:eastAsia="Courier New" w:hAnsi="Courier New"/>
          <w:sz w:val="16"/>
          <w:szCs w:val="16"/>
          <w:color w:val="auto"/>
        </w:rPr>
      </w:pPr>
    </w:p>
    <w:p>
      <w:pPr>
        <w:ind w:left="5" w:right="351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attempt to solicit or induce, any person employed by the Company or its subsidiaries or affiliates to leave such employment, whether or not such employment is pursuant to a written contract and whether or not such employment is at will; or</w:t>
      </w:r>
    </w:p>
    <w:p>
      <w:pPr>
        <w:spacing w:after="0" w:line="184" w:lineRule="exact"/>
        <w:rPr>
          <w:rFonts w:ascii="Courier New" w:cs="Courier New" w:eastAsia="Courier New" w:hAnsi="Courier New"/>
          <w:sz w:val="16"/>
          <w:szCs w:val="16"/>
          <w:color w:val="auto"/>
        </w:rPr>
      </w:pPr>
    </w:p>
    <w:p>
      <w:pPr>
        <w:ind w:left="3625" w:hanging="1206"/>
        <w:spacing w:after="0"/>
        <w:tabs>
          <w:tab w:leader="none" w:pos="362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directly or indirectly, on behalf of</w:t>
      </w:r>
    </w:p>
    <w:p>
      <w:pPr>
        <w:spacing w:after="0" w:line="20" w:lineRule="exact"/>
        <w:rPr>
          <w:rFonts w:ascii="Courier New" w:cs="Courier New" w:eastAsia="Courier New" w:hAnsi="Courier New"/>
          <w:sz w:val="14"/>
          <w:szCs w:val="14"/>
          <w:color w:val="auto"/>
        </w:rPr>
      </w:pPr>
    </w:p>
    <w:p>
      <w:pPr>
        <w:ind w:left="5"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himself or 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177" w:lineRule="exact"/>
        <w:rPr>
          <w:sz w:val="20"/>
          <w:szCs w:val="20"/>
          <w:color w:val="auto"/>
        </w:rPr>
      </w:pPr>
    </w:p>
    <w:p>
      <w:pPr>
        <w:ind w:left="3165" w:hanging="839"/>
        <w:spacing w:after="0"/>
        <w:tabs>
          <w:tab w:leader="none" w:pos="3165"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the term "Trade Area" shall</w:t>
      </w:r>
    </w:p>
    <w:p>
      <w:pPr>
        <w:spacing w:after="0" w:line="3" w:lineRule="exact"/>
        <w:rPr>
          <w:rFonts w:ascii="Courier New" w:cs="Courier New" w:eastAsia="Courier New" w:hAnsi="Courier New"/>
          <w:sz w:val="16"/>
          <w:szCs w:val="16"/>
          <w:color w:val="auto"/>
        </w:rPr>
      </w:pPr>
    </w:p>
    <w:p>
      <w:pPr>
        <w:ind w:left="5" w:right="361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mean: (i) the States of Florida, Louisiana, Georgia, Delaware, Pennsylvania, New York, California, Virginia, New Jersey, and Maryland,</w:t>
      </w:r>
    </w:p>
    <w:p>
      <w:pPr>
        <w:ind w:left="465" w:hanging="465"/>
        <w:spacing w:after="0" w:line="236" w:lineRule="auto"/>
        <w:tabs>
          <w:tab w:leader="none" w:pos="46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state where the Company and/or its subsidiaries or</w:t>
      </w:r>
    </w:p>
    <w:p>
      <w:pPr>
        <w:spacing w:after="0" w:line="4" w:lineRule="exact"/>
        <w:rPr>
          <w:sz w:val="20"/>
          <w:szCs w:val="20"/>
          <w:color w:val="auto"/>
        </w:rPr>
      </w:pPr>
    </w:p>
    <w:p>
      <w:pPr>
        <w:ind w:left="5" w:right="3339"/>
        <w:spacing w:after="0" w:line="279" w:lineRule="auto"/>
        <w:rPr>
          <w:sz w:val="20"/>
          <w:szCs w:val="20"/>
          <w:color w:val="auto"/>
        </w:rPr>
      </w:pPr>
      <w:r>
        <w:rPr>
          <w:rFonts w:ascii="Courier New" w:cs="Courier New" w:eastAsia="Courier New" w:hAnsi="Courier New"/>
          <w:sz w:val="14"/>
          <w:szCs w:val="14"/>
          <w:color w:val="auto"/>
        </w:rPr>
        <w:t>affiliates collect or sell used oil or used oil products, (iii) Singapore, Greece, South Korea, England and Costa Rica, and (iv) any airports or seaports throughout the world which are or were serviced by the Company or its subsidiaries or affiliates at any time since January 1, 1994.</w:t>
      </w:r>
    </w:p>
    <w:p>
      <w:pPr>
        <w:spacing w:after="0" w:line="151" w:lineRule="exact"/>
        <w:rPr>
          <w:sz w:val="20"/>
          <w:szCs w:val="20"/>
          <w:color w:val="auto"/>
        </w:rPr>
      </w:pPr>
    </w:p>
    <w:p>
      <w:pPr>
        <w:ind w:left="3165" w:hanging="839"/>
        <w:spacing w:after="0"/>
        <w:tabs>
          <w:tab w:leader="none" w:pos="316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recognizes the importance of the</w:t>
      </w:r>
    </w:p>
    <w:p>
      <w:pPr>
        <w:spacing w:after="0" w:line="3" w:lineRule="exact"/>
        <w:rPr>
          <w:rFonts w:ascii="Courier New" w:cs="Courier New" w:eastAsia="Courier New" w:hAnsi="Courier New"/>
          <w:sz w:val="16"/>
          <w:szCs w:val="16"/>
          <w:color w:val="auto"/>
        </w:rPr>
      </w:pPr>
    </w:p>
    <w:p>
      <w:pPr>
        <w:ind w:left="5"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interests, including without limitation, the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1012" w:right="1440" w:bottom="1440" w:gutter="0" w:footer="0" w:header="0"/>
        </w:sectPr>
      </w:pPr>
    </w:p>
    <w:bookmarkStart w:id="84" w:name="page85"/>
    <w:bookmarkEnd w:id="84"/>
    <w:p>
      <w:pPr>
        <w:ind w:right="3239"/>
        <w:spacing w:after="0" w:line="236" w:lineRule="auto"/>
        <w:rPr>
          <w:sz w:val="20"/>
          <w:szCs w:val="20"/>
          <w:color w:val="auto"/>
        </w:rPr>
      </w:pPr>
      <w:r>
        <w:rPr>
          <w:rFonts w:ascii="Courier New" w:cs="Courier New" w:eastAsia="Courier New" w:hAnsi="Courier New"/>
          <w:sz w:val="16"/>
          <w:szCs w:val="16"/>
          <w:color w:val="auto"/>
        </w:rPr>
        <w:t>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183" w:lineRule="exact"/>
        <w:rPr>
          <w:sz w:val="20"/>
          <w:szCs w:val="20"/>
          <w:color w:val="auto"/>
        </w:rPr>
      </w:pPr>
    </w:p>
    <w:p>
      <w:pPr>
        <w:ind w:left="3160" w:hanging="839"/>
        <w:spacing w:after="0"/>
        <w:tabs>
          <w:tab w:leader="none" w:pos="3160"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commits a breach or threatens to</w:t>
      </w:r>
    </w:p>
    <w:p>
      <w:pPr>
        <w:spacing w:after="0" w:line="20" w:lineRule="exact"/>
        <w:rPr>
          <w:rFonts w:ascii="Courier New" w:cs="Courier New" w:eastAsia="Courier New" w:hAnsi="Courier New"/>
          <w:sz w:val="14"/>
          <w:szCs w:val="14"/>
          <w:color w:val="auto"/>
        </w:rPr>
      </w:pPr>
    </w:p>
    <w:p>
      <w:pPr>
        <w:ind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184" w:lineRule="exact"/>
        <w:rPr>
          <w:rFonts w:ascii="Courier New" w:cs="Courier New" w:eastAsia="Courier New" w:hAnsi="Courier New"/>
          <w:sz w:val="14"/>
          <w:szCs w:val="14"/>
          <w:color w:val="auto"/>
        </w:rPr>
      </w:pPr>
    </w:p>
    <w:p>
      <w:pPr>
        <w:ind w:left="3060" w:hanging="832"/>
        <w:spacing w:after="0"/>
        <w:tabs>
          <w:tab w:leader="none" w:pos="306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covenant contained in this Section 6, or</w:t>
      </w:r>
    </w:p>
    <w:p>
      <w:pPr>
        <w:spacing w:after="0" w:line="20" w:lineRule="exact"/>
        <w:rPr>
          <w:rFonts w:ascii="Courier New" w:cs="Courier New" w:eastAsia="Courier New" w:hAnsi="Courier New"/>
          <w:sz w:val="14"/>
          <w:szCs w:val="14"/>
          <w:color w:val="auto"/>
        </w:rPr>
      </w:pPr>
    </w:p>
    <w:p>
      <w:pPr>
        <w:ind w:right="33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182" w:lineRule="exact"/>
        <w:rPr>
          <w:rFonts w:ascii="Courier New" w:cs="Courier New" w:eastAsia="Courier New" w:hAnsi="Courier New"/>
          <w:sz w:val="14"/>
          <w:szCs w:val="14"/>
          <w:color w:val="auto"/>
        </w:rPr>
      </w:pPr>
    </w:p>
    <w:p>
      <w:pPr>
        <w:ind w:left="3060" w:hanging="832"/>
        <w:spacing w:after="0"/>
        <w:tabs>
          <w:tab w:leader="none" w:pos="306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6 shall survive</w:t>
      </w:r>
    </w:p>
    <w:p>
      <w:pPr>
        <w:spacing w:after="0" w:line="20" w:lineRule="exact"/>
        <w:rPr>
          <w:rFonts w:ascii="Courier New" w:cs="Courier New" w:eastAsia="Courier New" w:hAnsi="Courier New"/>
          <w:sz w:val="14"/>
          <w:szCs w:val="14"/>
          <w:color w:val="auto"/>
        </w:rPr>
      </w:pPr>
    </w:p>
    <w:p>
      <w:pPr>
        <w:ind w:right="427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and termination of this Agreement, and the termination of Executive's employment hereunder, for any reason.</w:t>
      </w:r>
    </w:p>
    <w:p>
      <w:pPr>
        <w:spacing w:after="0" w:line="140" w:lineRule="exact"/>
        <w:rPr>
          <w:rFonts w:ascii="Courier New" w:cs="Courier New" w:eastAsia="Courier New" w:hAnsi="Courier New"/>
          <w:sz w:val="14"/>
          <w:szCs w:val="14"/>
          <w:color w:val="auto"/>
        </w:rPr>
      </w:pPr>
    </w:p>
    <w:p>
      <w:pPr>
        <w:ind w:left="2700" w:hanging="1030"/>
        <w:spacing w:after="0"/>
        <w:tabs>
          <w:tab w:leader="none" w:pos="27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Nothing in this</w:t>
      </w:r>
    </w:p>
    <w:p>
      <w:pPr>
        <w:spacing w:after="0" w:line="3" w:lineRule="exact"/>
        <w:rPr>
          <w:rFonts w:ascii="Courier New" w:cs="Courier New" w:eastAsia="Courier New" w:hAnsi="Courier New"/>
          <w:sz w:val="16"/>
          <w:szCs w:val="16"/>
          <w:color w:val="auto"/>
        </w:rPr>
      </w:pPr>
    </w:p>
    <w:p>
      <w:pPr>
        <w:ind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shall prevent or limit the Executive's continuing or future participation in any benefit, bonus, incentive or other plan or program provided by the Company or any of its subsidiaries or affiliates and for which the Executive may qualify, nor shall anything herein limit or otherwise affect such rights as the 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181"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SETTLEMENT.  Except as specifically provided</w:t>
      </w:r>
    </w:p>
    <w:p>
      <w:pPr>
        <w:spacing w:after="0" w:line="3" w:lineRule="exact"/>
        <w:rPr>
          <w:rFonts w:ascii="Courier New" w:cs="Courier New" w:eastAsia="Courier New" w:hAnsi="Courier New"/>
          <w:sz w:val="16"/>
          <w:szCs w:val="16"/>
          <w:color w:val="auto"/>
        </w:rPr>
      </w:pPr>
    </w:p>
    <w:p>
      <w:pPr>
        <w:ind w:right="407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otherwise in this 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12" w:right="1440" w:bottom="1440" w:gutter="0" w:footer="0" w:header="0"/>
        </w:sectPr>
      </w:pPr>
    </w:p>
    <w:bookmarkStart w:id="85" w:name="page86"/>
    <w:bookmarkEnd w:id="85"/>
    <w:p>
      <w:pPr>
        <w:ind w:right="3239"/>
        <w:spacing w:after="0" w:line="272" w:lineRule="auto"/>
        <w:rPr>
          <w:sz w:val="20"/>
          <w:szCs w:val="20"/>
          <w:color w:val="auto"/>
        </w:rPr>
      </w:pPr>
      <w:r>
        <w:rPr>
          <w:rFonts w:ascii="Courier New" w:cs="Courier New" w:eastAsia="Courier New" w:hAnsi="Courier New"/>
          <w:sz w:val="14"/>
          <w:szCs w:val="14"/>
          <w:color w:val="auto"/>
        </w:rPr>
        <w:t>may have against the Executive or others. The Executive shall not be obligated to seek other employment by way of mitigation of the amounts payable to the Executive under any of the provisions of this Agreement. Except as expressly provided in Section II(ii)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NationsBank of Florida, N.A. in effect from time to time during the period of such nonpayment, but in no event greater than the highest interest rate permitted by law for such payments.</w:t>
      </w:r>
    </w:p>
    <w:p>
      <w:pPr>
        <w:spacing w:after="0" w:line="200" w:lineRule="exact"/>
        <w:rPr>
          <w:sz w:val="20"/>
          <w:szCs w:val="20"/>
          <w:color w:val="auto"/>
        </w:rPr>
      </w:pPr>
    </w:p>
    <w:p>
      <w:pPr>
        <w:spacing w:after="0" w:line="324" w:lineRule="exact"/>
        <w:rPr>
          <w:sz w:val="20"/>
          <w:szCs w:val="20"/>
          <w:color w:val="auto"/>
        </w:rPr>
      </w:pPr>
    </w:p>
    <w:p>
      <w:pPr>
        <w:ind w:right="3239" w:firstLine="1670"/>
        <w:spacing w:after="0" w:line="236" w:lineRule="auto"/>
        <w:tabs>
          <w:tab w:leader="none" w:pos="269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 reasonably satisfactory to the Executive, delivered to the Executive within five (5) business days after such succession.</w:t>
      </w:r>
    </w:p>
    <w:p>
      <w:pPr>
        <w:spacing w:after="0" w:line="182"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2" w:lineRule="exact"/>
        <w:rPr>
          <w:rFonts w:ascii="Courier New" w:cs="Courier New" w:eastAsia="Courier New" w:hAnsi="Courier New"/>
          <w:sz w:val="16"/>
          <w:szCs w:val="16"/>
          <w:color w:val="auto"/>
        </w:rPr>
      </w:pPr>
    </w:p>
    <w:p>
      <w:pPr>
        <w:ind w:left="2980" w:hanging="845"/>
        <w:spacing w:after="0"/>
        <w:tabs>
          <w:tab w:leader="none" w:pos="298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AND WAIVER.  Any term or condition</w:t>
      </w:r>
    </w:p>
    <w:p>
      <w:pPr>
        <w:spacing w:after="0" w:line="20"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184" w:lineRule="exact"/>
        <w:rPr>
          <w:rFonts w:ascii="Courier New" w:cs="Courier New" w:eastAsia="Courier New" w:hAnsi="Courier New"/>
          <w:sz w:val="14"/>
          <w:szCs w:val="14"/>
          <w:color w:val="auto"/>
        </w:rPr>
      </w:pPr>
    </w:p>
    <w:p>
      <w:pPr>
        <w:ind w:left="2980" w:hanging="845"/>
        <w:spacing w:after="0"/>
        <w:tabs>
          <w:tab w:leader="none" w:pos="298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and effect of this</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Agreement shall be governed by and construed and enforced in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012" w:right="1440" w:bottom="1440" w:gutter="0" w:footer="0" w:header="0"/>
        </w:sectPr>
      </w:pPr>
    </w:p>
    <w:bookmarkStart w:id="86" w:name="page87"/>
    <w:bookmarkEnd w:id="86"/>
    <w:p>
      <w:pPr>
        <w:ind w:right="3239"/>
        <w:spacing w:after="0" w:line="274" w:lineRule="auto"/>
        <w:rPr>
          <w:sz w:val="20"/>
          <w:szCs w:val="20"/>
          <w:color w:val="auto"/>
        </w:rPr>
      </w:pPr>
      <w:r>
        <w:rPr>
          <w:rFonts w:ascii="Courier New" w:cs="Courier New" w:eastAsia="Courier New" w:hAnsi="Courier New"/>
          <w:sz w:val="14"/>
          <w:szCs w:val="14"/>
          <w:color w:val="auto"/>
        </w:rPr>
        <w:t>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 extent it may effectively do so, the defense of an inconvenient forum to the maintenance of any Action in Miami, Florida.</w:t>
      </w:r>
    </w:p>
    <w:p>
      <w:pPr>
        <w:spacing w:after="0" w:line="155" w:lineRule="exact"/>
        <w:rPr>
          <w:sz w:val="20"/>
          <w:szCs w:val="20"/>
          <w:color w:val="auto"/>
        </w:rPr>
      </w:pPr>
    </w:p>
    <w:p>
      <w:pPr>
        <w:ind w:left="2980" w:hanging="845"/>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WITHHOLDING.  The payments and benefits</w:t>
      </w:r>
    </w:p>
    <w:p>
      <w:pPr>
        <w:spacing w:after="0" w:line="3" w:lineRule="exact"/>
        <w:rPr>
          <w:rFonts w:ascii="Courier New" w:cs="Courier New" w:eastAsia="Courier New" w:hAnsi="Courier New"/>
          <w:sz w:val="16"/>
          <w:szCs w:val="16"/>
          <w:color w:val="auto"/>
        </w:rPr>
      </w:pPr>
    </w:p>
    <w:p>
      <w:pPr>
        <w:ind w:right="33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this Agreement 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176" w:lineRule="exact"/>
        <w:rPr>
          <w:rFonts w:ascii="Courier New" w:cs="Courier New" w:eastAsia="Courier New" w:hAnsi="Courier New"/>
          <w:sz w:val="16"/>
          <w:szCs w:val="16"/>
          <w:color w:val="auto"/>
        </w:rPr>
      </w:pPr>
    </w:p>
    <w:p>
      <w:pPr>
        <w:ind w:left="2980" w:hanging="845"/>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CAPTIONS.  Section and other captions</w:t>
      </w:r>
    </w:p>
    <w:p>
      <w:pPr>
        <w:spacing w:after="0" w:line="3" w:lineRule="exact"/>
        <w:rPr>
          <w:rFonts w:ascii="Courier New" w:cs="Courier New" w:eastAsia="Courier New" w:hAnsi="Courier New"/>
          <w:sz w:val="16"/>
          <w:szCs w:val="16"/>
          <w:color w:val="auto"/>
        </w:rPr>
      </w:pPr>
    </w:p>
    <w:p>
      <w:pPr>
        <w:jc w:val="both"/>
        <w:ind w:right="34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contained in this Agreement are for reference purposes only and are in no way intended to describe, interpret, define or limit the scope, extent or intent of this Agreement or any provision hereof.</w:t>
      </w:r>
    </w:p>
    <w:p>
      <w:pPr>
        <w:spacing w:after="0" w:line="177" w:lineRule="exact"/>
        <w:rPr>
          <w:rFonts w:ascii="Courier New" w:cs="Courier New" w:eastAsia="Courier New" w:hAnsi="Courier New"/>
          <w:sz w:val="16"/>
          <w:szCs w:val="16"/>
          <w:color w:val="auto"/>
        </w:rPr>
      </w:pPr>
    </w:p>
    <w:p>
      <w:pPr>
        <w:ind w:left="2980" w:hanging="845"/>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Every provision of this</w:t>
      </w:r>
    </w:p>
    <w:p>
      <w:pPr>
        <w:spacing w:after="0" w:line="3" w:lineRule="exact"/>
        <w:rPr>
          <w:rFonts w:ascii="Courier New" w:cs="Courier New" w:eastAsia="Courier New" w:hAnsi="Courier New"/>
          <w:sz w:val="16"/>
          <w:szCs w:val="16"/>
          <w:color w:val="auto"/>
        </w:rPr>
      </w:pPr>
    </w:p>
    <w:p>
      <w:pPr>
        <w:ind w:right="323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Agreement is intended to be severable. If any term or provision hereof is illegal or invalid for any reason whatsoever, such illegality or invalidity shall not affect the validity of the remainder of this Agreement.</w:t>
      </w:r>
    </w:p>
    <w:p>
      <w:pPr>
        <w:spacing w:after="0" w:line="148" w:lineRule="exact"/>
        <w:rPr>
          <w:rFonts w:ascii="Courier New" w:cs="Courier New" w:eastAsia="Courier New" w:hAnsi="Courier New"/>
          <w:sz w:val="16"/>
          <w:szCs w:val="16"/>
          <w:color w:val="auto"/>
        </w:rPr>
      </w:pPr>
    </w:p>
    <w:p>
      <w:pPr>
        <w:ind w:left="2980" w:hanging="845"/>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INTEGRATED AGREEMENT.  This Agreement</w:t>
      </w:r>
    </w:p>
    <w:p>
      <w:pPr>
        <w:spacing w:after="0" w:line="3" w:lineRule="exact"/>
        <w:rPr>
          <w:rFonts w:ascii="Courier New" w:cs="Courier New" w:eastAsia="Courier New" w:hAnsi="Courier New"/>
          <w:sz w:val="16"/>
          <w:szCs w:val="16"/>
          <w:color w:val="auto"/>
        </w:rPr>
      </w:pPr>
    </w:p>
    <w:p>
      <w:pPr>
        <w:ind w:right="323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constitutes the entire 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161" w:lineRule="exact"/>
        <w:rPr>
          <w:rFonts w:ascii="Courier New" w:cs="Courier New" w:eastAsia="Courier New" w:hAnsi="Courier New"/>
          <w:sz w:val="16"/>
          <w:szCs w:val="16"/>
          <w:color w:val="auto"/>
        </w:rPr>
      </w:pPr>
    </w:p>
    <w:p>
      <w:pPr>
        <w:ind w:left="2980" w:hanging="845"/>
        <w:spacing w:after="0"/>
        <w:tabs>
          <w:tab w:leader="none" w:pos="29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No provision of this Agreement</w:t>
      </w:r>
    </w:p>
    <w:p>
      <w:pPr>
        <w:spacing w:after="0" w:line="20" w:lineRule="exact"/>
        <w:rPr>
          <w:rFonts w:ascii="Courier New" w:cs="Courier New" w:eastAsia="Courier New" w:hAnsi="Courier New"/>
          <w:sz w:val="14"/>
          <w:szCs w:val="14"/>
          <w:color w:val="auto"/>
        </w:rPr>
      </w:pPr>
    </w:p>
    <w:p>
      <w:pPr>
        <w:ind w:right="333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163" w:lineRule="exact"/>
        <w:rPr>
          <w:rFonts w:ascii="Courier New" w:cs="Courier New" w:eastAsia="Courier New" w:hAnsi="Courier New"/>
          <w:sz w:val="14"/>
          <w:szCs w:val="14"/>
          <w:color w:val="auto"/>
        </w:rPr>
      </w:pPr>
    </w:p>
    <w:p>
      <w:pPr>
        <w:ind w:left="2980" w:hanging="845"/>
        <w:spacing w:after="0"/>
        <w:tabs>
          <w:tab w:leader="none" w:pos="29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w:t>
      </w:r>
    </w:p>
    <w:p>
      <w:pPr>
        <w:spacing w:after="0" w:line="20" w:lineRule="exact"/>
        <w:rPr>
          <w:rFonts w:ascii="Courier New" w:cs="Courier New" w:eastAsia="Courier New" w:hAnsi="Courier New"/>
          <w:sz w:val="14"/>
          <w:szCs w:val="14"/>
          <w:color w:val="auto"/>
        </w:rPr>
      </w:pPr>
    </w:p>
    <w:p>
      <w:pPr>
        <w:ind w:right="34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hereunder shall be in writing and shall be given by hand delivery to the other party or by registered or certified mail, return receipt requested, postage prepaid, addressed as follows: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012" w:right="1440" w:bottom="1440" w:gutter="0" w:footer="0" w:header="0"/>
        </w:sectPr>
      </w:pPr>
    </w:p>
    <w:bookmarkStart w:id="87" w:name="page88"/>
    <w:bookmarkEnd w:id="87"/>
    <w:p>
      <w:pPr>
        <w:ind w:right="3619" w:firstLine="1674"/>
        <w:spacing w:after="0" w:line="234" w:lineRule="auto"/>
        <w:rPr>
          <w:sz w:val="20"/>
          <w:szCs w:val="20"/>
          <w:color w:val="auto"/>
        </w:rPr>
      </w:pPr>
      <w:r>
        <w:rPr>
          <w:rFonts w:ascii="Courier New" w:cs="Courier New" w:eastAsia="Courier New" w:hAnsi="Courier New"/>
          <w:sz w:val="16"/>
          <w:szCs w:val="16"/>
          <w:color w:val="auto"/>
        </w:rPr>
        <w:t>IF TO THE EXECUTIVE: at the Executive's last address appearing in the payroll/personnel records of the Company.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IF TO THE COMPANY: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International Recovery Corp.</w:t>
      </w:r>
    </w:p>
    <w:p>
      <w:pPr>
        <w:ind w:left="1660"/>
        <w:spacing w:after="0" w:line="236" w:lineRule="auto"/>
        <w:rPr>
          <w:sz w:val="20"/>
          <w:szCs w:val="20"/>
          <w:color w:val="auto"/>
        </w:rPr>
      </w:pPr>
      <w:r>
        <w:rPr>
          <w:rFonts w:ascii="Courier New" w:cs="Courier New" w:eastAsia="Courier New" w:hAnsi="Courier New"/>
          <w:sz w:val="16"/>
          <w:szCs w:val="16"/>
          <w:color w:val="auto"/>
        </w:rPr>
        <w:t>700 S. Royal Poinciana Blvd.</w:t>
      </w:r>
    </w:p>
    <w:p>
      <w:pPr>
        <w:ind w:left="1660"/>
        <w:spacing w:after="0" w:line="237" w:lineRule="auto"/>
        <w:rPr>
          <w:sz w:val="20"/>
          <w:szCs w:val="20"/>
          <w:color w:val="auto"/>
        </w:rPr>
      </w:pPr>
      <w:r>
        <w:rPr>
          <w:rFonts w:ascii="Courier New" w:cs="Courier New" w:eastAsia="Courier New" w:hAnsi="Courier New"/>
          <w:sz w:val="16"/>
          <w:szCs w:val="16"/>
          <w:color w:val="auto"/>
        </w:rPr>
        <w:t>Suite 800</w:t>
      </w:r>
    </w:p>
    <w:p>
      <w:pPr>
        <w:ind w:left="1660"/>
        <w:spacing w:after="0"/>
        <w:tabs>
          <w:tab w:leader="none" w:pos="3420" w:val="left"/>
        </w:tabs>
        <w:rPr>
          <w:sz w:val="20"/>
          <w:szCs w:val="20"/>
          <w:color w:val="auto"/>
        </w:rPr>
      </w:pPr>
      <w:r>
        <w:rPr>
          <w:rFonts w:ascii="Courier New" w:cs="Courier New" w:eastAsia="Courier New" w:hAnsi="Courier New"/>
          <w:sz w:val="16"/>
          <w:szCs w:val="16"/>
          <w:color w:val="auto"/>
        </w:rPr>
        <w:t>Miami Springs, FL</w:t>
      </w:r>
      <w:r>
        <w:rPr>
          <w:sz w:val="20"/>
          <w:szCs w:val="20"/>
          <w:color w:val="auto"/>
        </w:rPr>
        <w:tab/>
      </w:r>
      <w:r>
        <w:rPr>
          <w:rFonts w:ascii="Courier New" w:cs="Courier New" w:eastAsia="Courier New" w:hAnsi="Courier New"/>
          <w:sz w:val="14"/>
          <w:szCs w:val="14"/>
          <w:color w:val="auto"/>
        </w:rPr>
        <w:t>33166</w:t>
      </w:r>
    </w:p>
    <w:p>
      <w:pPr>
        <w:spacing w:after="0" w:line="183"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or to such other address as either party shall have furnished to the other in writing in accordance herewith. Notices and communications shall be effective when actually received by addressee.</w:t>
      </w:r>
    </w:p>
    <w:p>
      <w:pPr>
        <w:spacing w:after="0" w:line="183" w:lineRule="exact"/>
        <w:rPr>
          <w:sz w:val="20"/>
          <w:szCs w:val="20"/>
          <w:color w:val="auto"/>
        </w:rPr>
      </w:pPr>
    </w:p>
    <w:p>
      <w:pPr>
        <w:ind w:right="3619" w:firstLine="1674"/>
        <w:spacing w:after="0" w:line="234" w:lineRule="auto"/>
        <w:rPr>
          <w:sz w:val="20"/>
          <w:szCs w:val="20"/>
          <w:color w:val="auto"/>
        </w:rPr>
      </w:pPr>
      <w:r>
        <w:rPr>
          <w:rFonts w:ascii="Courier New" w:cs="Courier New" w:eastAsia="Courier New" w:hAnsi="Courier New"/>
          <w:sz w:val="16"/>
          <w:szCs w:val="16"/>
          <w:color w:val="auto"/>
        </w:rPr>
        <w:t>IN WITNESS WHEREOF, the undersigned have hereunto set their hands and seals the day and year first above written.</w:t>
      </w:r>
    </w:p>
    <w:p>
      <w:pPr>
        <w:sectPr>
          <w:pgSz w:w="11900" w:h="16838" w:orient="portrait"/>
          <w:cols w:equalWidth="0" w:num="1">
            <w:col w:w="10219"/>
          </w:cols>
          <w:pgMar w:left="240" w:top="119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RECOVERY CORP.</w:t>
      </w:r>
    </w:p>
    <w:p>
      <w:pPr>
        <w:spacing w:after="0" w:line="193" w:lineRule="exact"/>
        <w:rPr>
          <w:sz w:val="20"/>
          <w:szCs w:val="20"/>
          <w:color w:val="auto"/>
        </w:rPr>
      </w:pPr>
    </w:p>
    <w:p>
      <w:pPr>
        <w:sectPr>
          <w:pgSz w:w="11900" w:h="16838" w:orient="portrait"/>
          <w:cols w:equalWidth="0" w:num="2">
            <w:col w:w="3360" w:space="720"/>
            <w:col w:w="6139"/>
          </w:cols>
          <w:pgMar w:left="240" w:top="1191" w:right="1440" w:bottom="1440" w:gutter="0" w:footer="0" w:header="0"/>
          <w:type w:val="continuous"/>
        </w:sectPr>
      </w:pPr>
    </w:p>
    <w:p>
      <w:pPr>
        <w:jc w:val="center"/>
        <w:ind w:right="8279"/>
        <w:spacing w:after="0"/>
        <w:rPr>
          <w:sz w:val="20"/>
          <w:szCs w:val="20"/>
          <w:color w:val="auto"/>
        </w:rPr>
      </w:pPr>
      <w:r>
        <w:rPr>
          <w:rFonts w:ascii="Courier New" w:cs="Courier New" w:eastAsia="Courier New" w:hAnsi="Courier New"/>
          <w:sz w:val="16"/>
          <w:szCs w:val="16"/>
          <w:color w:val="auto"/>
        </w:rPr>
        <w:t>/S/ SONIA ASENCIO</w:t>
      </w:r>
    </w:p>
    <w:p>
      <w:pPr>
        <w:spacing w:after="0" w:line="4"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1191" w:right="1440" w:bottom="1440" w:gutter="0" w:footer="0" w:header="0"/>
          <w:type w:val="continuous"/>
        </w:sectPr>
      </w:pP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JOHN BENBOW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4640" w:space="200"/>
            <w:col w:w="5379"/>
          </w:cols>
          <w:pgMar w:left="240" w:top="1191" w:right="1440" w:bottom="1440" w:gutter="0" w:footer="0" w:header="0"/>
          <w:type w:val="continuous"/>
        </w:sectPr>
      </w:pPr>
    </w:p>
    <w:p>
      <w:pPr>
        <w:jc w:val="center"/>
        <w:ind w:right="1700"/>
        <w:spacing w:after="0"/>
        <w:rPr>
          <w:sz w:val="20"/>
          <w:szCs w:val="20"/>
          <w:color w:val="auto"/>
        </w:rPr>
      </w:pPr>
      <w:r>
        <w:rPr>
          <w:rFonts w:ascii="Courier New" w:cs="Courier New" w:eastAsia="Courier New" w:hAnsi="Courier New"/>
          <w:sz w:val="16"/>
          <w:szCs w:val="16"/>
          <w:color w:val="auto"/>
        </w:rPr>
        <w:t>/S/ JANET RUSAKOV</w:t>
      </w:r>
    </w:p>
    <w:p>
      <w:pPr>
        <w:spacing w:after="0" w:line="4"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John R. Benbow, Chairman of the</w:t>
      </w:r>
    </w:p>
    <w:p>
      <w:pPr>
        <w:spacing w:after="0" w:line="1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Compensation Committee</w:t>
      </w:r>
    </w:p>
    <w:p>
      <w:pPr>
        <w:spacing w:after="0" w:line="177" w:lineRule="exact"/>
        <w:rPr>
          <w:sz w:val="20"/>
          <w:szCs w:val="20"/>
          <w:color w:val="auto"/>
        </w:rPr>
      </w:pPr>
    </w:p>
    <w:p>
      <w:pPr>
        <w:sectPr>
          <w:pgSz w:w="11900" w:h="16838" w:orient="portrait"/>
          <w:cols w:equalWidth="0" w:num="2">
            <w:col w:w="3640" w:space="720"/>
            <w:col w:w="5859"/>
          </w:cols>
          <w:pgMar w:left="240" w:top="119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/S/ SONIA ASCENCIO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RALPH WEISER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sectPr>
          <w:pgSz w:w="11900" w:h="16838" w:orient="portrait"/>
          <w:cols w:equalWidth="0" w:num="2">
            <w:col w:w="4120" w:space="720"/>
            <w:col w:w="5379"/>
          </w:cols>
          <w:pgMar w:left="240" w:top="1191" w:right="1440" w:bottom="1440" w:gutter="0" w:footer="0" w:header="0"/>
          <w:type w:val="continuous"/>
        </w:sectPr>
      </w:pPr>
    </w:p>
    <w:p>
      <w:pPr>
        <w:jc w:val="center"/>
        <w:ind w:right="8279"/>
        <w:spacing w:after="0"/>
        <w:rPr>
          <w:sz w:val="20"/>
          <w:szCs w:val="20"/>
          <w:color w:val="auto"/>
        </w:rPr>
      </w:pPr>
      <w:r>
        <w:rPr>
          <w:rFonts w:ascii="Courier New" w:cs="Courier New" w:eastAsia="Courier New" w:hAnsi="Courier New"/>
          <w:sz w:val="16"/>
          <w:szCs w:val="16"/>
          <w:color w:val="auto"/>
        </w:rPr>
        <w:t>/S/ JANET RUSAKOV</w:t>
      </w:r>
    </w:p>
    <w:p>
      <w:pPr>
        <w:spacing w:after="0" w:line="4"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4"/>
          <w:szCs w:val="14"/>
          <w:color w:val="auto"/>
        </w:rPr>
        <w:t>- -------------------</w:t>
      </w:r>
    </w:p>
    <w:p>
      <w:pPr>
        <w:spacing w:after="0" w:line="199" w:lineRule="exact"/>
        <w:rPr>
          <w:sz w:val="20"/>
          <w:szCs w:val="20"/>
          <w:color w:val="auto"/>
        </w:rPr>
      </w:pPr>
    </w:p>
    <w:p>
      <w:pPr>
        <w:ind w:left="66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19"/>
          </w:cols>
          <w:pgMar w:left="240" w:top="1191" w:right="1440" w:bottom="1440" w:gutter="0" w:footer="0" w:header="0"/>
          <w:type w:val="continuous"/>
        </w:sectPr>
      </w:pPr>
    </w:p>
    <w:bookmarkStart w:id="88" w:name="page89"/>
    <w:bookmarkEnd w:id="88"/>
    <w:p>
      <w:pPr>
        <w:ind w:left="3065"/>
        <w:spacing w:after="0"/>
        <w:rPr>
          <w:sz w:val="20"/>
          <w:szCs w:val="20"/>
          <w:color w:val="auto"/>
        </w:rPr>
      </w:pPr>
      <w:r>
        <w:rPr>
          <w:rFonts w:ascii="Courier New" w:cs="Courier New" w:eastAsia="Courier New" w:hAnsi="Courier New"/>
          <w:sz w:val="16"/>
          <w:szCs w:val="16"/>
          <w:color w:val="auto"/>
        </w:rPr>
        <w:t>EXHIBIT A</w:t>
      </w:r>
    </w:p>
    <w:p>
      <w:pPr>
        <w:ind w:left="2605"/>
        <w:spacing w:after="0" w:line="236" w:lineRule="auto"/>
        <w:rPr>
          <w:sz w:val="20"/>
          <w:szCs w:val="20"/>
          <w:color w:val="auto"/>
        </w:rPr>
      </w:pPr>
      <w:r>
        <w:rPr>
          <w:rFonts w:ascii="Courier New" w:cs="Courier New" w:eastAsia="Courier New" w:hAnsi="Courier New"/>
          <w:sz w:val="16"/>
          <w:szCs w:val="16"/>
          <w:color w:val="auto"/>
        </w:rPr>
        <w:t>SEVERANCE BENEFITS</w:t>
      </w:r>
    </w:p>
    <w:p>
      <w:pPr>
        <w:spacing w:after="0" w:line="177" w:lineRule="exact"/>
        <w:rPr>
          <w:sz w:val="20"/>
          <w:szCs w:val="20"/>
          <w:color w:val="auto"/>
        </w:rPr>
      </w:pPr>
    </w:p>
    <w:p>
      <w:pPr>
        <w:ind w:left="2505" w:hanging="830"/>
        <w:spacing w:after="0"/>
        <w:tabs>
          <w:tab w:leader="none" w:pos="250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PAYMENT.  The Company shall pay to the</w:t>
      </w:r>
    </w:p>
    <w:p>
      <w:pPr>
        <w:spacing w:after="0" w:line="3" w:lineRule="exact"/>
        <w:rPr>
          <w:rFonts w:ascii="Courier New" w:cs="Courier New" w:eastAsia="Courier New" w:hAnsi="Courier New"/>
          <w:sz w:val="16"/>
          <w:szCs w:val="16"/>
          <w:color w:val="auto"/>
        </w:rPr>
      </w:pPr>
    </w:p>
    <w:p>
      <w:pPr>
        <w:ind w:left="5" w:right="45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the aggregate of the amounts determined pursuant to clauses (A) through (C) below:</w:t>
      </w:r>
    </w:p>
    <w:p>
      <w:pPr>
        <w:spacing w:after="0" w:line="177" w:lineRule="exact"/>
        <w:rPr>
          <w:rFonts w:ascii="Courier New" w:cs="Courier New" w:eastAsia="Courier New" w:hAnsi="Courier New"/>
          <w:sz w:val="16"/>
          <w:szCs w:val="16"/>
          <w:color w:val="auto"/>
        </w:rPr>
      </w:pPr>
    </w:p>
    <w:p>
      <w:pPr>
        <w:ind w:left="3345" w:hanging="833"/>
        <w:spacing w:after="0"/>
        <w:tabs>
          <w:tab w:leader="none" w:pos="334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already paid, the Executive's Base</w:t>
      </w:r>
    </w:p>
    <w:p>
      <w:pPr>
        <w:spacing w:after="0" w:line="3" w:lineRule="exact"/>
        <w:rPr>
          <w:rFonts w:ascii="Courier New" w:cs="Courier New" w:eastAsia="Courier New" w:hAnsi="Courier New"/>
          <w:sz w:val="16"/>
          <w:szCs w:val="16"/>
          <w:color w:val="auto"/>
        </w:rPr>
      </w:pPr>
    </w:p>
    <w:p>
      <w:pPr>
        <w:ind w:left="5" w:right="41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Salary, unused vacation entitlement and car allowance through the Date of Termination; and</w:t>
      </w:r>
    </w:p>
    <w:p>
      <w:pPr>
        <w:spacing w:after="0" w:line="183" w:lineRule="exact"/>
        <w:rPr>
          <w:rFonts w:ascii="Courier New" w:cs="Courier New" w:eastAsia="Courier New" w:hAnsi="Courier New"/>
          <w:sz w:val="16"/>
          <w:szCs w:val="16"/>
          <w:color w:val="auto"/>
        </w:rPr>
      </w:pPr>
    </w:p>
    <w:p>
      <w:pPr>
        <w:ind w:left="3345" w:hanging="833"/>
        <w:spacing w:after="0"/>
        <w:tabs>
          <w:tab w:leader="none" w:pos="3345"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Executive's average</w:t>
      </w:r>
    </w:p>
    <w:p>
      <w:pPr>
        <w:spacing w:after="0" w:line="20" w:lineRule="exact"/>
        <w:rPr>
          <w:rFonts w:ascii="Courier New" w:cs="Courier New" w:eastAsia="Courier New" w:hAnsi="Courier New"/>
          <w:sz w:val="14"/>
          <w:szCs w:val="14"/>
          <w:color w:val="auto"/>
        </w:rPr>
      </w:pPr>
    </w:p>
    <w:p>
      <w:pPr>
        <w:ind w:left="5" w:right="34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annual Base Salary and annual car allowance (collectively, the "Average Base") paid to the Executive during the five (5) fiscal years immediately preceding the fiscal year of termination, MULTIPLIED BY three (3); provided, however, that if the Date of Termination is in the last two (2) years of the Employment Term, the Average Base shall be MULTIPLIED BY two</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 and</w:t>
      </w:r>
    </w:p>
    <w:p>
      <w:pPr>
        <w:spacing w:after="0" w:line="183" w:lineRule="exact"/>
        <w:rPr>
          <w:rFonts w:ascii="Courier New" w:cs="Courier New" w:eastAsia="Courier New" w:hAnsi="Courier New"/>
          <w:sz w:val="14"/>
          <w:szCs w:val="14"/>
          <w:color w:val="auto"/>
        </w:rPr>
      </w:pPr>
    </w:p>
    <w:p>
      <w:pPr>
        <w:ind w:left="3345" w:hanging="833"/>
        <w:spacing w:after="0"/>
        <w:tabs>
          <w:tab w:leader="none" w:pos="3345"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average annual bonus</w:t>
      </w:r>
    </w:p>
    <w:p>
      <w:pPr>
        <w:spacing w:after="0" w:line="20" w:lineRule="exact"/>
        <w:rPr>
          <w:rFonts w:ascii="Courier New" w:cs="Courier New" w:eastAsia="Courier New" w:hAnsi="Courier New"/>
          <w:sz w:val="14"/>
          <w:szCs w:val="14"/>
          <w:color w:val="auto"/>
        </w:rPr>
      </w:pPr>
    </w:p>
    <w:p>
      <w:pPr>
        <w:ind w:left="5"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paid to the Executive during the five (5) fiscal years immediately preceding the fiscal year of termination (the "Average Bonus"); MULTIPLIED BY three (3); provided, however, that if the Date of Termination is in the last two (2) years of the Employment Term, the Average Bonus shall be MULTIPLIED BY two (2).</w:t>
      </w:r>
    </w:p>
    <w:p>
      <w:pPr>
        <w:spacing w:after="0" w:line="186" w:lineRule="exact"/>
        <w:rPr>
          <w:sz w:val="20"/>
          <w:szCs w:val="20"/>
          <w:color w:val="auto"/>
        </w:rPr>
      </w:pPr>
    </w:p>
    <w:p>
      <w:pPr>
        <w:ind w:left="2505"/>
        <w:spacing w:after="0"/>
        <w:rPr>
          <w:sz w:val="20"/>
          <w:szCs w:val="20"/>
          <w:color w:val="auto"/>
        </w:rPr>
      </w:pPr>
      <w:r>
        <w:rPr>
          <w:rFonts w:ascii="Courier New" w:cs="Courier New" w:eastAsia="Courier New" w:hAnsi="Courier New"/>
          <w:sz w:val="14"/>
          <w:szCs w:val="14"/>
          <w:color w:val="auto"/>
        </w:rPr>
        <w:t>The Company shall pay to the Executive the aggregate</w:t>
      </w:r>
    </w:p>
    <w:p>
      <w:pPr>
        <w:spacing w:after="0" w:line="20" w:lineRule="exact"/>
        <w:rPr>
          <w:sz w:val="20"/>
          <w:szCs w:val="20"/>
          <w:color w:val="auto"/>
        </w:rPr>
      </w:pPr>
    </w:p>
    <w:p>
      <w:pPr>
        <w:ind w:left="5" w:right="3519"/>
        <w:spacing w:after="0" w:line="235" w:lineRule="auto"/>
        <w:rPr>
          <w:sz w:val="20"/>
          <w:szCs w:val="20"/>
          <w:color w:val="auto"/>
        </w:rPr>
      </w:pPr>
      <w:r>
        <w:rPr>
          <w:rFonts w:ascii="Courier New" w:cs="Courier New" w:eastAsia="Courier New" w:hAnsi="Courier New"/>
          <w:sz w:val="16"/>
          <w:szCs w:val="16"/>
          <w:color w:val="auto"/>
        </w:rPr>
        <w:t>of the amounts determined pursuant to clauses (A) through (C) above in a lump sum by cashier's check within five (5) business days after the Executive's Date of Termination.</w:t>
      </w:r>
    </w:p>
    <w:p>
      <w:pPr>
        <w:spacing w:after="0" w:line="177" w:lineRule="exact"/>
        <w:rPr>
          <w:sz w:val="20"/>
          <w:szCs w:val="20"/>
          <w:color w:val="auto"/>
        </w:rPr>
      </w:pPr>
    </w:p>
    <w:p>
      <w:pPr>
        <w:ind w:left="2705" w:hanging="1495"/>
        <w:spacing w:after="0"/>
        <w:tabs>
          <w:tab w:leader="none" w:pos="2705"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MEDICAL, DENTAL, DISABILITY, LIFE INSURANCE</w:t>
      </w:r>
    </w:p>
    <w:p>
      <w:pPr>
        <w:spacing w:after="0" w:line="3" w:lineRule="exact"/>
        <w:rPr>
          <w:rFonts w:ascii="Courier New" w:cs="Courier New" w:eastAsia="Courier New" w:hAnsi="Courier New"/>
          <w:sz w:val="16"/>
          <w:szCs w:val="16"/>
          <w:color w:val="auto"/>
        </w:rPr>
      </w:pPr>
    </w:p>
    <w:p>
      <w:pPr>
        <w:ind w:left="5" w:right="323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AND OTHER SIMILAR PLANS AND PROGRAMS. Until the earlier to occur of (i) the last day of the Severance 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w:t>
      </w:r>
    </w:p>
    <w:p>
      <w:pPr>
        <w:spacing w:after="0" w:line="3" w:lineRule="exact"/>
        <w:rPr>
          <w:rFonts w:ascii="Courier New" w:cs="Courier New" w:eastAsia="Courier New" w:hAnsi="Courier New"/>
          <w:sz w:val="16"/>
          <w:szCs w:val="16"/>
          <w:color w:val="auto"/>
        </w:rPr>
      </w:pPr>
    </w:p>
    <w:p>
      <w:pPr>
        <w:ind w:left="5" w:right="3239" w:hanging="5"/>
        <w:spacing w:after="0" w:line="236"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1006" w:right="1440" w:bottom="1440" w:gutter="0" w:footer="0" w:header="0"/>
        </w:sectPr>
      </w:pPr>
    </w:p>
    <w:bookmarkStart w:id="89" w:name="page90"/>
    <w:bookmarkEnd w:id="89"/>
    <w:p>
      <w:pPr>
        <w:ind w:right="3239"/>
        <w:spacing w:after="0" w:line="273" w:lineRule="auto"/>
        <w:rPr>
          <w:sz w:val="20"/>
          <w:szCs w:val="20"/>
          <w:color w:val="auto"/>
        </w:rPr>
      </w:pPr>
      <w:r>
        <w:rPr>
          <w:rFonts w:ascii="Courier New" w:cs="Courier New" w:eastAsia="Courier New" w:hAnsi="Courier New"/>
          <w:sz w:val="14"/>
          <w:szCs w:val="14"/>
          <w:color w:val="auto"/>
        </w:rPr>
        <w:t>providing the Executive and/or his family with the opportunity to receive benefits at least equal to the greatest level of benefits provided by 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 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343" w:lineRule="exact"/>
        <w:rPr>
          <w:sz w:val="20"/>
          <w:szCs w:val="20"/>
          <w:color w:val="auto"/>
        </w:rPr>
      </w:pPr>
    </w:p>
    <w:p>
      <w:pPr>
        <w:ind w:right="3239" w:firstLine="1112"/>
        <w:spacing w:after="0" w:line="273" w:lineRule="auto"/>
        <w:tabs>
          <w:tab w:leader="none" w:pos="269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AND RIGHTS. If the Executive is a participant in 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 The phrase "Termination Date" as used in the Stock Rights shall mean the end of the Severance Period with respect to Non-Qualified Stock Options granted to the Executive, and the Executive's Date of Termination with respect to Incentive Stock Options granted to Executive.</w:t>
      </w:r>
    </w:p>
    <w:p>
      <w:pPr>
        <w:spacing w:after="0" w:line="165" w:lineRule="exact"/>
        <w:rPr>
          <w:sz w:val="20"/>
          <w:szCs w:val="20"/>
          <w:color w:val="auto"/>
        </w:rPr>
      </w:pPr>
    </w:p>
    <w:p>
      <w:pPr>
        <w:ind w:right="3239" w:firstLine="1209"/>
        <w:spacing w:after="0" w:line="236" w:lineRule="auto"/>
        <w:rPr>
          <w:sz w:val="20"/>
          <w:szCs w:val="20"/>
          <w:color w:val="auto"/>
        </w:rPr>
      </w:pPr>
      <w:r>
        <w:rPr>
          <w:rFonts w:ascii="Courier New" w:cs="Courier New" w:eastAsia="Courier New" w:hAnsi="Courier New"/>
          <w:sz w:val="16"/>
          <w:szCs w:val="16"/>
          <w:color w:val="auto"/>
        </w:rPr>
        <w:t>(IV) DEFERRED COMPENSATION. The Company shall pay to the Executive the 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177" w:lineRule="exact"/>
        <w:rPr>
          <w:sz w:val="20"/>
          <w:szCs w:val="20"/>
          <w:color w:val="auto"/>
        </w:rPr>
      </w:pPr>
    </w:p>
    <w:p>
      <w:pPr>
        <w:ind w:left="2700" w:hanging="1030"/>
        <w:spacing w:after="0"/>
        <w:tabs>
          <w:tab w:leader="none" w:pos="270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Notwithstanding anything in the</w:t>
      </w:r>
    </w:p>
    <w:p>
      <w:pPr>
        <w:spacing w:after="0" w:line="3" w:lineRule="exact"/>
        <w:rPr>
          <w:rFonts w:ascii="Courier New" w:cs="Courier New" w:eastAsia="Courier New" w:hAnsi="Courier New"/>
          <w:sz w:val="16"/>
          <w:szCs w:val="16"/>
          <w:color w:val="auto"/>
        </w:rPr>
      </w:pPr>
    </w:p>
    <w:p>
      <w:pPr>
        <w:ind w:right="323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foregoing to the contrary, the Company shall not be obligated to pay any portion of the Severance Benefits otherwise payable to Executive pursuant to Section 5.4 of this Agreement if the Company could not reasonably deduct such portion solely by operation of Section 280G of the Internal Revenue Code of 1986, as amended (the "Code"). For purposes of this limitation: (i) no portion of the Severance Benefits, the receipt or enjoyment of which Executive shall have effectively waived in writing prior to the date of payment, shall be taken into account; (ii) no portion of any Severance Benefits shall be taken into account which, in the opinion of tax counsel selected by the Company's independent auditors and acceptable to Executive, does not constitute a "parachute payment" within the meaning of Section 280G(b)(2) of the Code; (iii) the Severance Benefits to Executive shall be reduced only to the extent necessary so that the total Severance Benefits (other than those referred to in clause (i or ii) ) in their entirety constitute reasonable compensation for services actually rendered within the meaning of Section 280G(b)(4) of the Code, in the opinion of the tax counsel</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012" w:right="1440" w:bottom="1440" w:gutter="0" w:footer="0" w:header="0"/>
        </w:sectPr>
      </w:pPr>
    </w:p>
    <w:bookmarkStart w:id="90" w:name="page91"/>
    <w:bookmarkEnd w:id="90"/>
    <w:p>
      <w:pPr>
        <w:ind w:left="5" w:right="3239"/>
        <w:spacing w:after="0" w:line="235" w:lineRule="auto"/>
        <w:rPr>
          <w:sz w:val="20"/>
          <w:szCs w:val="20"/>
          <w:color w:val="auto"/>
        </w:rPr>
      </w:pPr>
      <w:r>
        <w:rPr>
          <w:rFonts w:ascii="Courier New" w:cs="Courier New" w:eastAsia="Courier New" w:hAnsi="Courier New"/>
          <w:sz w:val="16"/>
          <w:szCs w:val="16"/>
          <w:color w:val="auto"/>
        </w:rPr>
        <w:t>referred to in clause (ii); and (iv) the value of any non-cash benefit or any deferred payment or benefit included in the Severance Benefits shall be determined by the Company's independent auditors in accordance with the principles of Sections 280G(d)(3) and (4) of the Code.</w:t>
      </w:r>
    </w:p>
    <w:p>
      <w:pPr>
        <w:spacing w:after="0" w:line="178"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Dated as of the 15th day of February, 1995.</w:t>
      </w:r>
    </w:p>
    <w:p>
      <w:pPr>
        <w:sectPr>
          <w:pgSz w:w="11900" w:h="16838" w:orient="portrait"/>
          <w:cols w:equalWidth="0" w:num="1">
            <w:col w:w="10224"/>
          </w:cols>
          <w:pgMar w:left="235" w:top="833" w:right="1440" w:bottom="1440" w:gutter="0" w:footer="0" w:header="0"/>
        </w:sectPr>
      </w:pP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 SONIA ASENCIO</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Witness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WEISER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sectPr>
          <w:pgSz w:w="11900" w:h="16838" w:orient="portrait"/>
          <w:cols w:equalWidth="0" w:num="2">
            <w:col w:w="3185" w:space="720"/>
            <w:col w:w="6319"/>
          </w:cols>
          <w:pgMar w:left="235" w:top="833" w:right="1440" w:bottom="1440" w:gutter="0" w:footer="0" w:header="0"/>
          <w:type w:val="continuous"/>
        </w:sectPr>
      </w:pPr>
    </w:p>
    <w:p>
      <w:pPr>
        <w:ind w:left="185"/>
        <w:spacing w:after="0"/>
        <w:rPr>
          <w:sz w:val="20"/>
          <w:szCs w:val="20"/>
          <w:color w:val="auto"/>
        </w:rPr>
      </w:pPr>
      <w:r>
        <w:rPr>
          <w:rFonts w:ascii="Courier New" w:cs="Courier New" w:eastAsia="Courier New" w:hAnsi="Courier New"/>
          <w:sz w:val="16"/>
          <w:szCs w:val="16"/>
          <w:color w:val="auto"/>
        </w:rPr>
        <w:t>/S/ JANET RUSAKOV</w:t>
      </w:r>
    </w:p>
    <w:p>
      <w:pPr>
        <w:ind w:left="5"/>
        <w:spacing w:after="0" w:line="236" w:lineRule="auto"/>
        <w:rPr>
          <w:sz w:val="20"/>
          <w:szCs w:val="20"/>
          <w:color w:val="auto"/>
        </w:rPr>
      </w:pPr>
      <w:r>
        <w:rPr>
          <w:rFonts w:ascii="Courier New" w:cs="Courier New" w:eastAsia="Courier New" w:hAnsi="Courier New"/>
          <w:sz w:val="16"/>
          <w:szCs w:val="16"/>
          <w:color w:val="auto"/>
        </w:rPr>
        <w:t>- -------------------</w:t>
      </w:r>
    </w:p>
    <w:p>
      <w:pPr>
        <w:ind w:left="5"/>
        <w:spacing w:after="0" w:line="237" w:lineRule="auto"/>
        <w:rPr>
          <w:sz w:val="20"/>
          <w:szCs w:val="20"/>
          <w:color w:val="auto"/>
        </w:rPr>
      </w:pPr>
      <w:r>
        <w:rPr>
          <w:rFonts w:ascii="Courier New" w:cs="Courier New" w:eastAsia="Courier New" w:hAnsi="Courier New"/>
          <w:sz w:val="16"/>
          <w:szCs w:val="16"/>
          <w:color w:val="auto"/>
        </w:rPr>
        <w:t>Witness</w:t>
      </w:r>
    </w:p>
    <w:p>
      <w:pPr>
        <w:spacing w:after="0" w:line="183" w:lineRule="exact"/>
        <w:rPr>
          <w:sz w:val="20"/>
          <w:szCs w:val="20"/>
          <w:color w:val="auto"/>
        </w:rPr>
      </w:pPr>
    </w:p>
    <w:p>
      <w:pPr>
        <w:jc w:val="center"/>
        <w:ind w:right="-184"/>
        <w:spacing w:after="0"/>
        <w:rPr>
          <w:sz w:val="20"/>
          <w:szCs w:val="20"/>
          <w:color w:val="auto"/>
        </w:rPr>
      </w:pPr>
      <w:r>
        <w:rPr>
          <w:rFonts w:ascii="Courier New" w:cs="Courier New" w:eastAsia="Courier New" w:hAnsi="Courier New"/>
          <w:sz w:val="14"/>
          <w:szCs w:val="14"/>
          <w:color w:val="auto"/>
        </w:rPr>
        <w:t>INTERNATIONAL RECOVERY CORP.</w:t>
      </w:r>
    </w:p>
    <w:p>
      <w:pPr>
        <w:sectPr>
          <w:pgSz w:w="11900" w:h="16838" w:orient="portrait"/>
          <w:cols w:equalWidth="0" w:num="1">
            <w:col w:w="10224"/>
          </w:cols>
          <w:pgMar w:left="235" w:top="833" w:right="1440" w:bottom="1440" w:gutter="0" w:footer="0" w:header="0"/>
          <w:type w:val="continuous"/>
        </w:sectPr>
      </w:pPr>
    </w:p>
    <w:p>
      <w:pPr>
        <w:spacing w:after="0" w:line="199"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/S/ SONIA ASENCIO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R. BENBOW</w:t>
      </w:r>
    </w:p>
    <w:p>
      <w:pPr>
        <w:spacing w:after="0" w:line="14" w:lineRule="exact"/>
        <w:rPr>
          <w:sz w:val="20"/>
          <w:szCs w:val="20"/>
          <w:color w:val="auto"/>
        </w:rPr>
      </w:pPr>
    </w:p>
    <w:p>
      <w:pPr>
        <w:sectPr>
          <w:pgSz w:w="11900" w:h="16838" w:orient="portrait"/>
          <w:cols w:equalWidth="0" w:num="3">
            <w:col w:w="3185" w:space="720"/>
            <w:col w:w="280" w:space="180"/>
            <w:col w:w="5859"/>
          </w:cols>
          <w:pgMar w:left="235" w:top="833" w:right="1440" w:bottom="1440" w:gutter="0" w:footer="0" w:header="0"/>
          <w:type w:val="continuous"/>
        </w:sectPr>
      </w:pPr>
    </w:p>
    <w:p>
      <w:pPr>
        <w:spacing w:after="0" w:line="6"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Witness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Benbow, Chairman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77" w:lineRule="exact"/>
        <w:rPr>
          <w:sz w:val="20"/>
          <w:szCs w:val="20"/>
          <w:color w:val="auto"/>
        </w:rPr>
      </w:pPr>
    </w:p>
    <w:p>
      <w:pPr>
        <w:sectPr>
          <w:pgSz w:w="11900" w:h="16838" w:orient="portrait"/>
          <w:cols w:equalWidth="0" w:num="2">
            <w:col w:w="3645" w:space="720"/>
            <w:col w:w="5859"/>
          </w:cols>
          <w:pgMar w:left="235" w:top="833" w:right="1440" w:bottom="1440" w:gutter="0" w:footer="0" w:header="0"/>
          <w:type w:val="continuous"/>
        </w:sectPr>
      </w:pPr>
    </w:p>
    <w:p>
      <w:pPr>
        <w:ind w:left="185"/>
        <w:spacing w:after="0"/>
        <w:rPr>
          <w:sz w:val="20"/>
          <w:szCs w:val="20"/>
          <w:color w:val="auto"/>
        </w:rPr>
      </w:pPr>
      <w:r>
        <w:rPr>
          <w:rFonts w:ascii="Courier New" w:cs="Courier New" w:eastAsia="Courier New" w:hAnsi="Courier New"/>
          <w:sz w:val="16"/>
          <w:szCs w:val="16"/>
          <w:color w:val="auto"/>
        </w:rPr>
        <w:t>/S/ JANET RUSAKOV</w:t>
      </w:r>
    </w:p>
    <w:p>
      <w:pPr>
        <w:ind w:left="185" w:hanging="185"/>
        <w:spacing w:after="0" w:line="236" w:lineRule="auto"/>
        <w:tabs>
          <w:tab w:leader="none" w:pos="18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Witness</w:t>
      </w:r>
    </w:p>
    <w:p>
      <w:pPr>
        <w:spacing w:after="0" w:line="183" w:lineRule="exact"/>
        <w:rPr>
          <w:sz w:val="20"/>
          <w:szCs w:val="20"/>
          <w:color w:val="auto"/>
        </w:rPr>
      </w:pPr>
    </w:p>
    <w:p>
      <w:pPr>
        <w:ind w:left="3905"/>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24"/>
          </w:cols>
          <w:pgMar w:left="235" w:top="833" w:right="1440" w:bottom="1440" w:gutter="0" w:footer="0" w:header="0"/>
          <w:type w:val="continuous"/>
        </w:sectPr>
      </w:pPr>
    </w:p>
    <w:bookmarkStart w:id="91" w:name="page92"/>
    <w:bookmarkEnd w:id="91"/>
    <w:p>
      <w:pPr>
        <w:ind w:left="1660"/>
        <w:spacing w:after="0"/>
        <w:rPr>
          <w:sz w:val="20"/>
          <w:szCs w:val="20"/>
          <w:color w:val="auto"/>
        </w:rPr>
      </w:pPr>
      <w:r>
        <w:rPr>
          <w:rFonts w:ascii="Courier New" w:cs="Courier New" w:eastAsia="Courier New" w:hAnsi="Courier New"/>
          <w:sz w:val="16"/>
          <w:szCs w:val="16"/>
          <w:color w:val="auto"/>
        </w:rPr>
        <w:t>CONSOLIDATED AMENDMENT AGREEMENT NO. 3</w:t>
      </w:r>
    </w:p>
    <w:p>
      <w:pPr>
        <w:spacing w:after="0" w:line="183" w:lineRule="exact"/>
        <w:rPr>
          <w:sz w:val="20"/>
          <w:szCs w:val="20"/>
          <w:color w:val="auto"/>
        </w:rPr>
      </w:pPr>
    </w:p>
    <w:p>
      <w:pPr>
        <w:ind w:right="3719" w:firstLine="837"/>
        <w:spacing w:after="0" w:line="236" w:lineRule="auto"/>
        <w:rPr>
          <w:sz w:val="20"/>
          <w:szCs w:val="20"/>
          <w:color w:val="auto"/>
        </w:rPr>
      </w:pPr>
      <w:r>
        <w:rPr>
          <w:rFonts w:ascii="Courier New" w:cs="Courier New" w:eastAsia="Courier New" w:hAnsi="Courier New"/>
          <w:sz w:val="16"/>
          <w:szCs w:val="16"/>
          <w:color w:val="auto"/>
        </w:rPr>
        <w:t>THIS AMENDMENT AGREEMENT NO. 3 (the "Amendment Agreement") is made and entered into as of this 5th day of May, 1995, effective as of March 31, 1995, by and among INTERNATIONAL RECOVERY CORP., a Florida corporation having its principal place of business in Miami Springs, Florida (the "Borrower"), each of the undersigned guarantors (each a "Guarantor" and collectively the "Guarantors"), and NATIONSBANK OF FLORIDA, NATIONAL ASSOCIATION, a national banking association and successor by merger to Citizens &amp; Southern National Bank of Florida (the "Lender"). Unless the context otherwise requires, all terms used herein without definition shall have the respective definitions provided therefor in the Credit Agreement (as defined below).</w:t>
      </w:r>
    </w:p>
    <w:p>
      <w:pPr>
        <w:spacing w:after="0" w:line="18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 I T N E S S E T H:</w:t>
      </w:r>
    </w:p>
    <w:p>
      <w:pPr>
        <w:spacing w:after="0" w:line="183" w:lineRule="exact"/>
        <w:rPr>
          <w:sz w:val="20"/>
          <w:szCs w:val="20"/>
          <w:color w:val="auto"/>
        </w:rPr>
      </w:pPr>
    </w:p>
    <w:p>
      <w:pPr>
        <w:ind w:right="3999" w:firstLine="837"/>
        <w:spacing w:after="0" w:line="236" w:lineRule="auto"/>
        <w:rPr>
          <w:sz w:val="20"/>
          <w:szCs w:val="20"/>
          <w:color w:val="auto"/>
        </w:rPr>
      </w:pPr>
      <w:r>
        <w:rPr>
          <w:rFonts w:ascii="Courier New" w:cs="Courier New" w:eastAsia="Courier New" w:hAnsi="Courier New"/>
          <w:sz w:val="16"/>
          <w:szCs w:val="16"/>
          <w:color w:val="auto"/>
        </w:rPr>
        <w:t>WHEREAS, the Borrower, the Guarantors and the Lender have entered into that certain Revolving Loan Agreement and Credit Facility dated as of March 1, 1991, as amended by First Amendment to Revolving Loan Agreement and Credit Facility dated April 13, 1993 by and among the Borrower, the Lender and the Guarantors and as further amended by that certain Letter Agreement by and among the Borrower, the Lender and the Guarantors, whereby the Lender has made revolving credit loans to the Borrower, as at any time hereafter amended, restated, modified or supplemented, the "Credit Agreement"; and</w:t>
      </w:r>
    </w:p>
    <w:p>
      <w:pPr>
        <w:spacing w:after="0" w:line="186" w:lineRule="exact"/>
        <w:rPr>
          <w:sz w:val="20"/>
          <w:szCs w:val="20"/>
          <w:color w:val="auto"/>
        </w:rPr>
      </w:pPr>
    </w:p>
    <w:p>
      <w:pPr>
        <w:ind w:right="3799" w:firstLine="837"/>
        <w:spacing w:after="0" w:line="235" w:lineRule="auto"/>
        <w:rPr>
          <w:sz w:val="20"/>
          <w:szCs w:val="20"/>
          <w:color w:val="auto"/>
        </w:rPr>
      </w:pPr>
      <w:r>
        <w:rPr>
          <w:rFonts w:ascii="Courier New" w:cs="Courier New" w:eastAsia="Courier New" w:hAnsi="Courier New"/>
          <w:sz w:val="16"/>
          <w:szCs w:val="16"/>
          <w:color w:val="auto"/>
        </w:rPr>
        <w:t>WHEREAS, each of the Guarantors has executed in favor of the Lender a Guaranty Agreement pursuant to which it has guaranteed the payment and performance of the Borrower's obligations under the Loan Documents (each a "Guaranty" and collectively the "Guaranties"); and</w:t>
      </w:r>
    </w:p>
    <w:p>
      <w:pPr>
        <w:spacing w:after="0" w:line="186" w:lineRule="exact"/>
        <w:rPr>
          <w:sz w:val="20"/>
          <w:szCs w:val="20"/>
          <w:color w:val="auto"/>
        </w:rPr>
      </w:pPr>
    </w:p>
    <w:p>
      <w:pPr>
        <w:ind w:right="3719" w:firstLine="837"/>
        <w:spacing w:after="0" w:line="235" w:lineRule="auto"/>
        <w:rPr>
          <w:sz w:val="20"/>
          <w:szCs w:val="20"/>
          <w:color w:val="auto"/>
        </w:rPr>
      </w:pPr>
      <w:r>
        <w:rPr>
          <w:rFonts w:ascii="Courier New" w:cs="Courier New" w:eastAsia="Courier New" w:hAnsi="Courier New"/>
          <w:sz w:val="16"/>
          <w:szCs w:val="16"/>
          <w:color w:val="auto"/>
        </w:rPr>
        <w:t>WHEREAS, the Borrower has completed its acquisition of Trans-Tec Services, Inc. and certain affiliates thereof and has requested that the Lender formally consent to such acquisition; and</w:t>
      </w:r>
    </w:p>
    <w:p>
      <w:pPr>
        <w:spacing w:after="0" w:line="183" w:lineRule="exact"/>
        <w:rPr>
          <w:sz w:val="20"/>
          <w:szCs w:val="20"/>
          <w:color w:val="auto"/>
        </w:rPr>
      </w:pPr>
    </w:p>
    <w:p>
      <w:pPr>
        <w:ind w:right="3719" w:firstLine="837"/>
        <w:spacing w:after="0" w:line="234" w:lineRule="auto"/>
        <w:rPr>
          <w:sz w:val="20"/>
          <w:szCs w:val="20"/>
          <w:color w:val="auto"/>
        </w:rPr>
      </w:pPr>
      <w:r>
        <w:rPr>
          <w:rFonts w:ascii="Courier New" w:cs="Courier New" w:eastAsia="Courier New" w:hAnsi="Courier New"/>
          <w:sz w:val="16"/>
          <w:szCs w:val="16"/>
          <w:color w:val="auto"/>
        </w:rPr>
        <w:t>WHEREAS, the Lender is willing to consent to such acquisition upon the terms and conditions set forth herein;</w:t>
      </w:r>
    </w:p>
    <w:p>
      <w:pPr>
        <w:spacing w:after="0" w:line="183" w:lineRule="exact"/>
        <w:rPr>
          <w:sz w:val="20"/>
          <w:szCs w:val="20"/>
          <w:color w:val="auto"/>
        </w:rPr>
      </w:pPr>
    </w:p>
    <w:p>
      <w:pPr>
        <w:ind w:right="4559" w:firstLine="837"/>
        <w:spacing w:after="0" w:line="295" w:lineRule="auto"/>
        <w:rPr>
          <w:sz w:val="20"/>
          <w:szCs w:val="20"/>
          <w:color w:val="auto"/>
        </w:rPr>
      </w:pPr>
      <w:r>
        <w:rPr>
          <w:rFonts w:ascii="Courier New" w:cs="Courier New" w:eastAsia="Courier New" w:hAnsi="Courier New"/>
          <w:sz w:val="14"/>
          <w:szCs w:val="14"/>
          <w:color w:val="auto"/>
        </w:rPr>
        <w:t>NOW, THEREFORE, in consideration of the premises and conditions herein set forth, it is hereby agreed as follows:</w:t>
      </w:r>
    </w:p>
    <w:p>
      <w:pPr>
        <w:spacing w:after="0" w:line="147" w:lineRule="exact"/>
        <w:rPr>
          <w:sz w:val="20"/>
          <w:szCs w:val="20"/>
          <w:color w:val="auto"/>
        </w:rPr>
      </w:pPr>
    </w:p>
    <w:p>
      <w:pPr>
        <w:ind w:right="3519" w:firstLine="833"/>
        <w:spacing w:after="0" w:line="270" w:lineRule="auto"/>
        <w:tabs>
          <w:tab w:leader="none" w:pos="167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AMENDMENT. Subject to the conditions hereof, the Credit Agreement is hereby amended, effective as of</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March 31, 1995, as follows:</w:t>
      </w:r>
    </w:p>
    <w:p>
      <w:pPr>
        <w:spacing w:after="0" w:line="183" w:lineRule="exact"/>
        <w:rPr>
          <w:rFonts w:ascii="Courier New" w:cs="Courier New" w:eastAsia="Courier New" w:hAnsi="Courier New"/>
          <w:sz w:val="14"/>
          <w:szCs w:val="14"/>
          <w:color w:val="auto"/>
        </w:rPr>
      </w:pPr>
    </w:p>
    <w:p>
      <w:pPr>
        <w:ind w:left="840" w:right="3059" w:firstLine="830"/>
        <w:spacing w:after="0" w:line="235" w:lineRule="auto"/>
        <w:tabs>
          <w:tab w:leader="none" w:pos="2514"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 thereof is hereby amended to include the following definitions, which definitions shall be added in alphabetical order therein and the subsections thereof</w:t>
      </w:r>
    </w:p>
    <w:p>
      <w:pPr>
        <w:ind w:left="8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renumbered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60" w:right="3339"/>
        <w:spacing w:after="0" w:line="235" w:lineRule="auto"/>
        <w:rPr>
          <w:sz w:val="20"/>
          <w:szCs w:val="20"/>
          <w:color w:val="auto"/>
        </w:rPr>
      </w:pPr>
      <w:r>
        <w:rPr>
          <w:rFonts w:ascii="Courier New" w:cs="Courier New" w:eastAsia="Courier New" w:hAnsi="Courier New"/>
          <w:sz w:val="16"/>
          <w:szCs w:val="16"/>
          <w:color w:val="auto"/>
        </w:rPr>
        <w:t>"'Consolidated Capitalization' means, at any time at which the amount thereof is to be determined, the sum of Consolidated Funded Indebtedness plus Consolidated Shareholders' Equity."</w:t>
      </w:r>
    </w:p>
    <w:p>
      <w:pPr>
        <w:spacing w:after="0" w:line="185" w:lineRule="exact"/>
        <w:rPr>
          <w:sz w:val="20"/>
          <w:szCs w:val="20"/>
          <w:color w:val="auto"/>
        </w:rPr>
      </w:pPr>
    </w:p>
    <w:p>
      <w:pPr>
        <w:ind w:left="1660" w:right="3239"/>
        <w:spacing w:after="0" w:line="236" w:lineRule="auto"/>
        <w:rPr>
          <w:sz w:val="20"/>
          <w:szCs w:val="20"/>
          <w:color w:val="auto"/>
        </w:rPr>
      </w:pPr>
      <w:r>
        <w:rPr>
          <w:rFonts w:ascii="Courier New" w:cs="Courier New" w:eastAsia="Courier New" w:hAnsi="Courier New"/>
          <w:sz w:val="16"/>
          <w:szCs w:val="16"/>
          <w:color w:val="auto"/>
        </w:rPr>
        <w:t>"'Consolidated Current Liabilities' means the aggregate amount carried as current liabilities on the books of the Borrower and its Subsidiaries, on a consolidated basis and after eliminating all intercompany items, determined in accordance with Generally Accepted Accounting Principles applied on a Consistent Basis, less any such amount constituting Obligations of the Borrower incurred pursuant to this Agreement."</w:t>
      </w:r>
    </w:p>
    <w:p>
      <w:pPr>
        <w:spacing w:after="0" w:line="184" w:lineRule="exact"/>
        <w:rPr>
          <w:sz w:val="20"/>
          <w:szCs w:val="20"/>
          <w:color w:val="auto"/>
        </w:rPr>
      </w:pPr>
    </w:p>
    <w:p>
      <w:pPr>
        <w:ind w:left="1660" w:right="3239"/>
        <w:spacing w:after="0" w:line="236" w:lineRule="auto"/>
        <w:rPr>
          <w:sz w:val="20"/>
          <w:szCs w:val="20"/>
          <w:color w:val="auto"/>
        </w:rPr>
      </w:pPr>
      <w:r>
        <w:rPr>
          <w:rFonts w:ascii="Courier New" w:cs="Courier New" w:eastAsia="Courier New" w:hAnsi="Courier New"/>
          <w:sz w:val="16"/>
          <w:szCs w:val="16"/>
          <w:color w:val="auto"/>
        </w:rPr>
        <w:t>"'Consolidated EBITDA' means, with respect to the Borrower and its Subsidiaries for any period of computation thereof, the sum of, without duplication, (i) Consolidated Net Income, (ii) Consolidated Interest Expense, (iii) provision for taxes, (iv) depreciation, and (v) amortization, all determined on a consolidated basis in accordance with Generally Accepted Accounting Principles applied on a Consistent Basis."</w:t>
      </w:r>
    </w:p>
    <w:p>
      <w:pPr>
        <w:spacing w:after="0" w:line="184" w:lineRule="exact"/>
        <w:rPr>
          <w:sz w:val="20"/>
          <w:szCs w:val="20"/>
          <w:color w:val="auto"/>
        </w:rPr>
      </w:pPr>
    </w:p>
    <w:p>
      <w:pPr>
        <w:ind w:left="1660" w:right="3339"/>
        <w:spacing w:after="0" w:line="235" w:lineRule="auto"/>
        <w:rPr>
          <w:sz w:val="20"/>
          <w:szCs w:val="20"/>
          <w:color w:val="auto"/>
        </w:rPr>
      </w:pPr>
      <w:r>
        <w:rPr>
          <w:rFonts w:ascii="Courier New" w:cs="Courier New" w:eastAsia="Courier New" w:hAnsi="Courier New"/>
          <w:sz w:val="16"/>
          <w:szCs w:val="16"/>
          <w:color w:val="auto"/>
        </w:rPr>
        <w:t>"'Consolidated Fixed Charge Coverage Ratio' means, with respect to any Four-Quarter Period, the ratio of (i) the sum, for such period, of Consolidated EBITDA, minus maintenance capital expenditures to (ii) Consolidated Fixed Charges for such period."</w:t>
      </w:r>
    </w:p>
    <w:p>
      <w:pPr>
        <w:spacing w:after="0" w:line="186" w:lineRule="exact"/>
        <w:rPr>
          <w:sz w:val="20"/>
          <w:szCs w:val="20"/>
          <w:color w:val="auto"/>
        </w:rPr>
      </w:pPr>
    </w:p>
    <w:p>
      <w:pPr>
        <w:ind w:left="1660" w:right="3239"/>
        <w:spacing w:after="0" w:line="279" w:lineRule="auto"/>
        <w:rPr>
          <w:sz w:val="20"/>
          <w:szCs w:val="20"/>
          <w:color w:val="auto"/>
        </w:rPr>
      </w:pPr>
      <w:r>
        <w:rPr>
          <w:rFonts w:ascii="Courier New" w:cs="Courier New" w:eastAsia="Courier New" w:hAnsi="Courier New"/>
          <w:sz w:val="14"/>
          <w:szCs w:val="14"/>
          <w:color w:val="auto"/>
        </w:rPr>
        <w:t>"'Consolidated Fixed Charges' means, with respect to Borrower and its Subsidiaries for any period of computation thereof, the sum of, without duplication, (i) Consolidated Interest Expense, (ii) Current Maturities of</w:t>
      </w:r>
    </w:p>
    <w:p>
      <w:pPr>
        <w:sectPr>
          <w:pgSz w:w="11900" w:h="16838" w:orient="portrait"/>
          <w:cols w:equalWidth="0" w:num="1">
            <w:col w:w="10219"/>
          </w:cols>
          <w:pgMar w:left="240" w:top="314" w:right="1440" w:bottom="0" w:gutter="0" w:footer="0" w:header="0"/>
        </w:sectPr>
      </w:pPr>
    </w:p>
    <w:bookmarkStart w:id="92" w:name="page93"/>
    <w:bookmarkEnd w:id="92"/>
    <w:p>
      <w:pPr>
        <w:ind w:left="460" w:right="3239"/>
        <w:spacing w:after="0" w:line="275" w:lineRule="auto"/>
        <w:rPr>
          <w:sz w:val="20"/>
          <w:szCs w:val="20"/>
          <w:color w:val="auto"/>
        </w:rPr>
      </w:pPr>
      <w:r>
        <w:rPr>
          <w:rFonts w:ascii="Courier New" w:cs="Courier New" w:eastAsia="Courier New" w:hAnsi="Courier New"/>
          <w:sz w:val="14"/>
          <w:szCs w:val="14"/>
          <w:color w:val="auto"/>
        </w:rPr>
        <w:t>Long-Term Debt (including all capital lease obligations) and (iii) all cash dividends and distributions paid during such period (regardless of when declared) on any shares of capital stock of the Borrower then outstanding, all determined on a consolidated basis in accordance with Generally Accepted Accounting Principles applied on a Consistent Basis."</w:t>
      </w:r>
    </w:p>
    <w:p>
      <w:pPr>
        <w:spacing w:after="0" w:line="341" w:lineRule="exact"/>
        <w:rPr>
          <w:sz w:val="20"/>
          <w:szCs w:val="20"/>
          <w:color w:val="auto"/>
        </w:rPr>
      </w:pPr>
    </w:p>
    <w:p>
      <w:pPr>
        <w:ind w:left="460" w:right="3239"/>
        <w:spacing w:after="0" w:line="235" w:lineRule="auto"/>
        <w:rPr>
          <w:sz w:val="20"/>
          <w:szCs w:val="20"/>
          <w:color w:val="auto"/>
        </w:rPr>
      </w:pPr>
      <w:r>
        <w:rPr>
          <w:rFonts w:ascii="Courier New" w:cs="Courier New" w:eastAsia="Courier New" w:hAnsi="Courier New"/>
          <w:sz w:val="16"/>
          <w:szCs w:val="16"/>
          <w:color w:val="auto"/>
        </w:rPr>
        <w:t>"'Consolidated Funded Indebtedness' means, at any time as of which the amount thereof is to be determined, (i) all Indebtedness for Money Borrowed (excluding from the computation thereof Consolidated Current Liabilities other than Current Maturities of Long-Term Debt), plus</w:t>
      </w:r>
    </w:p>
    <w:p>
      <w:pPr>
        <w:spacing w:after="0" w:line="7" w:lineRule="exact"/>
        <w:rPr>
          <w:sz w:val="20"/>
          <w:szCs w:val="20"/>
          <w:color w:val="auto"/>
        </w:rPr>
      </w:pPr>
    </w:p>
    <w:p>
      <w:pPr>
        <w:ind w:left="460" w:right="3239" w:firstLine="10"/>
        <w:spacing w:after="0" w:line="236" w:lineRule="auto"/>
        <w:tabs>
          <w:tab w:leader="none" w:pos="92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face amount of all outstanding standby letters of credit issued for the account of the Borrower or any of its Subsidiaries and all obligations (to the extent not duplicative) arising under such letters of credit, all determined on a consolidated basis in accordance with Generally Accepted Accounting Principles applied on a Consistent Basis."</w:t>
      </w:r>
    </w:p>
    <w:p>
      <w:pPr>
        <w:spacing w:after="0" w:line="17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93" w:name="page94"/>
    <w:bookmarkEnd w:id="93"/>
    <w:p>
      <w:pPr>
        <w:ind w:left="460" w:right="3239"/>
        <w:spacing w:after="0" w:line="273" w:lineRule="auto"/>
        <w:rPr>
          <w:sz w:val="20"/>
          <w:szCs w:val="20"/>
          <w:color w:val="auto"/>
        </w:rPr>
      </w:pPr>
      <w:r>
        <w:rPr>
          <w:rFonts w:ascii="Courier New" w:cs="Courier New" w:eastAsia="Courier New" w:hAnsi="Courier New"/>
          <w:sz w:val="14"/>
          <w:szCs w:val="14"/>
          <w:color w:val="auto"/>
        </w:rPr>
        <w:t>"'Consolidated Interest Expense' means, with respect to any period of computation thereof, the gross interest expense of the Borrower and its Subsidiaries, including without limitation (i) the amortization of debt discounts, (ii) the amortization of all fees payable in connection with the incurrence of Indebtedness to the extent included in interest expense and (iii) the portion of any payments made in connection with Capital Leases allocable to interest expense, all determined on a consolidated basis in accordance with Generally Accepted Accounting Principles applied on a Consistent Basis."</w:t>
      </w:r>
    </w:p>
    <w:p>
      <w:pPr>
        <w:spacing w:after="0" w:line="343" w:lineRule="exact"/>
        <w:rPr>
          <w:sz w:val="20"/>
          <w:szCs w:val="20"/>
          <w:color w:val="auto"/>
        </w:rPr>
      </w:pPr>
    </w:p>
    <w:p>
      <w:pPr>
        <w:ind w:left="460" w:right="3339"/>
        <w:spacing w:after="0" w:line="236" w:lineRule="auto"/>
        <w:rPr>
          <w:sz w:val="20"/>
          <w:szCs w:val="20"/>
          <w:color w:val="auto"/>
        </w:rPr>
      </w:pPr>
      <w:r>
        <w:rPr>
          <w:rFonts w:ascii="Courier New" w:cs="Courier New" w:eastAsia="Courier New" w:hAnsi="Courier New"/>
          <w:sz w:val="16"/>
          <w:szCs w:val="16"/>
          <w:color w:val="auto"/>
        </w:rPr>
        <w:t>"'Consolidated Net Income' means, for the Borrower and its Subsidiaries, for any period of computation thereof, the amount which, in conformity with Generally Accepted Accounting Principles, would be set forth opposite the caption "Net Income" (or any like caption) on a consolidated statement of earnings of the Borrower and its Subsidiaries."</w:t>
      </w:r>
    </w:p>
    <w:p>
      <w:pPr>
        <w:spacing w:after="0" w:line="184" w:lineRule="exact"/>
        <w:rPr>
          <w:sz w:val="20"/>
          <w:szCs w:val="20"/>
          <w:color w:val="auto"/>
        </w:rPr>
      </w:pPr>
    </w:p>
    <w:p>
      <w:pPr>
        <w:ind w:left="460" w:right="3239"/>
        <w:spacing w:after="0" w:line="273" w:lineRule="auto"/>
        <w:rPr>
          <w:sz w:val="20"/>
          <w:szCs w:val="20"/>
          <w:color w:val="auto"/>
        </w:rPr>
      </w:pPr>
      <w:r>
        <w:rPr>
          <w:rFonts w:ascii="Courier New" w:cs="Courier New" w:eastAsia="Courier New" w:hAnsi="Courier New"/>
          <w:sz w:val="14"/>
          <w:szCs w:val="14"/>
          <w:color w:val="auto"/>
        </w:rPr>
        <w:t>"'Consolidated Shareholders' Equity' means at any time as of which the amount thereof is to be determined, the sum of the following in respect of the Borrower and its Subsidiaries (determined on a consolidated basis and excluding intercompany items among the Borrower and its Subsidiaries and any upward adjustment after December 31, 1994 due to revaluation of assets): (i) the amount of issued and outstanding share capital, plus (ii) the amount of additional paid-in capital and retained income (or, in the case of a deficit, minus the amount of such deficit), plus (iii) the amount of any foreign currency translation adjustment (if positive, or, if negative, minus the amount of such translation adjustment) minus</w:t>
      </w:r>
    </w:p>
    <w:p>
      <w:pPr>
        <w:spacing w:after="0" w:line="161" w:lineRule="exact"/>
        <w:rPr>
          <w:sz w:val="20"/>
          <w:szCs w:val="20"/>
          <w:color w:val="auto"/>
        </w:rPr>
      </w:pPr>
    </w:p>
    <w:p>
      <w:pPr>
        <w:ind w:left="460" w:right="3519" w:firstLine="10"/>
        <w:spacing w:after="0" w:line="279" w:lineRule="auto"/>
        <w:tabs>
          <w:tab w:leader="none" w:pos="92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any treasury stock and the book value of any stock subscription receivables, all as determined in accordance with Generally Accepted Accounting Principles applied on a Consistent Basis."</w:t>
      </w:r>
    </w:p>
    <w:p>
      <w:pPr>
        <w:spacing w:after="0" w:line="157" w:lineRule="exact"/>
        <w:rPr>
          <w:sz w:val="20"/>
          <w:szCs w:val="20"/>
          <w:color w:val="auto"/>
        </w:rPr>
      </w:pPr>
    </w:p>
    <w:p>
      <w:pPr>
        <w:ind w:left="460" w:right="3339"/>
        <w:spacing w:after="0" w:line="274" w:lineRule="auto"/>
        <w:rPr>
          <w:sz w:val="20"/>
          <w:szCs w:val="20"/>
          <w:color w:val="auto"/>
        </w:rPr>
      </w:pPr>
      <w:r>
        <w:rPr>
          <w:rFonts w:ascii="Courier New" w:cs="Courier New" w:eastAsia="Courier New" w:hAnsi="Courier New"/>
          <w:sz w:val="14"/>
          <w:szCs w:val="14"/>
          <w:color w:val="auto"/>
        </w:rPr>
        <w:t>"'Consolidated Working Assets' means, at any time as of which the amount thereof is to be determined, the sum of cash plus the book value of cash equivalents, accounts receivable net of allowance for doubtful accounts, inventory and prepaid fuel, all determined on a consolidated basis in accordance with Generally Accepted Accounting Principles applied on a Consistent Basis."</w:t>
      </w:r>
    </w:p>
    <w:p>
      <w:pPr>
        <w:spacing w:after="0" w:line="164" w:lineRule="exact"/>
        <w:rPr>
          <w:sz w:val="20"/>
          <w:szCs w:val="20"/>
          <w:color w:val="auto"/>
        </w:rPr>
      </w:pPr>
    </w:p>
    <w:p>
      <w:pPr>
        <w:ind w:left="460" w:right="3239"/>
        <w:spacing w:after="0" w:line="274" w:lineRule="auto"/>
        <w:rPr>
          <w:sz w:val="20"/>
          <w:szCs w:val="20"/>
          <w:color w:val="auto"/>
        </w:rPr>
      </w:pPr>
      <w:r>
        <w:rPr>
          <w:rFonts w:ascii="Courier New" w:cs="Courier New" w:eastAsia="Courier New" w:hAnsi="Courier New"/>
          <w:sz w:val="14"/>
          <w:szCs w:val="14"/>
          <w:color w:val="auto"/>
        </w:rPr>
        <w:t>"'Current Maturities of Long-Term Debt' means, with respect to Indebtedness for Money Borrowed that matures more than one year from the date of its creation or matures within one year of the date of its creation but is renewable or extendable, at the option of the Borrower or any Subsidiary, to a date more than one year from the date of its creation, all payments in respect thereof</w:t>
      </w:r>
    </w:p>
    <w:p>
      <w:pPr>
        <w:spacing w:after="0" w:line="158"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654" w:right="1440" w:bottom="1440" w:gutter="0" w:footer="0" w:header="0"/>
        </w:sectPr>
      </w:pPr>
    </w:p>
    <w:bookmarkStart w:id="94" w:name="page95"/>
    <w:bookmarkEnd w:id="94"/>
    <w:p>
      <w:pPr>
        <w:ind w:left="460" w:right="3619"/>
        <w:spacing w:after="0" w:line="234" w:lineRule="auto"/>
        <w:rPr>
          <w:sz w:val="20"/>
          <w:szCs w:val="20"/>
          <w:color w:val="auto"/>
        </w:rPr>
      </w:pPr>
      <w:r>
        <w:rPr>
          <w:rFonts w:ascii="Courier New" w:cs="Courier New" w:eastAsia="Courier New" w:hAnsi="Courier New"/>
          <w:sz w:val="16"/>
          <w:szCs w:val="16"/>
          <w:color w:val="auto"/>
        </w:rPr>
        <w:t>that are required to be made within one year from the date of any determination thereof."</w:t>
      </w:r>
    </w:p>
    <w:p>
      <w:pPr>
        <w:spacing w:after="0" w:line="183" w:lineRule="exact"/>
        <w:rPr>
          <w:sz w:val="20"/>
          <w:szCs w:val="20"/>
          <w:color w:val="auto"/>
        </w:rPr>
      </w:pPr>
    </w:p>
    <w:p>
      <w:pPr>
        <w:ind w:left="460" w:right="3339"/>
        <w:spacing w:after="0" w:line="235" w:lineRule="auto"/>
        <w:rPr>
          <w:sz w:val="20"/>
          <w:szCs w:val="20"/>
          <w:color w:val="auto"/>
        </w:rPr>
      </w:pPr>
      <w:r>
        <w:rPr>
          <w:rFonts w:ascii="Courier New" w:cs="Courier New" w:eastAsia="Courier New" w:hAnsi="Courier New"/>
          <w:sz w:val="16"/>
          <w:szCs w:val="16"/>
          <w:color w:val="auto"/>
        </w:rPr>
        <w:t>"'Four-Quarter Period' means any four consecutive fiscal quarters of the Borrower and its Subsidiaries taken together as one accounting period."</w:t>
      </w:r>
    </w:p>
    <w:p>
      <w:pPr>
        <w:spacing w:after="0" w:line="183" w:lineRule="exact"/>
        <w:rPr>
          <w:sz w:val="20"/>
          <w:szCs w:val="20"/>
          <w:color w:val="auto"/>
        </w:rPr>
      </w:pPr>
    </w:p>
    <w:p>
      <w:pPr>
        <w:ind w:left="460" w:right="3239"/>
        <w:spacing w:after="0" w:line="236" w:lineRule="auto"/>
        <w:rPr>
          <w:sz w:val="20"/>
          <w:szCs w:val="20"/>
          <w:color w:val="auto"/>
        </w:rPr>
      </w:pPr>
      <w:r>
        <w:rPr>
          <w:rFonts w:ascii="Courier New" w:cs="Courier New" w:eastAsia="Courier New" w:hAnsi="Courier New"/>
          <w:sz w:val="16"/>
          <w:szCs w:val="16"/>
          <w:color w:val="auto"/>
        </w:rPr>
        <w:t>"'Indebtedness for Money Borrowed' means for the Borrower and its Subsidiaries on a consolidated basis, all indebtedness of the Borrower or any of its Subsidiaries in respect of money borrowed, including without limitation all capital leases and the deferred purchase price of any property or asset, evidenced by a promissory note, bond, debenture or similar written obligation for the payment of money (including without limitation conditional sales contracts or similar title retention agreements)."</w:t>
      </w:r>
    </w:p>
    <w:p>
      <w:pPr>
        <w:spacing w:after="0" w:line="186" w:lineRule="exact"/>
        <w:rPr>
          <w:sz w:val="20"/>
          <w:szCs w:val="20"/>
          <w:color w:val="auto"/>
        </w:rPr>
      </w:pPr>
    </w:p>
    <w:p>
      <w:pPr>
        <w:ind w:left="-360" w:right="3439" w:firstLine="830"/>
        <w:spacing w:after="0" w:line="235" w:lineRule="auto"/>
        <w:tabs>
          <w:tab w:leader="none" w:pos="131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 thereof is hereby further amended to delete the definition of "Tangible Net Worth" and to replace such definition in its entirety with the following:</w:t>
      </w:r>
    </w:p>
    <w:p>
      <w:pPr>
        <w:spacing w:after="0" w:line="183" w:lineRule="exact"/>
        <w:rPr>
          <w:sz w:val="20"/>
          <w:szCs w:val="20"/>
          <w:color w:val="auto"/>
        </w:rPr>
      </w:pPr>
    </w:p>
    <w:p>
      <w:pPr>
        <w:ind w:left="460" w:right="3239"/>
        <w:spacing w:after="0" w:line="274" w:lineRule="auto"/>
        <w:rPr>
          <w:sz w:val="20"/>
          <w:szCs w:val="20"/>
          <w:color w:val="auto"/>
        </w:rPr>
      </w:pPr>
      <w:r>
        <w:rPr>
          <w:rFonts w:ascii="Courier New" w:cs="Courier New" w:eastAsia="Courier New" w:hAnsi="Courier New"/>
          <w:sz w:val="14"/>
          <w:szCs w:val="14"/>
          <w:color w:val="auto"/>
        </w:rPr>
        <w:t>"'Consolidated Tangible Net Worth' means at any time as of which the amount thereof is to be determined, Consolidated Shareholders' Equity less (without duplication of deductions in respect of items already deducted in arriving at surplus and retained earnings) the net book value of all assets which would be treated as intangible assets, all as determined on a consolidated basis in accordance with Generally Accepted Accounting Principles applied on a Consistent Basis."</w:t>
      </w:r>
    </w:p>
    <w:p>
      <w:pPr>
        <w:spacing w:after="0" w:line="340" w:lineRule="exact"/>
        <w:rPr>
          <w:sz w:val="20"/>
          <w:szCs w:val="20"/>
          <w:color w:val="auto"/>
        </w:rPr>
      </w:pPr>
    </w:p>
    <w:p>
      <w:pPr>
        <w:ind w:left="-360" w:right="3059" w:firstLine="830"/>
        <w:spacing w:after="0" w:line="234" w:lineRule="auto"/>
        <w:tabs>
          <w:tab w:leader="none" w:pos="131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8.4 thereof is hereby amended and restated in its entirety to read as follows:</w:t>
      </w:r>
    </w:p>
    <w:p>
      <w:pPr>
        <w:spacing w:after="0" w:line="183" w:lineRule="exact"/>
        <w:rPr>
          <w:sz w:val="20"/>
          <w:szCs w:val="20"/>
          <w:color w:val="auto"/>
        </w:rPr>
      </w:pPr>
    </w:p>
    <w:p>
      <w:pPr>
        <w:ind w:left="460" w:right="3239"/>
        <w:spacing w:after="0" w:line="236" w:lineRule="auto"/>
        <w:rPr>
          <w:sz w:val="20"/>
          <w:szCs w:val="20"/>
          <w:color w:val="auto"/>
        </w:rPr>
      </w:pPr>
      <w:r>
        <w:rPr>
          <w:rFonts w:ascii="Courier New" w:cs="Courier New" w:eastAsia="Courier New" w:hAnsi="Courier New"/>
          <w:sz w:val="16"/>
          <w:szCs w:val="16"/>
          <w:color w:val="auto"/>
        </w:rPr>
        <w:t>"8.4 Quarterly Compliance Certificate. Concurrently with the delivery of the financial statements referred to above, the Borrower shall provide the Bank written calculations, certified as authentic by the Chief Financial Officer, President, Executive Vice President or Chairman of the Board of the Borrower, setting forth and evidencing full compliance with all affirmative and negative loan covenants as set forth in the Commitment Letter and in this Agreement. The Chief Financial Officer, President, Executive Vice President or Chairman of the Board of Borrower shall also certify, in the Quarterly Compliance Certificate, that the Borrower and the Subsidiaries are (i) current with all trade payables, except trade payables contested in good faith in the ordinary course of business, and (ii) in full compliance with the established Standby and Documentary Letters of Credit sublimits and terms."</w:t>
      </w:r>
    </w:p>
    <w:p>
      <w:pPr>
        <w:spacing w:after="0" w:line="18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54" w:right="1440" w:bottom="1440" w:gutter="0" w:footer="0" w:header="0"/>
        </w:sectPr>
      </w:pPr>
    </w:p>
    <w:bookmarkStart w:id="95" w:name="page96"/>
    <w:bookmarkEnd w:id="95"/>
    <w:p>
      <w:pPr>
        <w:ind w:left="-360" w:right="3059" w:firstLine="830"/>
        <w:spacing w:after="0" w:line="234" w:lineRule="auto"/>
        <w:tabs>
          <w:tab w:leader="none" w:pos="131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Section 8.18 is hereby added thereto to read in its entirety as follows:</w:t>
      </w:r>
    </w:p>
    <w:p>
      <w:pPr>
        <w:spacing w:after="0" w:line="183" w:lineRule="exact"/>
        <w:rPr>
          <w:sz w:val="20"/>
          <w:szCs w:val="20"/>
          <w:color w:val="auto"/>
        </w:rPr>
      </w:pPr>
    </w:p>
    <w:p>
      <w:pPr>
        <w:ind w:left="460" w:right="3239"/>
        <w:spacing w:after="0" w:line="279" w:lineRule="auto"/>
        <w:rPr>
          <w:sz w:val="20"/>
          <w:szCs w:val="20"/>
          <w:color w:val="auto"/>
        </w:rPr>
      </w:pPr>
      <w:r>
        <w:rPr>
          <w:rFonts w:ascii="Courier New" w:cs="Courier New" w:eastAsia="Courier New" w:hAnsi="Courier New"/>
          <w:sz w:val="14"/>
          <w:szCs w:val="14"/>
          <w:color w:val="auto"/>
        </w:rPr>
        <w:t>"8.18 New Subsidiaries. In the event of the acquisition or creation of any new Subsidiary, cause to be delivered to the Lender each of the following within thirty (30) days of the acquisition or creation of such Subsidiary:</w:t>
      </w:r>
    </w:p>
    <w:p>
      <w:pPr>
        <w:spacing w:after="0" w:line="157" w:lineRule="exact"/>
        <w:rPr>
          <w:sz w:val="20"/>
          <w:szCs w:val="20"/>
          <w:color w:val="auto"/>
        </w:rPr>
      </w:pPr>
    </w:p>
    <w:p>
      <w:pPr>
        <w:ind w:left="460" w:right="3159" w:firstLine="847"/>
        <w:spacing w:after="0" w:line="235" w:lineRule="auto"/>
        <w:tabs>
          <w:tab w:leader="none" w:pos="213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Guaranty, substantially in the form of Exhibit "D" attached hereto, executed by such Subsidiary, substantially in the form of the Guaranty;</w:t>
      </w:r>
    </w:p>
    <w:p>
      <w:pPr>
        <w:spacing w:after="0" w:line="183" w:lineRule="exact"/>
        <w:rPr>
          <w:rFonts w:ascii="Courier New" w:cs="Courier New" w:eastAsia="Courier New" w:hAnsi="Courier New"/>
          <w:sz w:val="16"/>
          <w:szCs w:val="16"/>
          <w:color w:val="auto"/>
        </w:rPr>
      </w:pPr>
    </w:p>
    <w:p>
      <w:pPr>
        <w:ind w:left="460" w:right="2879" w:firstLine="847"/>
        <w:spacing w:after="0" w:line="270" w:lineRule="auto"/>
        <w:tabs>
          <w:tab w:leader="none" w:pos="185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to such Subsidiary dated as of the date of delivery of such Guaranty and addressed</w:t>
      </w:r>
    </w:p>
    <w:p>
      <w:pPr>
        <w:ind w:left="460" w:right="417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the Lender, in form and substance reasonably acceptable to the Lender, to the effect that:</w:t>
      </w:r>
    </w:p>
    <w:p>
      <w:pPr>
        <w:spacing w:after="0" w:line="146" w:lineRule="exact"/>
        <w:rPr>
          <w:rFonts w:ascii="Courier New" w:cs="Courier New" w:eastAsia="Courier New" w:hAnsi="Courier New"/>
          <w:sz w:val="14"/>
          <w:szCs w:val="14"/>
          <w:color w:val="auto"/>
        </w:rPr>
      </w:pPr>
    </w:p>
    <w:p>
      <w:pPr>
        <w:ind w:left="2880" w:hanging="736"/>
        <w:spacing w:after="0"/>
        <w:tabs>
          <w:tab w:leader="none" w:pos="288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Subsidiary is duly organized,</w:t>
      </w:r>
    </w:p>
    <w:p>
      <w:pPr>
        <w:spacing w:after="0" w:line="20" w:lineRule="exact"/>
        <w:rPr>
          <w:rFonts w:ascii="Courier New" w:cs="Courier New" w:eastAsia="Courier New" w:hAnsi="Courier New"/>
          <w:sz w:val="14"/>
          <w:szCs w:val="14"/>
          <w:color w:val="auto"/>
        </w:rPr>
      </w:pPr>
    </w:p>
    <w:p>
      <w:pPr>
        <w:ind w:left="1300" w:right="295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validly existing and in good standing in the jurisdiction of its organization, has the requisite power and authority to own its properties and conduct its business as then owned and proposed to be conducted and is duly qualified to transact business and is in good standing as a foreign corporation in each other jurisdiction in which the character of the properties owned or leased, or the business carried on by it, requires such qualification and in which the failure to so qualify could reasonably be expected to have a material adverse effect on the condition, financial or otherwise, of the Borrower and its Subsidiaries taken as a whole; and</w:t>
      </w:r>
    </w:p>
    <w:p>
      <w:pPr>
        <w:spacing w:after="0" w:line="340" w:lineRule="exact"/>
        <w:rPr>
          <w:rFonts w:ascii="Courier New" w:cs="Courier New" w:eastAsia="Courier New" w:hAnsi="Courier New"/>
          <w:sz w:val="14"/>
          <w:szCs w:val="14"/>
          <w:color w:val="auto"/>
        </w:rPr>
      </w:pPr>
    </w:p>
    <w:p>
      <w:pPr>
        <w:ind w:left="2880" w:hanging="736"/>
        <w:spacing w:after="0"/>
        <w:tabs>
          <w:tab w:leader="none" w:pos="288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w:t>
      </w:r>
    </w:p>
    <w:p>
      <w:pPr>
        <w:spacing w:after="0" w:line="3" w:lineRule="exact"/>
        <w:rPr>
          <w:rFonts w:ascii="Courier New" w:cs="Courier New" w:eastAsia="Courier New" w:hAnsi="Courier New"/>
          <w:sz w:val="16"/>
          <w:szCs w:val="16"/>
          <w:color w:val="auto"/>
        </w:rPr>
      </w:pPr>
    </w:p>
    <w:p>
      <w:pPr>
        <w:ind w:left="1300"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performance of such Guaranty have been duly authorized by all requisite corporate action (including any required shareholder approval), such Guaranty has been duly executed and delivered and constitutes a valid and binding obligation of such Subsidiary, enforceable against such Subsidiary in accordance with its terms, subject to applicable bankruptcy, moratorium, insolvency, reorganization or other similar law affecting the enforceability of creditors' rights generally and to the effect of general principles of equity which may limit the availability of equitable remedies (whether in a proceeding at law or in equity).</w:t>
      </w:r>
    </w:p>
    <w:p>
      <w:pPr>
        <w:spacing w:after="0" w:line="339" w:lineRule="exact"/>
        <w:rPr>
          <w:rFonts w:ascii="Courier New" w:cs="Courier New" w:eastAsia="Courier New" w:hAnsi="Courier New"/>
          <w:sz w:val="16"/>
          <w:szCs w:val="16"/>
          <w:color w:val="auto"/>
        </w:rPr>
      </w:pPr>
    </w:p>
    <w:p>
      <w:pPr>
        <w:ind w:left="460" w:right="3339" w:firstLine="847"/>
        <w:spacing w:after="0" w:line="276" w:lineRule="auto"/>
        <w:tabs>
          <w:tab w:leader="none" w:pos="194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copies of the charter or other organizational documents, any bylaws of such Subsidiary, minutes of duly called and conducted meetings (or duly effected consent actions) of the Board of Directors, or appropriate committees thereof (and, if required by such</w:t>
      </w:r>
    </w:p>
    <w:p>
      <w:pPr>
        <w:spacing w:after="0" w:line="155"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833" w:right="1440" w:bottom="1440" w:gutter="0" w:footer="0" w:header="0"/>
        </w:sectPr>
      </w:pPr>
    </w:p>
    <w:bookmarkStart w:id="96" w:name="page97"/>
    <w:bookmarkEnd w:id="96"/>
    <w:p>
      <w:pPr>
        <w:jc w:val="both"/>
        <w:ind w:left="920" w:right="3339"/>
        <w:spacing w:after="0" w:line="235" w:lineRule="auto"/>
        <w:rPr>
          <w:sz w:val="20"/>
          <w:szCs w:val="20"/>
          <w:color w:val="auto"/>
        </w:rPr>
      </w:pPr>
      <w:r>
        <w:rPr>
          <w:rFonts w:ascii="Courier New" w:cs="Courier New" w:eastAsia="Courier New" w:hAnsi="Courier New"/>
          <w:sz w:val="16"/>
          <w:szCs w:val="16"/>
          <w:color w:val="auto"/>
        </w:rPr>
        <w:t>charter or other organizational documents, bylaws or by applicable laws, of the shareholders) of such Subsidiary authorizing the actions and the execution, delivery and performance of such Guaranty."</w:t>
      </w:r>
    </w:p>
    <w:p>
      <w:pPr>
        <w:spacing w:after="0" w:line="185" w:lineRule="exact"/>
        <w:rPr>
          <w:sz w:val="20"/>
          <w:szCs w:val="20"/>
          <w:color w:val="auto"/>
        </w:rPr>
      </w:pPr>
    </w:p>
    <w:p>
      <w:pPr>
        <w:ind w:left="100" w:right="3059" w:firstLine="830"/>
        <w:spacing w:after="0" w:line="234" w:lineRule="auto"/>
        <w:tabs>
          <w:tab w:leader="none" w:pos="1774"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Section 8.19 is hereby added thereto to read in its entirety as follows:</w:t>
      </w:r>
    </w:p>
    <w:p>
      <w:pPr>
        <w:spacing w:after="0" w:line="183" w:lineRule="exact"/>
        <w:rPr>
          <w:sz w:val="20"/>
          <w:szCs w:val="20"/>
          <w:color w:val="auto"/>
        </w:rPr>
      </w:pPr>
    </w:p>
    <w:p>
      <w:pPr>
        <w:ind w:left="920" w:right="3239"/>
        <w:spacing w:after="0" w:line="276" w:lineRule="auto"/>
        <w:rPr>
          <w:sz w:val="20"/>
          <w:szCs w:val="20"/>
          <w:color w:val="auto"/>
        </w:rPr>
      </w:pPr>
      <w:r>
        <w:rPr>
          <w:rFonts w:ascii="Courier New" w:cs="Courier New" w:eastAsia="Courier New" w:hAnsi="Courier New"/>
          <w:sz w:val="14"/>
          <w:szCs w:val="14"/>
          <w:color w:val="auto"/>
        </w:rPr>
        <w:t>"8.19 Covenants Extending to Subsidiaries. Without duplication, Borrower will cause each of its Subsidiaries to do with respect to itself, its business and its assets, each of the things required of the Borrower in Sections 8.8, 8.9, 8.11, 8.12, 8.15 and 8.16 hereof."</w:t>
      </w:r>
    </w:p>
    <w:p>
      <w:pPr>
        <w:spacing w:after="0" w:line="161" w:lineRule="exact"/>
        <w:rPr>
          <w:sz w:val="20"/>
          <w:szCs w:val="20"/>
          <w:color w:val="auto"/>
        </w:rPr>
      </w:pPr>
    </w:p>
    <w:p>
      <w:pPr>
        <w:ind w:left="100" w:right="3159" w:firstLine="830"/>
        <w:spacing w:after="0" w:line="234" w:lineRule="auto"/>
        <w:tabs>
          <w:tab w:leader="none" w:pos="177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sentence of Section 9 thereof is hereby amended in its entirety to read as follows:</w:t>
      </w:r>
    </w:p>
    <w:p>
      <w:pPr>
        <w:spacing w:after="0" w:line="183" w:lineRule="exact"/>
        <w:rPr>
          <w:sz w:val="20"/>
          <w:szCs w:val="20"/>
          <w:color w:val="auto"/>
        </w:rPr>
      </w:pPr>
    </w:p>
    <w:p>
      <w:pPr>
        <w:ind w:left="920" w:right="3239"/>
        <w:spacing w:after="0" w:line="283" w:lineRule="auto"/>
        <w:rPr>
          <w:sz w:val="20"/>
          <w:szCs w:val="20"/>
          <w:color w:val="auto"/>
        </w:rPr>
      </w:pPr>
      <w:r>
        <w:rPr>
          <w:rFonts w:ascii="Courier New" w:cs="Courier New" w:eastAsia="Courier New" w:hAnsi="Courier New"/>
          <w:sz w:val="14"/>
          <w:szCs w:val="14"/>
          <w:color w:val="auto"/>
        </w:rPr>
        <w:t>"Borrower agrees that during the term of this Agreement and so long thereafter as Obligations remain outstanding, Borrower will not, nor will it permit any Subsidiary to:"</w:t>
      </w:r>
    </w:p>
    <w:p>
      <w:pPr>
        <w:spacing w:after="0" w:line="155" w:lineRule="exact"/>
        <w:rPr>
          <w:sz w:val="20"/>
          <w:szCs w:val="20"/>
          <w:color w:val="auto"/>
        </w:rPr>
      </w:pPr>
    </w:p>
    <w:p>
      <w:pPr>
        <w:ind w:left="100" w:right="3619" w:firstLine="830"/>
        <w:spacing w:after="0" w:line="234" w:lineRule="auto"/>
        <w:tabs>
          <w:tab w:leader="none" w:pos="177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9.2 thereof is hereby amended in its entirety to read as follows:</w:t>
      </w:r>
    </w:p>
    <w:p>
      <w:pPr>
        <w:spacing w:after="0" w:line="183" w:lineRule="exact"/>
        <w:rPr>
          <w:sz w:val="20"/>
          <w:szCs w:val="20"/>
          <w:color w:val="auto"/>
        </w:rPr>
      </w:pPr>
    </w:p>
    <w:p>
      <w:pPr>
        <w:ind w:left="920" w:right="3239"/>
        <w:spacing w:after="0" w:line="235" w:lineRule="auto"/>
        <w:rPr>
          <w:sz w:val="20"/>
          <w:szCs w:val="20"/>
          <w:color w:val="auto"/>
        </w:rPr>
      </w:pPr>
      <w:r>
        <w:rPr>
          <w:rFonts w:ascii="Courier New" w:cs="Courier New" w:eastAsia="Courier New" w:hAnsi="Courier New"/>
          <w:sz w:val="16"/>
          <w:szCs w:val="16"/>
          <w:color w:val="auto"/>
        </w:rPr>
        <w:t>"9.2 Minimum Consolidated Tangible Net Worth. Permit its Consolidated Tangible Net Worth at any time during any period set forth to be less than the amounts set forth opposite such period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460" w:type="dxa"/>
            <w:vAlign w:val="bottom"/>
          </w:tcPr>
          <w:p>
            <w:pPr>
              <w:jc w:val="center"/>
              <w:ind w:left="702"/>
              <w:spacing w:after="0"/>
              <w:rPr>
                <w:sz w:val="20"/>
                <w:szCs w:val="20"/>
                <w:color w:val="auto"/>
              </w:rPr>
            </w:pPr>
            <w:r>
              <w:rPr>
                <w:rFonts w:ascii="Courier New" w:cs="Courier New" w:eastAsia="Courier New" w:hAnsi="Courier New"/>
                <w:sz w:val="16"/>
                <w:szCs w:val="16"/>
                <w:color w:val="auto"/>
                <w:w w:val="97"/>
              </w:rPr>
              <w:t>Consolidated</w:t>
            </w:r>
          </w:p>
        </w:tc>
      </w:tr>
      <w:tr>
        <w:trPr>
          <w:trHeight w:val="179"/>
        </w:trPr>
        <w:tc>
          <w:tcPr>
            <w:tcW w:w="4140" w:type="dxa"/>
            <w:vAlign w:val="bottom"/>
            <w:gridSpan w:val="2"/>
          </w:tcPr>
          <w:p>
            <w:pPr>
              <w:ind w:left="920"/>
              <w:spacing w:after="0" w:line="179" w:lineRule="exact"/>
              <w:rPr>
                <w:sz w:val="20"/>
                <w:szCs w:val="20"/>
                <w:color w:val="auto"/>
              </w:rPr>
            </w:pPr>
            <w:r>
              <w:rPr>
                <w:rFonts w:ascii="Courier New" w:cs="Courier New" w:eastAsia="Courier New" w:hAnsi="Courier New"/>
                <w:sz w:val="16"/>
                <w:szCs w:val="16"/>
                <w:color w:val="auto"/>
              </w:rPr>
              <w:t>Period</w:t>
            </w:r>
          </w:p>
        </w:tc>
        <w:tc>
          <w:tcPr>
            <w:tcW w:w="2460" w:type="dxa"/>
            <w:vAlign w:val="bottom"/>
          </w:tcPr>
          <w:p>
            <w:pPr>
              <w:jc w:val="center"/>
              <w:ind w:left="702"/>
              <w:spacing w:after="0" w:line="179" w:lineRule="exact"/>
              <w:rPr>
                <w:sz w:val="20"/>
                <w:szCs w:val="20"/>
                <w:color w:val="auto"/>
              </w:rPr>
            </w:pPr>
            <w:r>
              <w:rPr>
                <w:rFonts w:ascii="Courier New" w:cs="Courier New" w:eastAsia="Courier New" w:hAnsi="Courier New"/>
                <w:sz w:val="16"/>
                <w:szCs w:val="16"/>
                <w:color w:val="auto"/>
                <w:w w:val="97"/>
              </w:rPr>
              <w:t>Tangible Net Worth</w:t>
            </w:r>
          </w:p>
        </w:tc>
      </w:tr>
      <w:tr>
        <w:trPr>
          <w:trHeight w:val="358"/>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March 31, 1995</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through and including</w:t>
            </w:r>
          </w:p>
        </w:tc>
        <w:tc>
          <w:tcPr>
            <w:tcW w:w="2460" w:type="dxa"/>
            <w:vAlign w:val="bottom"/>
          </w:tcPr>
          <w:p>
            <w:pPr>
              <w:ind w:left="1160"/>
              <w:spacing w:after="0"/>
              <w:rPr>
                <w:sz w:val="20"/>
                <w:szCs w:val="20"/>
                <w:color w:val="auto"/>
              </w:rPr>
            </w:pPr>
            <w:r>
              <w:rPr>
                <w:rFonts w:ascii="Courier New" w:cs="Courier New" w:eastAsia="Courier New" w:hAnsi="Courier New"/>
                <w:sz w:val="16"/>
                <w:szCs w:val="16"/>
                <w:color w:val="auto"/>
              </w:rPr>
              <w:t>$36,000,000</w:t>
            </w:r>
          </w:p>
        </w:tc>
      </w:tr>
      <w:tr>
        <w:trPr>
          <w:trHeight w:val="179"/>
        </w:trPr>
        <w:tc>
          <w:tcPr>
            <w:tcW w:w="41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March 30, 1996</w:t>
            </w:r>
          </w:p>
        </w:tc>
        <w:tc>
          <w:tcPr>
            <w:tcW w:w="2460" w:type="dxa"/>
            <w:vAlign w:val="bottom"/>
          </w:tcPr>
          <w:p>
            <w:pPr>
              <w:spacing w:after="0"/>
              <w:rPr>
                <w:sz w:val="15"/>
                <w:szCs w:val="15"/>
                <w:color w:val="auto"/>
              </w:rPr>
            </w:pPr>
          </w:p>
        </w:tc>
      </w:tr>
      <w:tr>
        <w:trPr>
          <w:trHeight w:val="179"/>
        </w:trPr>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March 31, 1996</w:t>
            </w:r>
          </w:p>
        </w:tc>
        <w:tc>
          <w:tcPr>
            <w:tcW w:w="2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through and including</w:t>
            </w:r>
          </w:p>
        </w:tc>
        <w:tc>
          <w:tcPr>
            <w:tcW w:w="246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$41,000,000</w:t>
            </w:r>
          </w:p>
        </w:tc>
      </w:tr>
      <w:tr>
        <w:trPr>
          <w:trHeight w:val="179"/>
        </w:trPr>
        <w:tc>
          <w:tcPr>
            <w:tcW w:w="41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March 30, 1997</w:t>
            </w:r>
          </w:p>
        </w:tc>
        <w:tc>
          <w:tcPr>
            <w:tcW w:w="2460" w:type="dxa"/>
            <w:vAlign w:val="bottom"/>
          </w:tcPr>
          <w:p>
            <w:pPr>
              <w:spacing w:after="0"/>
              <w:rPr>
                <w:sz w:val="15"/>
                <w:szCs w:val="15"/>
                <w:color w:val="auto"/>
              </w:rPr>
            </w:pPr>
          </w:p>
        </w:tc>
      </w:tr>
      <w:tr>
        <w:trPr>
          <w:trHeight w:val="179"/>
        </w:trPr>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March 31, 1997</w:t>
            </w:r>
          </w:p>
        </w:tc>
        <w:tc>
          <w:tcPr>
            <w:tcW w:w="2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and thereafter</w:t>
            </w:r>
          </w:p>
        </w:tc>
        <w:tc>
          <w:tcPr>
            <w:tcW w:w="246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$46,000,000"</w:t>
            </w:r>
          </w:p>
        </w:tc>
      </w:tr>
    </w:tbl>
    <w:p>
      <w:pPr>
        <w:spacing w:after="0" w:line="183" w:lineRule="exact"/>
        <w:rPr>
          <w:sz w:val="20"/>
          <w:szCs w:val="20"/>
          <w:color w:val="auto"/>
        </w:rPr>
      </w:pPr>
    </w:p>
    <w:p>
      <w:pPr>
        <w:ind w:left="100" w:right="3619" w:firstLine="830"/>
        <w:spacing w:after="0" w:line="234" w:lineRule="auto"/>
        <w:tabs>
          <w:tab w:leader="none" w:pos="177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9.3 thereof is hereby amended in its entirety to read as follows:</w:t>
      </w:r>
    </w:p>
    <w:p>
      <w:pPr>
        <w:spacing w:after="0" w:line="183" w:lineRule="exact"/>
        <w:rPr>
          <w:sz w:val="20"/>
          <w:szCs w:val="20"/>
          <w:color w:val="auto"/>
        </w:rPr>
      </w:pPr>
    </w:p>
    <w:p>
      <w:pPr>
        <w:ind w:left="920" w:right="3519"/>
        <w:spacing w:after="0" w:line="235" w:lineRule="auto"/>
        <w:rPr>
          <w:sz w:val="20"/>
          <w:szCs w:val="20"/>
          <w:color w:val="auto"/>
        </w:rPr>
      </w:pPr>
      <w:r>
        <w:rPr>
          <w:rFonts w:ascii="Courier New" w:cs="Courier New" w:eastAsia="Courier New" w:hAnsi="Courier New"/>
          <w:sz w:val="16"/>
          <w:szCs w:val="16"/>
          <w:color w:val="auto"/>
        </w:rPr>
        <w:t>"9.3 Consolidated Funded Indebtedness to Consolidated Capitalization. Permit at any time the ratio of Consolidated Funded Indebtedness to Consolidated Capitalization to be equal to or greater than .55 to 1.00.</w:t>
      </w:r>
    </w:p>
    <w:p>
      <w:pPr>
        <w:spacing w:after="0" w:line="186" w:lineRule="exact"/>
        <w:rPr>
          <w:sz w:val="20"/>
          <w:szCs w:val="20"/>
          <w:color w:val="auto"/>
        </w:rPr>
      </w:pPr>
    </w:p>
    <w:p>
      <w:pPr>
        <w:ind w:left="100" w:right="3999" w:firstLine="830"/>
        <w:spacing w:after="0" w:line="234" w:lineRule="auto"/>
        <w:tabs>
          <w:tab w:leader="none" w:pos="140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9.4 thereof is hereby amended in its entirety to read as follows:</w:t>
      </w:r>
    </w:p>
    <w:p>
      <w:pPr>
        <w:spacing w:after="0" w:line="183" w:lineRule="exact"/>
        <w:rPr>
          <w:sz w:val="20"/>
          <w:szCs w:val="20"/>
          <w:color w:val="auto"/>
        </w:rPr>
      </w:pPr>
    </w:p>
    <w:p>
      <w:pPr>
        <w:ind w:left="920" w:right="3239"/>
        <w:spacing w:after="0" w:line="235" w:lineRule="auto"/>
        <w:rPr>
          <w:sz w:val="20"/>
          <w:szCs w:val="20"/>
          <w:color w:val="auto"/>
        </w:rPr>
      </w:pPr>
      <w:r>
        <w:rPr>
          <w:rFonts w:ascii="Courier New" w:cs="Courier New" w:eastAsia="Courier New" w:hAnsi="Courier New"/>
          <w:sz w:val="16"/>
          <w:szCs w:val="16"/>
          <w:color w:val="auto"/>
        </w:rPr>
        <w:t>"9.4 Consolidated Fixed Charge Coverage Ratio. Permit the Consolidated Fixed Charge Coverage Ratio to be at any time less than 1.35 to 1.00.</w:t>
      </w:r>
    </w:p>
    <w:p>
      <w:pPr>
        <w:spacing w:after="0" w:line="17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479"/>
          </w:cols>
          <w:pgMar w:left="980" w:top="833" w:right="1440" w:bottom="1440" w:gutter="0" w:footer="0" w:header="0"/>
        </w:sectPr>
      </w:pPr>
    </w:p>
    <w:bookmarkStart w:id="97" w:name="page98"/>
    <w:bookmarkEnd w:id="97"/>
    <w:p>
      <w:pPr>
        <w:ind w:left="7" w:right="3619" w:firstLine="830"/>
        <w:spacing w:after="0" w:line="234" w:lineRule="auto"/>
        <w:tabs>
          <w:tab w:leader="none" w:pos="16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9.5 thereof is hereby amended in its entirety to read as follows:</w:t>
      </w:r>
    </w:p>
    <w:p>
      <w:pPr>
        <w:spacing w:after="0" w:line="183" w:lineRule="exact"/>
        <w:rPr>
          <w:sz w:val="20"/>
          <w:szCs w:val="20"/>
          <w:color w:val="auto"/>
        </w:rPr>
      </w:pPr>
    </w:p>
    <w:p>
      <w:pPr>
        <w:ind w:left="827" w:right="3239"/>
        <w:spacing w:after="0" w:line="235" w:lineRule="auto"/>
        <w:rPr>
          <w:sz w:val="20"/>
          <w:szCs w:val="20"/>
          <w:color w:val="auto"/>
        </w:rPr>
      </w:pPr>
      <w:r>
        <w:rPr>
          <w:rFonts w:ascii="Courier New" w:cs="Courier New" w:eastAsia="Courier New" w:hAnsi="Courier New"/>
          <w:sz w:val="16"/>
          <w:szCs w:val="16"/>
          <w:color w:val="auto"/>
        </w:rPr>
        <w:t>"9.5 Working Asset Coverage Ratio. Permit at any time the ratio of (i) Consolidated Working Assets to (ii) the sum of (A) Obligations of the Borrower under this Agreement plus (B) trade accounts payable to be less than 1.125 to 1.00.</w:t>
      </w:r>
    </w:p>
    <w:p>
      <w:pPr>
        <w:spacing w:after="0" w:line="186" w:lineRule="exact"/>
        <w:rPr>
          <w:sz w:val="20"/>
          <w:szCs w:val="20"/>
          <w:color w:val="auto"/>
        </w:rPr>
      </w:pPr>
    </w:p>
    <w:p>
      <w:pPr>
        <w:ind w:left="7" w:right="3519" w:firstLine="830"/>
        <w:spacing w:after="0" w:line="234" w:lineRule="auto"/>
        <w:tabs>
          <w:tab w:leader="none" w:pos="168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9.13 thereof is hereby amended in its entirety to read as follows:</w:t>
      </w:r>
    </w:p>
    <w:p>
      <w:pPr>
        <w:spacing w:after="0" w:line="183" w:lineRule="exact"/>
        <w:rPr>
          <w:sz w:val="20"/>
          <w:szCs w:val="20"/>
          <w:color w:val="auto"/>
        </w:rPr>
      </w:pPr>
    </w:p>
    <w:p>
      <w:pPr>
        <w:ind w:left="827" w:right="3239"/>
        <w:spacing w:after="0" w:line="272" w:lineRule="auto"/>
        <w:rPr>
          <w:sz w:val="20"/>
          <w:szCs w:val="20"/>
          <w:color w:val="auto"/>
        </w:rPr>
      </w:pPr>
      <w:r>
        <w:rPr>
          <w:rFonts w:ascii="Courier New" w:cs="Courier New" w:eastAsia="Courier New" w:hAnsi="Courier New"/>
          <w:sz w:val="14"/>
          <w:szCs w:val="14"/>
          <w:color w:val="auto"/>
        </w:rPr>
        <w:t>"9.13 Dividends. Pay or declare any dividends (other than dividends payable in capital stock of Borrower) or apply any of its property or assets to the purchase, redemption or other retirement of Borrower's capital stock or in any way reduce its capital structure. However, the Borrower may (a) purchase its capital stock provided that (i) the aggregate number of shares purchased through March 31, 1996 does not exceed 400,000 shares, and (ii) the aggregate total value of stock purchased from the date of this Agreement through March 31, 1996 does not exceed $8,000,000; (b) issue stock as a dividend up to 400,000 shares provided that the aggregate total value of stock so issued shall not exceed $8,000,000; and (c) declare and pay cash dividends on outstanding shares of any class of its capital stock provided that the aggregate amount of such dividends declared or paid during any Four-Quarter Period shall not exceed 25% of Consolidated Net Income for such Four-Quarter Period so long as prior to such actions in (a),</w:t>
      </w:r>
    </w:p>
    <w:p>
      <w:pPr>
        <w:spacing w:after="0" w:line="343" w:lineRule="exact"/>
        <w:rPr>
          <w:sz w:val="20"/>
          <w:szCs w:val="20"/>
          <w:color w:val="auto"/>
        </w:rPr>
      </w:pPr>
    </w:p>
    <w:p>
      <w:pPr>
        <w:ind w:left="827" w:right="3339" w:firstLine="10"/>
        <w:spacing w:after="0" w:line="236" w:lineRule="auto"/>
        <w:tabs>
          <w:tab w:leader="none" w:pos="120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 above and after giving effect thereto, the Borrower is in compliance with all terms, conditions, covenants, and representations and warranties in the Agreement, and prior to such actions defined in (a), (b) and (c) above and after giving effect thereto, no Event of Default has or will occur.</w:t>
      </w:r>
    </w:p>
    <w:p>
      <w:pPr>
        <w:spacing w:after="0" w:line="183" w:lineRule="exact"/>
        <w:rPr>
          <w:sz w:val="20"/>
          <w:szCs w:val="20"/>
          <w:color w:val="auto"/>
        </w:rPr>
      </w:pPr>
    </w:p>
    <w:p>
      <w:pPr>
        <w:ind w:left="7" w:right="3439" w:firstLine="830"/>
        <w:spacing w:after="0" w:line="235" w:lineRule="auto"/>
        <w:tabs>
          <w:tab w:leader="none" w:pos="131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12.13 thereof is hereby amended to provide that the address for notices to be sent to the Lender is as follows:</w:t>
      </w:r>
    </w:p>
    <w:p>
      <w:pPr>
        <w:spacing w:after="0" w:line="177" w:lineRule="exact"/>
        <w:rPr>
          <w:sz w:val="20"/>
          <w:szCs w:val="20"/>
          <w:color w:val="auto"/>
        </w:rPr>
      </w:pPr>
    </w:p>
    <w:p>
      <w:pPr>
        <w:ind w:left="827"/>
        <w:spacing w:after="0"/>
        <w:rPr>
          <w:sz w:val="20"/>
          <w:szCs w:val="20"/>
          <w:color w:val="auto"/>
        </w:rPr>
      </w:pPr>
      <w:r>
        <w:rPr>
          <w:rFonts w:ascii="Courier New" w:cs="Courier New" w:eastAsia="Courier New" w:hAnsi="Courier New"/>
          <w:sz w:val="16"/>
          <w:szCs w:val="16"/>
          <w:color w:val="auto"/>
        </w:rPr>
        <w:t>"NationsBank of Florida, National Association</w:t>
      </w:r>
    </w:p>
    <w:p>
      <w:pPr>
        <w:ind w:left="927"/>
        <w:spacing w:after="0" w:line="236" w:lineRule="auto"/>
        <w:rPr>
          <w:sz w:val="20"/>
          <w:szCs w:val="20"/>
          <w:color w:val="auto"/>
        </w:rPr>
      </w:pPr>
      <w:r>
        <w:rPr>
          <w:rFonts w:ascii="Courier New" w:cs="Courier New" w:eastAsia="Courier New" w:hAnsi="Courier New"/>
          <w:sz w:val="16"/>
          <w:szCs w:val="16"/>
          <w:color w:val="auto"/>
        </w:rPr>
        <w:t>150 S.E. Third Ave.</w:t>
      </w:r>
    </w:p>
    <w:p>
      <w:pPr>
        <w:ind w:left="927"/>
        <w:spacing w:after="0"/>
        <w:tabs>
          <w:tab w:leader="none" w:pos="2407" w:val="left"/>
        </w:tabs>
        <w:rPr>
          <w:sz w:val="20"/>
          <w:szCs w:val="20"/>
          <w:color w:val="auto"/>
        </w:rPr>
      </w:pPr>
      <w:r>
        <w:rPr>
          <w:rFonts w:ascii="Courier New" w:cs="Courier New" w:eastAsia="Courier New" w:hAnsi="Courier New"/>
          <w:sz w:val="16"/>
          <w:szCs w:val="16"/>
          <w:color w:val="auto"/>
        </w:rPr>
        <w:t>Miami, Florida</w:t>
      </w:r>
      <w:r>
        <w:rPr>
          <w:sz w:val="20"/>
          <w:szCs w:val="20"/>
          <w:color w:val="auto"/>
        </w:rPr>
        <w:tab/>
      </w:r>
      <w:r>
        <w:rPr>
          <w:rFonts w:ascii="Courier New" w:cs="Courier New" w:eastAsia="Courier New" w:hAnsi="Courier New"/>
          <w:sz w:val="14"/>
          <w:szCs w:val="14"/>
          <w:color w:val="auto"/>
        </w:rPr>
        <w:t>33131</w:t>
      </w:r>
    </w:p>
    <w:p>
      <w:pPr>
        <w:ind w:left="927"/>
        <w:spacing w:after="0"/>
        <w:tabs>
          <w:tab w:leader="none" w:pos="2027"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Corporate Banking Department"</w:t>
      </w:r>
    </w:p>
    <w:p>
      <w:pPr>
        <w:spacing w:after="0" w:line="183" w:lineRule="exact"/>
        <w:rPr>
          <w:sz w:val="20"/>
          <w:szCs w:val="20"/>
          <w:color w:val="auto"/>
        </w:rPr>
      </w:pPr>
    </w:p>
    <w:p>
      <w:pPr>
        <w:ind w:left="7" w:right="3719" w:firstLine="830"/>
        <w:spacing w:after="0" w:line="234" w:lineRule="auto"/>
        <w:tabs>
          <w:tab w:leader="none" w:pos="131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D as attached hereto is hereby added as Exhibit "D" to the Credit Agreement.</w:t>
      </w:r>
    </w:p>
    <w:p>
      <w:pPr>
        <w:spacing w:after="0" w:line="183" w:lineRule="exact"/>
        <w:rPr>
          <w:rFonts w:ascii="Courier New" w:cs="Courier New" w:eastAsia="Courier New" w:hAnsi="Courier New"/>
          <w:sz w:val="16"/>
          <w:szCs w:val="16"/>
          <w:color w:val="auto"/>
        </w:rPr>
      </w:pPr>
    </w:p>
    <w:p>
      <w:pPr>
        <w:ind w:left="-833" w:right="3439" w:firstLine="833"/>
        <w:spacing w:after="0" w:line="234" w:lineRule="auto"/>
        <w:tabs>
          <w:tab w:leader="none" w:pos="84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GUARANTY. The Guaranty is hereby amended, effective as of March 31, 1995, as follows:</w:t>
      </w:r>
    </w:p>
    <w:p>
      <w:pPr>
        <w:spacing w:after="0" w:line="356" w:lineRule="exact"/>
        <w:rPr>
          <w:sz w:val="20"/>
          <w:szCs w:val="20"/>
          <w:color w:val="auto"/>
        </w:rPr>
      </w:pPr>
    </w:p>
    <w:p>
      <w:pPr>
        <w:jc w:val="center"/>
        <w:ind w:right="35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87"/>
          </w:cols>
          <w:pgMar w:left="1073" w:top="833" w:right="1440" w:bottom="1440" w:gutter="0" w:footer="0" w:header="0"/>
        </w:sectPr>
      </w:pPr>
    </w:p>
    <w:bookmarkStart w:id="98" w:name="page99"/>
    <w:bookmarkEnd w:id="98"/>
    <w:p>
      <w:pPr>
        <w:ind w:left="-360" w:right="3239" w:firstLine="830"/>
        <w:spacing w:after="0" w:line="235" w:lineRule="auto"/>
        <w:tabs>
          <w:tab w:leader="none" w:pos="131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introductory paragraph immediately preceding Section 1 thereof is hereby amended and restated in its entirety as follows:</w:t>
      </w:r>
    </w:p>
    <w:p>
      <w:pPr>
        <w:spacing w:after="0" w:line="183" w:lineRule="exact"/>
        <w:rPr>
          <w:sz w:val="20"/>
          <w:szCs w:val="20"/>
          <w:color w:val="auto"/>
        </w:rPr>
      </w:pPr>
    </w:p>
    <w:p>
      <w:pPr>
        <w:ind w:left="460" w:right="2959" w:firstLine="837"/>
        <w:spacing w:after="0" w:line="236" w:lineRule="auto"/>
        <w:rPr>
          <w:sz w:val="20"/>
          <w:szCs w:val="20"/>
          <w:color w:val="auto"/>
        </w:rPr>
      </w:pPr>
      <w:r>
        <w:rPr>
          <w:rFonts w:ascii="Courier New" w:cs="Courier New" w:eastAsia="Courier New" w:hAnsi="Courier New"/>
          <w:sz w:val="16"/>
          <w:szCs w:val="16"/>
          <w:color w:val="auto"/>
        </w:rPr>
        <w:t>"That for and in consideration of the sum of $10.00 and other good and valuable consideration in hand paid to each Guarantor by Lender simultaneously with the execution and delivery of these presents, the receipt whereof is hereby acknowledged, and in consideration of the making of the loan described in Exhibit "A", attached hereto and made a part hereof, hereinafter referred to as the "Loan" to the Borrower designated in said Exhibit "A" hereinafter referred to as "Borrower", and in consideration and acknowledgement that each Guarantor</w:t>
      </w:r>
    </w:p>
    <w:p>
      <w:pPr>
        <w:spacing w:after="0" w:line="7" w:lineRule="exact"/>
        <w:rPr>
          <w:sz w:val="20"/>
          <w:szCs w:val="20"/>
          <w:color w:val="auto"/>
        </w:rPr>
      </w:pPr>
    </w:p>
    <w:p>
      <w:pPr>
        <w:ind w:left="460" w:right="3239"/>
        <w:spacing w:after="0" w:line="235" w:lineRule="auto"/>
        <w:rPr>
          <w:sz w:val="20"/>
          <w:szCs w:val="20"/>
          <w:color w:val="auto"/>
        </w:rPr>
      </w:pPr>
      <w:r>
        <w:rPr>
          <w:rFonts w:ascii="Courier New" w:cs="Courier New" w:eastAsia="Courier New" w:hAnsi="Courier New"/>
          <w:sz w:val="16"/>
          <w:szCs w:val="16"/>
          <w:color w:val="auto"/>
        </w:rPr>
        <w:t>will substantially benefit from the making of the Loan to the Borrower, each Guarantor covenants and agrees with Lender as follows:"</w:t>
      </w:r>
    </w:p>
    <w:p>
      <w:pPr>
        <w:spacing w:after="0" w:line="183" w:lineRule="exact"/>
        <w:rPr>
          <w:sz w:val="20"/>
          <w:szCs w:val="20"/>
          <w:color w:val="auto"/>
        </w:rPr>
      </w:pPr>
    </w:p>
    <w:p>
      <w:pPr>
        <w:ind w:left="-360" w:right="3439" w:firstLine="830"/>
        <w:spacing w:after="0" w:line="234" w:lineRule="auto"/>
        <w:tabs>
          <w:tab w:leader="none" w:pos="8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 thereof is hereby amended and restated in its entirety as follows:</w:t>
      </w:r>
    </w:p>
    <w:p>
      <w:pPr>
        <w:spacing w:after="0" w:line="183" w:lineRule="exact"/>
        <w:rPr>
          <w:sz w:val="20"/>
          <w:szCs w:val="20"/>
          <w:color w:val="auto"/>
        </w:rPr>
      </w:pPr>
    </w:p>
    <w:p>
      <w:pPr>
        <w:ind w:left="460" w:right="3239" w:firstLine="837"/>
        <w:spacing w:after="0" w:line="236" w:lineRule="auto"/>
        <w:rPr>
          <w:sz w:val="20"/>
          <w:szCs w:val="20"/>
          <w:color w:val="auto"/>
        </w:rPr>
      </w:pPr>
      <w:r>
        <w:rPr>
          <w:rFonts w:ascii="Courier New" w:cs="Courier New" w:eastAsia="Courier New" w:hAnsi="Courier New"/>
          <w:sz w:val="16"/>
          <w:szCs w:val="16"/>
          <w:color w:val="auto"/>
        </w:rPr>
        <w:t>"1. Guarantors absolutely and unconditionally guaranty, jointly and severally, to Lender, with full power to satisfy, discharge, release, foreclose, assign and transfer the within Guaranty and to designate a substitute nominee in the place of Lender and its successors, participants, endorsees or assigns, the due performance and full and prompt payment, whether at maturity or by acceleration or otherwise, of any and all Borrower's Liabilities (as hereinafter defined) (hereinafter collectively referred to as the "Guarantors' Obligations"); provided, however, that the liability of any Guarantor hereunder with respect to the Guarantors Obligations shall not exceed at any time the Maximum Amount (as hereinafter defined). The "Maximum Amount" means the greater of (x) the aggregate amount of all advances to or investments in the Guarantor made directly or indirectly with the proceeds of loans and advances made to the Borrower under the Credit Agreement or (y) 95% of (a) the fair salable value of the assets of the Guarantor as of the date hereof minus (b) the total liabilities of the Guarantor (including contingent liabilities, but excluding liabilities of the Guarantor under this Guaranty and the other Loan Documents executed by the Guarantor) as of the date hereof; provided, further, that if the calculation of the Maximum Amount in the manner provided above as of the date payment is required of the Guarantor pursuant to this Guaranty would result in a greater positive number, then the Maximum Amount shall be deemed to be such greater positive number."</w:t>
      </w:r>
    </w:p>
    <w:p>
      <w:pPr>
        <w:spacing w:after="0" w:line="372"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654" w:right="1440" w:bottom="1440" w:gutter="0" w:footer="0" w:header="0"/>
        </w:sectPr>
      </w:pPr>
    </w:p>
    <w:bookmarkStart w:id="99" w:name="page100"/>
    <w:bookmarkEnd w:id="99"/>
    <w:p>
      <w:pPr>
        <w:ind w:left="-360" w:right="2959" w:firstLine="830"/>
        <w:spacing w:after="0" w:line="234" w:lineRule="auto"/>
        <w:tabs>
          <w:tab w:leader="none" w:pos="131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 thereof is hereby amended and restated in its entirety as follows:</w:t>
      </w:r>
    </w:p>
    <w:p>
      <w:pPr>
        <w:spacing w:after="0" w:line="183" w:lineRule="exact"/>
        <w:rPr>
          <w:sz w:val="20"/>
          <w:szCs w:val="20"/>
          <w:color w:val="auto"/>
        </w:rPr>
      </w:pPr>
    </w:p>
    <w:p>
      <w:pPr>
        <w:ind w:left="460" w:right="3239" w:firstLine="837"/>
        <w:spacing w:after="0" w:line="271" w:lineRule="auto"/>
        <w:rPr>
          <w:sz w:val="20"/>
          <w:szCs w:val="20"/>
          <w:color w:val="auto"/>
        </w:rPr>
      </w:pPr>
      <w:r>
        <w:rPr>
          <w:rFonts w:ascii="Courier New" w:cs="Courier New" w:eastAsia="Courier New" w:hAnsi="Courier New"/>
          <w:sz w:val="14"/>
          <w:szCs w:val="14"/>
          <w:color w:val="auto"/>
        </w:rPr>
        <w:t>"2. For purposes of this Guaranty, "Borrower's Liabilities" shall mean and include any and all advances (including those made by Lender to protect, enlarge or preserve the priority, propriety, or amount of any lien in favor of the Lender against mechanic's lien, equitable lien, or statutory claimants, or otherwise), debts, obligations and liabilities of Borrower pursuant to the terms of the Credit Agreement, the Note and all other Loan Documents executed in connection therewith heretofore, now, or hereafter made, incurred or created, extended, renewed, replaced, refinanced or restructured, whether or not from time to time decreased or extinguished and later increased, created or incurred, whether voluntary or involuntary and, however arising, whether due or not, absolute or contingent, liquidated or non-liquidated, determined or undetermined, and whether Borrower may be liable individually or jointly with others, or whether recovery upon such indebtedness may be or hereafter become barred by any statute of limitations, or whether such indebtedness may be or hereafter become otherwise unenforceable (collectively referred to hereinafter as the "Borrower's Liabilities"). This is a continuing Guaranty relating to the Borrower's Liabilities, and any other indebtedness arising under subsequent or successive transactions which increase the Borrower's Liabilities, and said Guaranty shall be irrevocable and remain outstanding until all the Borrower's Liabilities are satisfied in full and the Lender shall have no further obligation to make loans and advances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hanging="830"/>
        <w:spacing w:after="0"/>
        <w:tabs>
          <w:tab w:leader="none" w:pos="13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 thereof is hereby amended as follows:</w:t>
      </w:r>
    </w:p>
    <w:p>
      <w:pPr>
        <w:spacing w:after="0" w:line="182" w:lineRule="exact"/>
        <w:rPr>
          <w:rFonts w:ascii="Courier New" w:cs="Courier New" w:eastAsia="Courier New" w:hAnsi="Courier New"/>
          <w:sz w:val="16"/>
          <w:szCs w:val="16"/>
          <w:color w:val="auto"/>
        </w:rPr>
      </w:pPr>
    </w:p>
    <w:p>
      <w:pPr>
        <w:jc w:val="both"/>
        <w:ind w:left="460" w:right="3339" w:firstLine="847"/>
        <w:spacing w:after="0" w:line="235" w:lineRule="auto"/>
        <w:tabs>
          <w:tab w:leader="none" w:pos="2134"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reference in clause (a) thereof to "indebtedness" is hereby amended to refer to "Borrower's Liabilities".</w:t>
      </w:r>
    </w:p>
    <w:p>
      <w:pPr>
        <w:spacing w:after="0" w:line="183" w:lineRule="exact"/>
        <w:rPr>
          <w:rFonts w:ascii="Courier New" w:cs="Courier New" w:eastAsia="Courier New" w:hAnsi="Courier New"/>
          <w:sz w:val="16"/>
          <w:szCs w:val="16"/>
          <w:color w:val="auto"/>
        </w:rPr>
      </w:pPr>
    </w:p>
    <w:p>
      <w:pPr>
        <w:ind w:left="460" w:right="2879" w:firstLine="847"/>
        <w:spacing w:after="0" w:line="235" w:lineRule="auto"/>
        <w:tabs>
          <w:tab w:leader="none" w:pos="2134"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reference in clause (b) thereof to "or the indebtedness guaranteed," shall be replaced with "and the Guarantors' Obligations and".</w:t>
      </w:r>
    </w:p>
    <w:p>
      <w:pPr>
        <w:spacing w:after="0" w:line="183" w:lineRule="exact"/>
        <w:rPr>
          <w:sz w:val="20"/>
          <w:szCs w:val="20"/>
          <w:color w:val="auto"/>
        </w:rPr>
      </w:pPr>
    </w:p>
    <w:p>
      <w:pPr>
        <w:ind w:left="460" w:right="2959" w:firstLine="837"/>
        <w:spacing w:after="0" w:line="235" w:lineRule="auto"/>
        <w:rPr>
          <w:sz w:val="20"/>
          <w:szCs w:val="20"/>
          <w:color w:val="auto"/>
        </w:rPr>
      </w:pPr>
      <w:r>
        <w:rPr>
          <w:rFonts w:ascii="Courier New" w:cs="Courier New" w:eastAsia="Courier New" w:hAnsi="Courier New"/>
          <w:sz w:val="16"/>
          <w:szCs w:val="16"/>
          <w:color w:val="auto"/>
        </w:rPr>
        <w:t>(iii)The reference in clause (d) thereof to "of the endorsers or guarantors" shall be replaced with "endorsers or guarantors of the Borrower's Liabilities".</w:t>
      </w:r>
    </w:p>
    <w:p>
      <w:pPr>
        <w:spacing w:after="0" w:line="183" w:lineRule="exact"/>
        <w:rPr>
          <w:sz w:val="20"/>
          <w:szCs w:val="20"/>
          <w:color w:val="auto"/>
        </w:rPr>
      </w:pPr>
    </w:p>
    <w:p>
      <w:pPr>
        <w:ind w:left="-360" w:right="2959" w:firstLine="830"/>
        <w:spacing w:after="0" w:line="234" w:lineRule="auto"/>
        <w:tabs>
          <w:tab w:leader="none" w:pos="131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 thereof is hereby amended and restated in its entirety to read as follows:</w:t>
      </w:r>
    </w:p>
    <w:p>
      <w:pPr>
        <w:spacing w:after="0" w:line="183" w:lineRule="exact"/>
        <w:rPr>
          <w:sz w:val="20"/>
          <w:szCs w:val="20"/>
          <w:color w:val="auto"/>
        </w:rPr>
      </w:pPr>
    </w:p>
    <w:p>
      <w:pPr>
        <w:ind w:left="460" w:right="2959" w:firstLine="837"/>
        <w:spacing w:after="0" w:line="234" w:lineRule="auto"/>
        <w:rPr>
          <w:sz w:val="20"/>
          <w:szCs w:val="20"/>
          <w:color w:val="auto"/>
        </w:rPr>
      </w:pPr>
      <w:r>
        <w:rPr>
          <w:rFonts w:ascii="Courier New" w:cs="Courier New" w:eastAsia="Courier New" w:hAnsi="Courier New"/>
          <w:sz w:val="16"/>
          <w:szCs w:val="16"/>
          <w:color w:val="auto"/>
        </w:rPr>
        <w:t>"5. Each Guarantor waives any right to require Lender to (a) proceed against Borrower; (b) proceed</w:t>
      </w:r>
    </w:p>
    <w:p>
      <w:pPr>
        <w:spacing w:after="0" w:line="177"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654" w:right="1440" w:bottom="1440" w:gutter="0" w:footer="0" w:header="0"/>
        </w:sectPr>
      </w:pPr>
    </w:p>
    <w:bookmarkStart w:id="100" w:name="page101"/>
    <w:bookmarkEnd w:id="100"/>
    <w:p>
      <w:pPr>
        <w:ind w:left="460"/>
        <w:spacing w:after="0"/>
        <w:rPr>
          <w:sz w:val="20"/>
          <w:szCs w:val="20"/>
          <w:color w:val="auto"/>
        </w:rPr>
      </w:pPr>
      <w:r>
        <w:rPr>
          <w:rFonts w:ascii="Courier New" w:cs="Courier New" w:eastAsia="Courier New" w:hAnsi="Courier New"/>
          <w:sz w:val="16"/>
          <w:szCs w:val="16"/>
          <w:color w:val="auto"/>
        </w:rPr>
        <w:t>against or exhaust any security held from Borrower; or</w:t>
      </w:r>
    </w:p>
    <w:p>
      <w:pPr>
        <w:spacing w:after="0" w:line="4" w:lineRule="exact"/>
        <w:rPr>
          <w:sz w:val="20"/>
          <w:szCs w:val="20"/>
          <w:color w:val="auto"/>
        </w:rPr>
      </w:pPr>
    </w:p>
    <w:p>
      <w:pPr>
        <w:ind w:left="460" w:right="3239" w:firstLine="10"/>
        <w:spacing w:after="0" w:line="271" w:lineRule="auto"/>
        <w:tabs>
          <w:tab w:leader="none" w:pos="83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pursue any other remedy in Lender's power whatsoever. Guarantor waives any defense arising by reason of any disability or other defense of Borrower or by reason of the cessation from any cause whatsoever of the liability of Borrower to Lender. Until all the Borrower's Liabilities shall have been paid in full and the Lender shall have no further obligation to make loans and advances under the Credit Agreement, each Guarantor waives any right to endorse any remedy which Lender now has or may hereafter have against Borrower, and waives any benefit of, and any right to participate in, any security now or hereafter held by Lender as collateral security for the Borrower's Liabilities. Each Guarantor waives all presentments, demands for performance, notices of non-performance, protests, notices of dishonor, notices of acceptance of this Guaranty and of the existence, creation, or incurring of new or additional indebtedness; any defense or circumstance which might otherwise constitute a legal or equitable discharge of a guarantor or a surety; and all rights under any state or federal statute dealing with or affecting the rights of creditors. Each Guarantor covenants to cause Borrower to maintain and preserve the enforceability of any instruments now or hereafter executed in favor of Lender, and to take no action of any kind which might be the basis for a claim that such Guarantor has any defense hereunder in connection with the above-mentioned Loan Documents, other than payment in full of the Borrower's Liabilities. Each Guarantor waives any right or claim of right to cause a marshalling of Borrower's assets or to require Lender to proceed against the Guarantors or any other guarantor of the Borrower's Liabilities in any particular order. No delay on the part of Lender in the exercise of any right, power or privilege under the Loan Documents or under this Guaranty shall operate as a waiver of any such privilege, power or right."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00" w:hanging="830"/>
        <w:spacing w:after="0"/>
        <w:tabs>
          <w:tab w:leader="none" w:pos="13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 thereof is hereby amended as follows:</w:t>
      </w:r>
    </w:p>
    <w:p>
      <w:pPr>
        <w:spacing w:after="0" w:line="182" w:lineRule="exact"/>
        <w:rPr>
          <w:rFonts w:ascii="Courier New" w:cs="Courier New" w:eastAsia="Courier New" w:hAnsi="Courier New"/>
          <w:sz w:val="16"/>
          <w:szCs w:val="16"/>
          <w:color w:val="auto"/>
        </w:rPr>
      </w:pPr>
    </w:p>
    <w:p>
      <w:pPr>
        <w:ind w:left="460" w:right="2779" w:firstLine="847"/>
        <w:spacing w:after="0" w:line="234" w:lineRule="auto"/>
        <w:tabs>
          <w:tab w:leader="none" w:pos="2134"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word thereof is hereby deleted and replaced with the following phrase:</w:t>
      </w:r>
    </w:p>
    <w:p>
      <w:pPr>
        <w:spacing w:after="0" w:line="183" w:lineRule="exact"/>
        <w:rPr>
          <w:sz w:val="20"/>
          <w:szCs w:val="20"/>
          <w:color w:val="auto"/>
        </w:rPr>
      </w:pPr>
    </w:p>
    <w:p>
      <w:pPr>
        <w:ind w:left="1300" w:right="2959"/>
        <w:spacing w:after="0" w:line="235" w:lineRule="auto"/>
        <w:rPr>
          <w:sz w:val="20"/>
          <w:szCs w:val="20"/>
          <w:color w:val="auto"/>
        </w:rPr>
      </w:pPr>
      <w:r>
        <w:rPr>
          <w:rFonts w:ascii="Courier New" w:cs="Courier New" w:eastAsia="Courier New" w:hAnsi="Courier New"/>
          <w:sz w:val="16"/>
          <w:szCs w:val="16"/>
          <w:color w:val="auto"/>
        </w:rPr>
        <w:t>"Until the Borrower's Liabilities are paid in full and the Lender is under no further obligation to make loans and advances under the Credit Agreement, any"</w:t>
      </w:r>
    </w:p>
    <w:p>
      <w:pPr>
        <w:spacing w:after="0" w:line="185" w:lineRule="exact"/>
        <w:rPr>
          <w:sz w:val="20"/>
          <w:szCs w:val="20"/>
          <w:color w:val="auto"/>
        </w:rPr>
      </w:pPr>
    </w:p>
    <w:p>
      <w:pPr>
        <w:jc w:val="both"/>
        <w:ind w:left="460" w:right="3339" w:firstLine="847"/>
        <w:spacing w:after="0" w:line="235" w:lineRule="auto"/>
        <w:tabs>
          <w:tab w:leader="none" w:pos="213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therein to "indebtedness of Borrower to Lender" are hereby replaced with "Borrower's Liabilities".</w:t>
      </w:r>
    </w:p>
    <w:p>
      <w:pPr>
        <w:spacing w:after="0" w:line="17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648" w:right="1440" w:bottom="1440" w:gutter="0" w:footer="0" w:header="0"/>
        </w:sectPr>
      </w:pPr>
    </w:p>
    <w:bookmarkStart w:id="101" w:name="page102"/>
    <w:bookmarkEnd w:id="101"/>
    <w:p>
      <w:pPr>
        <w:ind w:left="820" w:right="2879" w:firstLine="837"/>
        <w:spacing w:after="0" w:line="234" w:lineRule="auto"/>
        <w:rPr>
          <w:sz w:val="20"/>
          <w:szCs w:val="20"/>
          <w:color w:val="auto"/>
        </w:rPr>
      </w:pPr>
      <w:r>
        <w:rPr>
          <w:rFonts w:ascii="Courier New" w:cs="Courier New" w:eastAsia="Courier New" w:hAnsi="Courier New"/>
          <w:sz w:val="16"/>
          <w:szCs w:val="16"/>
          <w:color w:val="auto"/>
        </w:rPr>
        <w:t>(iii)The following two sentences are hereby added to the end of such Section:</w:t>
      </w:r>
    </w:p>
    <w:p>
      <w:pPr>
        <w:spacing w:after="0" w:line="183" w:lineRule="exact"/>
        <w:rPr>
          <w:sz w:val="20"/>
          <w:szCs w:val="20"/>
          <w:color w:val="auto"/>
        </w:rPr>
      </w:pPr>
    </w:p>
    <w:p>
      <w:pPr>
        <w:ind w:left="1660" w:right="2959"/>
        <w:spacing w:after="0" w:line="236" w:lineRule="auto"/>
        <w:rPr>
          <w:sz w:val="20"/>
          <w:szCs w:val="20"/>
          <w:color w:val="auto"/>
        </w:rPr>
      </w:pPr>
      <w:r>
        <w:rPr>
          <w:rFonts w:ascii="Courier New" w:cs="Courier New" w:eastAsia="Courier New" w:hAnsi="Courier New"/>
          <w:sz w:val="16"/>
          <w:szCs w:val="16"/>
          <w:color w:val="auto"/>
        </w:rPr>
        <w:t>"Guarantor, at the request of the Lender, shall execute such further documents in favor of the Lender to further evidence and support the purpose of this Section 6. Each Guarantor hereby irrevocably waives and releases any right or rights of subrogation or contribution existing at law, by contract or otherwise to recover all or a portion of any payment made hereunder from the Borrower or any other guarantor.</w:t>
      </w:r>
    </w:p>
    <w:p>
      <w:pPr>
        <w:spacing w:after="0" w:line="185" w:lineRule="exact"/>
        <w:rPr>
          <w:sz w:val="20"/>
          <w:szCs w:val="20"/>
          <w:color w:val="auto"/>
        </w:rPr>
      </w:pPr>
    </w:p>
    <w:p>
      <w:pPr>
        <w:ind w:right="2959" w:firstLine="830"/>
        <w:spacing w:after="0" w:line="295" w:lineRule="auto"/>
        <w:tabs>
          <w:tab w:leader="none" w:pos="167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 thereof is hereby deleted in its entirety and the remaining Sections thereof renumbered accordingly.</w:t>
      </w:r>
    </w:p>
    <w:p>
      <w:pPr>
        <w:spacing w:after="0" w:line="140" w:lineRule="exact"/>
        <w:rPr>
          <w:rFonts w:ascii="Courier New" w:cs="Courier New" w:eastAsia="Courier New" w:hAnsi="Courier New"/>
          <w:sz w:val="14"/>
          <w:szCs w:val="14"/>
          <w:color w:val="auto"/>
        </w:rPr>
      </w:pPr>
    </w:p>
    <w:p>
      <w:pPr>
        <w:ind w:left="1660" w:hanging="830"/>
        <w:spacing w:after="0"/>
        <w:tabs>
          <w:tab w:leader="none" w:pos="16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 thereof is hereby amended as follows:</w:t>
      </w:r>
    </w:p>
    <w:p>
      <w:pPr>
        <w:spacing w:after="0" w:line="182" w:lineRule="exact"/>
        <w:rPr>
          <w:rFonts w:ascii="Courier New" w:cs="Courier New" w:eastAsia="Courier New" w:hAnsi="Courier New"/>
          <w:sz w:val="16"/>
          <w:szCs w:val="16"/>
          <w:color w:val="auto"/>
        </w:rPr>
      </w:pPr>
    </w:p>
    <w:p>
      <w:pPr>
        <w:ind w:left="820" w:right="2959" w:firstLine="847"/>
        <w:spacing w:after="0" w:line="235" w:lineRule="auto"/>
        <w:tabs>
          <w:tab w:leader="none" w:pos="2494"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phrase "obligations and liabilities of Borrower and/or Guarantor to Lender, whether direct or contingent, in connection with the Loan Documents hereinabove referred to," is hereby replaced with "Guarantors' Obligations".</w:t>
      </w:r>
    </w:p>
    <w:p>
      <w:pPr>
        <w:spacing w:after="0" w:line="185" w:lineRule="exact"/>
        <w:rPr>
          <w:rFonts w:ascii="Courier New" w:cs="Courier New" w:eastAsia="Courier New" w:hAnsi="Courier New"/>
          <w:sz w:val="16"/>
          <w:szCs w:val="16"/>
          <w:color w:val="auto"/>
        </w:rPr>
      </w:pPr>
    </w:p>
    <w:p>
      <w:pPr>
        <w:ind w:left="820" w:right="3339" w:firstLine="847"/>
        <w:spacing w:after="0" w:line="295" w:lineRule="auto"/>
        <w:tabs>
          <w:tab w:leader="none" w:pos="2494"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two words in such Section are hereby deleted and replace with the following phrase:</w:t>
      </w:r>
    </w:p>
    <w:p>
      <w:pPr>
        <w:spacing w:after="0" w:line="147" w:lineRule="exact"/>
        <w:rPr>
          <w:sz w:val="20"/>
          <w:szCs w:val="20"/>
          <w:color w:val="auto"/>
        </w:rPr>
      </w:pPr>
    </w:p>
    <w:p>
      <w:pPr>
        <w:ind w:left="1660" w:right="2959"/>
        <w:spacing w:after="0" w:line="236" w:lineRule="auto"/>
        <w:rPr>
          <w:sz w:val="20"/>
          <w:szCs w:val="20"/>
          <w:color w:val="auto"/>
        </w:rPr>
      </w:pPr>
      <w:r>
        <w:rPr>
          <w:rFonts w:ascii="Courier New" w:cs="Courier New" w:eastAsia="Courier New" w:hAnsi="Courier New"/>
          <w:sz w:val="16"/>
          <w:szCs w:val="16"/>
          <w:color w:val="auto"/>
        </w:rPr>
        <w:t>", jointly and severally, by Guarantors without any offset of any kind whatsoever, without the Lender first being required to make demand upon the Borrower or pursue any of its rights against Borrower, or against any other person, including other guarantors (whether or not party to this Guaranty)."</w:t>
      </w:r>
    </w:p>
    <w:p>
      <w:pPr>
        <w:spacing w:after="0" w:line="184" w:lineRule="exact"/>
        <w:rPr>
          <w:sz w:val="20"/>
          <w:szCs w:val="20"/>
          <w:color w:val="auto"/>
        </w:rPr>
      </w:pPr>
    </w:p>
    <w:p>
      <w:pPr>
        <w:ind w:right="3059" w:firstLine="830"/>
        <w:spacing w:after="0" w:line="234" w:lineRule="auto"/>
        <w:tabs>
          <w:tab w:leader="none" w:pos="167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 thereof is hereby amended to replace the phrase "covering said indebtedness" in each place that it</w:t>
      </w:r>
    </w:p>
    <w:p>
      <w:pPr>
        <w:spacing w:after="0" w:line="4" w:lineRule="exact"/>
        <w:rPr>
          <w:rFonts w:ascii="Courier New" w:cs="Courier New" w:eastAsia="Courier New" w:hAnsi="Courier New"/>
          <w:sz w:val="16"/>
          <w:szCs w:val="16"/>
          <w:color w:val="auto"/>
        </w:rPr>
      </w:pPr>
    </w:p>
    <w:p>
      <w:pPr>
        <w:ind w:right="417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occurs with the phrase "executed in connection with this Guaranty or the Guarantors' Obligations hereunder".</w:t>
      </w:r>
    </w:p>
    <w:p>
      <w:pPr>
        <w:spacing w:after="0" w:line="146" w:lineRule="exact"/>
        <w:rPr>
          <w:rFonts w:ascii="Courier New" w:cs="Courier New" w:eastAsia="Courier New" w:hAnsi="Courier New"/>
          <w:sz w:val="16"/>
          <w:szCs w:val="16"/>
          <w:color w:val="auto"/>
        </w:rPr>
      </w:pPr>
    </w:p>
    <w:p>
      <w:pPr>
        <w:ind w:right="2959" w:firstLine="830"/>
        <w:spacing w:after="0" w:line="234" w:lineRule="auto"/>
        <w:tabs>
          <w:tab w:leader="none" w:pos="167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 thereof is hereby amended to replace the phrase "liabilities or obligations of Borrower" with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phrase "of Borrower's Liabilities".</w:t>
      </w:r>
    </w:p>
    <w:p>
      <w:pPr>
        <w:spacing w:after="0" w:line="183" w:lineRule="exact"/>
        <w:rPr>
          <w:rFonts w:ascii="Courier New" w:cs="Courier New" w:eastAsia="Courier New" w:hAnsi="Courier New"/>
          <w:sz w:val="16"/>
          <w:szCs w:val="16"/>
          <w:color w:val="auto"/>
        </w:rPr>
      </w:pPr>
    </w:p>
    <w:p>
      <w:pPr>
        <w:ind w:right="3159" w:firstLine="830"/>
        <w:spacing w:after="0" w:line="234" w:lineRule="auto"/>
        <w:tabs>
          <w:tab w:leader="none" w:pos="167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sentence of Section 11 thereof is hereby amended and restated in its entirety as follows:</w:t>
      </w:r>
    </w:p>
    <w:p>
      <w:pPr>
        <w:spacing w:after="0" w:line="183" w:lineRule="exact"/>
        <w:rPr>
          <w:sz w:val="20"/>
          <w:szCs w:val="20"/>
          <w:color w:val="auto"/>
        </w:rPr>
      </w:pPr>
    </w:p>
    <w:p>
      <w:pPr>
        <w:jc w:val="both"/>
        <w:ind w:left="820" w:right="3519"/>
        <w:spacing w:after="0" w:line="276" w:lineRule="auto"/>
        <w:rPr>
          <w:sz w:val="20"/>
          <w:szCs w:val="20"/>
          <w:color w:val="auto"/>
        </w:rPr>
      </w:pPr>
      <w:r>
        <w:rPr>
          <w:rFonts w:ascii="Courier New" w:cs="Courier New" w:eastAsia="Courier New" w:hAnsi="Courier New"/>
          <w:sz w:val="14"/>
          <w:szCs w:val="14"/>
          <w:color w:val="auto"/>
        </w:rPr>
        <w:t>"Any action taken by Lender pursuant to the provisions herein contained or contained in the Credit Agreement, the Note or the Loan Documents, shall not release the Guarantor until all of the Borrower's Liabilities are paid in full and the Lender shall have no further</w:t>
      </w:r>
    </w:p>
    <w:p>
      <w:pPr>
        <w:spacing w:after="0" w:line="155"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79"/>
          </w:cols>
          <w:pgMar w:left="1080" w:top="654" w:right="1440" w:bottom="1440" w:gutter="0" w:footer="0" w:header="0"/>
        </w:sectPr>
      </w:pPr>
    </w:p>
    <w:bookmarkStart w:id="102" w:name="page103"/>
    <w:bookmarkEnd w:id="102"/>
    <w:p>
      <w:pPr>
        <w:ind w:left="820" w:right="3519"/>
        <w:spacing w:after="0" w:line="234" w:lineRule="auto"/>
        <w:rPr>
          <w:sz w:val="20"/>
          <w:szCs w:val="20"/>
          <w:color w:val="auto"/>
        </w:rPr>
      </w:pPr>
      <w:r>
        <w:rPr>
          <w:rFonts w:ascii="Courier New" w:cs="Courier New" w:eastAsia="Courier New" w:hAnsi="Courier New"/>
          <w:sz w:val="16"/>
          <w:szCs w:val="16"/>
          <w:color w:val="auto"/>
        </w:rPr>
        <w:t>obligation to make loans and advances under the Credit Agreement."</w:t>
      </w:r>
    </w:p>
    <w:p>
      <w:pPr>
        <w:spacing w:after="0" w:line="183" w:lineRule="exact"/>
        <w:rPr>
          <w:sz w:val="20"/>
          <w:szCs w:val="20"/>
          <w:color w:val="auto"/>
        </w:rPr>
      </w:pPr>
    </w:p>
    <w:p>
      <w:pPr>
        <w:ind w:right="3059" w:firstLine="830"/>
        <w:spacing w:after="0" w:line="234" w:lineRule="auto"/>
        <w:tabs>
          <w:tab w:leader="none" w:pos="167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 thereof is hereby renumbered Section 14 and the address of the Lender is hereby amended and restated</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is entirety as follows: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"NationsBank of Florida,</w:t>
      </w:r>
    </w:p>
    <w:p>
      <w:pPr>
        <w:ind w:left="3340"/>
        <w:spacing w:after="0" w:line="236" w:lineRule="auto"/>
        <w:rPr>
          <w:sz w:val="20"/>
          <w:szCs w:val="20"/>
          <w:color w:val="auto"/>
        </w:rPr>
      </w:pPr>
      <w:r>
        <w:rPr>
          <w:rFonts w:ascii="Courier New" w:cs="Courier New" w:eastAsia="Courier New" w:hAnsi="Courier New"/>
          <w:sz w:val="16"/>
          <w:szCs w:val="16"/>
          <w:color w:val="auto"/>
        </w:rPr>
        <w:t>National Association</w:t>
      </w:r>
    </w:p>
    <w:p>
      <w:pPr>
        <w:ind w:left="3340"/>
        <w:spacing w:after="0" w:line="237" w:lineRule="auto"/>
        <w:rPr>
          <w:sz w:val="20"/>
          <w:szCs w:val="20"/>
          <w:color w:val="auto"/>
        </w:rPr>
      </w:pPr>
      <w:r>
        <w:rPr>
          <w:rFonts w:ascii="Courier New" w:cs="Courier New" w:eastAsia="Courier New" w:hAnsi="Courier New"/>
          <w:sz w:val="16"/>
          <w:szCs w:val="16"/>
          <w:color w:val="auto"/>
        </w:rPr>
        <w:t>150 S.E. Third Avenue</w:t>
      </w:r>
    </w:p>
    <w:p>
      <w:pPr>
        <w:ind w:left="3340"/>
        <w:spacing w:after="0" w:line="237" w:lineRule="auto"/>
        <w:rPr>
          <w:sz w:val="20"/>
          <w:szCs w:val="20"/>
          <w:color w:val="auto"/>
        </w:rPr>
      </w:pPr>
      <w:r>
        <w:rPr>
          <w:rFonts w:ascii="Courier New" w:cs="Courier New" w:eastAsia="Courier New" w:hAnsi="Courier New"/>
          <w:sz w:val="16"/>
          <w:szCs w:val="16"/>
          <w:color w:val="auto"/>
        </w:rPr>
        <w:t>Miami, Florida 33131</w:t>
      </w:r>
    </w:p>
    <w:p>
      <w:pPr>
        <w:ind w:left="3340"/>
        <w:spacing w:after="0" w:line="237" w:lineRule="auto"/>
        <w:rPr>
          <w:sz w:val="20"/>
          <w:szCs w:val="20"/>
          <w:color w:val="auto"/>
        </w:rPr>
      </w:pPr>
      <w:r>
        <w:rPr>
          <w:rFonts w:ascii="Courier New" w:cs="Courier New" w:eastAsia="Courier New" w:hAnsi="Courier New"/>
          <w:sz w:val="16"/>
          <w:szCs w:val="16"/>
          <w:color w:val="auto"/>
        </w:rPr>
        <w:t>Attention: Corporate Banking"</w:t>
      </w:r>
    </w:p>
    <w:p>
      <w:pPr>
        <w:spacing w:after="0" w:line="183" w:lineRule="exact"/>
        <w:rPr>
          <w:sz w:val="20"/>
          <w:szCs w:val="20"/>
          <w:color w:val="auto"/>
        </w:rPr>
      </w:pPr>
    </w:p>
    <w:p>
      <w:pPr>
        <w:ind w:right="2959" w:firstLine="830"/>
        <w:spacing w:after="0" w:line="270" w:lineRule="auto"/>
        <w:tabs>
          <w:tab w:leader="none" w:pos="167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Sections 12 and 13 (as renumbered in accordance with Subsection 2(g) above) are hereby added thereto to read</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their entirety as follows:</w:t>
      </w:r>
    </w:p>
    <w:p>
      <w:pPr>
        <w:spacing w:after="0" w:line="183" w:lineRule="exact"/>
        <w:rPr>
          <w:sz w:val="20"/>
          <w:szCs w:val="20"/>
          <w:color w:val="auto"/>
        </w:rPr>
      </w:pPr>
    </w:p>
    <w:p>
      <w:pPr>
        <w:ind w:left="820" w:right="2879" w:firstLine="837"/>
        <w:spacing w:after="0" w:line="236" w:lineRule="auto"/>
        <w:rPr>
          <w:sz w:val="20"/>
          <w:szCs w:val="20"/>
          <w:color w:val="auto"/>
        </w:rPr>
      </w:pPr>
      <w:r>
        <w:rPr>
          <w:rFonts w:ascii="Courier New" w:cs="Courier New" w:eastAsia="Courier New" w:hAnsi="Courier New"/>
          <w:sz w:val="16"/>
          <w:szCs w:val="16"/>
          <w:color w:val="auto"/>
        </w:rPr>
        <w:t>"12. Guarantors will upon demand pay to the Lender, jointly and severally, the amount of any and all reasonable expenses, including the reasonable fees and expenses of its counsel and of any experts and agents, which it may reasonably incur in connection with enforcement of this Guaranty or the failure by any Guarantor to perform or observe any of the provisions hereof. Guarantors agree to indemnify and hold harmless the Lender from and against any and all claims, demands, losses, judgments and liabilities (including liabilities for penalties) of whatsoever kind or nature, growing out</w:t>
      </w:r>
    </w:p>
    <w:p>
      <w:pPr>
        <w:spacing w:after="0" w:line="7" w:lineRule="exact"/>
        <w:rPr>
          <w:sz w:val="20"/>
          <w:szCs w:val="20"/>
          <w:color w:val="auto"/>
        </w:rPr>
      </w:pPr>
    </w:p>
    <w:p>
      <w:pPr>
        <w:ind w:left="820" w:right="3239"/>
        <w:spacing w:after="0" w:line="236" w:lineRule="auto"/>
        <w:rPr>
          <w:sz w:val="20"/>
          <w:szCs w:val="20"/>
          <w:color w:val="auto"/>
        </w:rPr>
      </w:pPr>
      <w:r>
        <w:rPr>
          <w:rFonts w:ascii="Courier New" w:cs="Courier New" w:eastAsia="Courier New" w:hAnsi="Courier New"/>
          <w:sz w:val="16"/>
          <w:szCs w:val="16"/>
          <w:color w:val="auto"/>
        </w:rPr>
        <w:t>of or resulting from this Guaranty or the exercise by the Lender of any right or remedy granted to it hereunder or under the other Loan Documents, other than such items arising out of the bad faith, gross negligence or willful misconduct on the part of the Lender or an officer, co-officer, director, co-director, employee, co-employee, agent or co-agent thereof or breach of this Agreement by the Lender or an officer, co-officer, director, co-director, employee, co-employee, agent or co-agent thereof. If and to the extent that the obligations of the Guarantors under this Section 14 are unenforceable for any reason, Guarantors hereby agree to make the maximum contribution to the payment and satisfaction of such obligations which is permissible under applicable law.</w:t>
      </w:r>
    </w:p>
    <w:p>
      <w:pPr>
        <w:spacing w:after="0" w:line="189" w:lineRule="exact"/>
        <w:rPr>
          <w:sz w:val="20"/>
          <w:szCs w:val="20"/>
          <w:color w:val="auto"/>
        </w:rPr>
      </w:pPr>
    </w:p>
    <w:p>
      <w:pPr>
        <w:ind w:left="820" w:right="3339" w:firstLine="847"/>
        <w:spacing w:after="0" w:line="273" w:lineRule="auto"/>
        <w:tabs>
          <w:tab w:leader="none" w:pos="212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claim is ever made upon the Lender for repayment or recovery of any amount or amounts received in payment or on account of the Guarantors' Obligations and the Lender repays all or part of said amount by reason of (a) any judgment, decree or order of any court or administrative body having jurisdiction over such payee or any of its property, or (b) any settlement or compromise of any such claim effected by the Lender with any such claimant (including the original obligor), then</w:t>
      </w:r>
    </w:p>
    <w:p>
      <w:pPr>
        <w:spacing w:after="0" w:line="159"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79"/>
          </w:cols>
          <w:pgMar w:left="1080" w:top="654" w:right="1440" w:bottom="1440" w:gutter="0" w:footer="0" w:header="0"/>
        </w:sectPr>
      </w:pPr>
    </w:p>
    <w:bookmarkStart w:id="103" w:name="page104"/>
    <w:bookmarkEnd w:id="103"/>
    <w:p>
      <w:pPr>
        <w:ind w:left="1660" w:right="3239"/>
        <w:spacing w:after="0" w:line="274" w:lineRule="auto"/>
        <w:rPr>
          <w:sz w:val="20"/>
          <w:szCs w:val="20"/>
          <w:color w:val="auto"/>
        </w:rPr>
      </w:pPr>
      <w:r>
        <w:rPr>
          <w:rFonts w:ascii="Courier New" w:cs="Courier New" w:eastAsia="Courier New" w:hAnsi="Courier New"/>
          <w:sz w:val="14"/>
          <w:szCs w:val="14"/>
          <w:color w:val="auto"/>
        </w:rPr>
        <w:t>and in such event each Guarantor agrees that any such judgment, decree, order, settlement or compromise shall be binding upon it, notwithstanding any revocation hereof or the cancellation of any Note or other instrument evidencing any Guaranteed Obligation or any security therefor, and Guarantors shall be and remain jointly and severally liable to the Lender for the amount so repaid or recovered to the same extent as if such amount had never originally been received by the Lender."</w:t>
      </w:r>
    </w:p>
    <w:p>
      <w:pPr>
        <w:spacing w:after="0" w:line="340" w:lineRule="exact"/>
        <w:rPr>
          <w:sz w:val="20"/>
          <w:szCs w:val="20"/>
          <w:color w:val="auto"/>
        </w:rPr>
      </w:pPr>
    </w:p>
    <w:p>
      <w:pPr>
        <w:ind w:right="3799" w:firstLine="833"/>
        <w:spacing w:after="0" w:line="236" w:lineRule="auto"/>
        <w:tabs>
          <w:tab w:leader="none" w:pos="167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TRANS-TEC, INC. ACQUISITION. The Lender hereby consents to the acquisition of (i) certain assets of Trans-Tec Services, Inc., a New York corporation, and Trans-Tec Servicios, S.A., a Costa Rica corporation, by Trans-Tec Services, Inc., a Delaware corporation ("Trans-Tec Delaware") and the formation and operation of Trans-Tec Delaware as a new Subsidiary; and (ii) all of the outstanding capital stock of Trans-Tec (UK) Ltd., a United Kingdom corporation ("Trans-Tec UK") by Borrower, and the operation of Trans-Tec UK and its subsidiary, Trans-Tec (Singapore), Ltd., a Singapore corporation, as new Subsidiaries; and the Lender agrees that the foregoing transactions, and the indebtedness incurred by Borrower in connection therewith, do not violate Sections 9.6, 9.7 or 9.11 of the Credit Agreement.</w:t>
      </w:r>
    </w:p>
    <w:p>
      <w:pPr>
        <w:spacing w:after="0" w:line="187" w:lineRule="exact"/>
        <w:rPr>
          <w:rFonts w:ascii="Courier New" w:cs="Courier New" w:eastAsia="Courier New" w:hAnsi="Courier New"/>
          <w:sz w:val="16"/>
          <w:szCs w:val="16"/>
          <w:color w:val="auto"/>
        </w:rPr>
      </w:pPr>
    </w:p>
    <w:p>
      <w:pPr>
        <w:ind w:right="3439" w:firstLine="833"/>
        <w:spacing w:after="0" w:line="235" w:lineRule="auto"/>
        <w:tabs>
          <w:tab w:leader="none" w:pos="167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In order to induce the Lender to enter into this Amendment Agreement, the Borrower hereby represents and warrants that the Credit Agreement has been re-examined by the Borrower and that except as disclosed by the</w:t>
      </w:r>
    </w:p>
    <w:p>
      <w:pPr>
        <w:spacing w:after="0" w:line="1" w:lineRule="exact"/>
        <w:rPr>
          <w:rFonts w:ascii="Courier New" w:cs="Courier New" w:eastAsia="Courier New" w:hAnsi="Courier New"/>
          <w:sz w:val="16"/>
          <w:szCs w:val="16"/>
          <w:color w:val="auto"/>
        </w:rPr>
      </w:pP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in writing to the Lender as of the date hereof:</w:t>
      </w:r>
    </w:p>
    <w:p>
      <w:pPr>
        <w:spacing w:after="0" w:line="183" w:lineRule="exact"/>
        <w:rPr>
          <w:rFonts w:ascii="Courier New" w:cs="Courier New" w:eastAsia="Courier New" w:hAnsi="Courier New"/>
          <w:sz w:val="16"/>
          <w:szCs w:val="16"/>
          <w:color w:val="auto"/>
        </w:rPr>
      </w:pPr>
    </w:p>
    <w:p>
      <w:pPr>
        <w:ind w:left="840" w:right="3439" w:firstLine="830"/>
        <w:spacing w:after="0" w:line="235" w:lineRule="auto"/>
        <w:tabs>
          <w:tab w:leader="none" w:pos="2514"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by the Borrowers in Section 10 thereof are true on and as of the date hereof;</w:t>
      </w:r>
    </w:p>
    <w:p>
      <w:pPr>
        <w:spacing w:after="0" w:line="183" w:lineRule="exact"/>
        <w:rPr>
          <w:rFonts w:ascii="Courier New" w:cs="Courier New" w:eastAsia="Courier New" w:hAnsi="Courier New"/>
          <w:sz w:val="16"/>
          <w:szCs w:val="16"/>
          <w:color w:val="auto"/>
        </w:rPr>
      </w:pPr>
    </w:p>
    <w:p>
      <w:pPr>
        <w:ind w:left="840" w:right="3239" w:firstLine="830"/>
        <w:spacing w:after="0" w:line="236" w:lineRule="auto"/>
        <w:tabs>
          <w:tab w:leader="none" w:pos="2514"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material adverse change in the condition, financial or otherwise, of the Borrower and its Subsidiaries since the date of the most recent consolidated financial statements of the Borrower and its Subsidiaries delivered to the Lender under Section 8.3 thereof, other than changes in the ordinary course of business;</w:t>
      </w:r>
    </w:p>
    <w:p>
      <w:pPr>
        <w:spacing w:after="0" w:line="182" w:lineRule="exact"/>
        <w:rPr>
          <w:rFonts w:ascii="Courier New" w:cs="Courier New" w:eastAsia="Courier New" w:hAnsi="Courier New"/>
          <w:sz w:val="16"/>
          <w:szCs w:val="16"/>
          <w:color w:val="auto"/>
        </w:rPr>
      </w:pPr>
    </w:p>
    <w:p>
      <w:pPr>
        <w:ind w:left="840" w:right="2959" w:firstLine="830"/>
        <w:spacing w:after="0" w:line="235" w:lineRule="auto"/>
        <w:tabs>
          <w:tab w:leader="none" w:pos="2514"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and properties of the Borrower and its Subsidiaries are not, and since the date of the most recent consolidated financial statements of the Borrower and its Subsidiaries delivered to the Lender under Section 8.3</w:t>
      </w:r>
    </w:p>
    <w:p>
      <w:pPr>
        <w:spacing w:after="0" w:line="5" w:lineRule="exact"/>
        <w:rPr>
          <w:rFonts w:ascii="Courier New" w:cs="Courier New" w:eastAsia="Courier New" w:hAnsi="Courier New"/>
          <w:sz w:val="16"/>
          <w:szCs w:val="16"/>
          <w:color w:val="auto"/>
        </w:rPr>
      </w:pPr>
    </w:p>
    <w:p>
      <w:pPr>
        <w:ind w:left="840" w:right="3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thereof, have not been, adversely affected in any substantial way as the result of any fire, explosion, earthquake, accident, strike, lockout, combination of workers, flood, embargo, riot, activities of armed forces, war or acts of God or the public enemy, or cancellation or loss of any major contracts; and</w:t>
      </w:r>
    </w:p>
    <w:p>
      <w:pPr>
        <w:spacing w:after="0" w:line="17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04" w:name="page105"/>
    <w:bookmarkEnd w:id="104"/>
    <w:p>
      <w:pPr>
        <w:ind w:left="840" w:right="2959" w:firstLine="830"/>
        <w:spacing w:after="0" w:line="234" w:lineRule="auto"/>
        <w:tabs>
          <w:tab w:leader="none" w:pos="2514"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this Amendment Agreement, no condition exists which, upon the effectiveness of the</w:t>
      </w:r>
    </w:p>
    <w:p>
      <w:pPr>
        <w:spacing w:after="0" w:line="4" w:lineRule="exact"/>
        <w:rPr>
          <w:rFonts w:ascii="Courier New" w:cs="Courier New" w:eastAsia="Courier New" w:hAnsi="Courier New"/>
          <w:sz w:val="16"/>
          <w:szCs w:val="16"/>
          <w:color w:val="auto"/>
        </w:rPr>
      </w:pPr>
    </w:p>
    <w:p>
      <w:pPr>
        <w:ind w:left="840" w:right="361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contemplated hereby, would constitute a Default or an Event of Default on the part of the Borrower under the Credit Agreement or the other Loan Documents, either immediately or with the lapse of time or the giving of notice, or both.</w:t>
      </w:r>
    </w:p>
    <w:p>
      <w:pPr>
        <w:spacing w:after="0" w:line="185" w:lineRule="exact"/>
        <w:rPr>
          <w:rFonts w:ascii="Courier New" w:cs="Courier New" w:eastAsia="Courier New" w:hAnsi="Courier New"/>
          <w:sz w:val="16"/>
          <w:szCs w:val="16"/>
          <w:color w:val="auto"/>
        </w:rPr>
      </w:pPr>
    </w:p>
    <w:p>
      <w:pPr>
        <w:ind w:right="3239" w:firstLine="833"/>
        <w:spacing w:after="0" w:line="295" w:lineRule="auto"/>
        <w:tabs>
          <w:tab w:leader="none" w:pos="167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The effectiveness of this Amendment Agreement is subject to the receipt by the Lender of the following:</w:t>
      </w:r>
    </w:p>
    <w:p>
      <w:pPr>
        <w:spacing w:after="0" w:line="140" w:lineRule="exact"/>
        <w:rPr>
          <w:rFonts w:ascii="Courier New" w:cs="Courier New" w:eastAsia="Courier New" w:hAnsi="Courier New"/>
          <w:sz w:val="14"/>
          <w:szCs w:val="14"/>
          <w:color w:val="auto"/>
        </w:rPr>
      </w:pPr>
    </w:p>
    <w:p>
      <w:pPr>
        <w:ind w:left="3340" w:hanging="647"/>
        <w:spacing w:after="0"/>
        <w:tabs>
          <w:tab w:leader="none" w:pos="3340" w:val="left"/>
        </w:tabs>
        <w:numPr>
          <w:ilvl w:val="2"/>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 counterparts of this Amendment</w:t>
      </w:r>
    </w:p>
    <w:p>
      <w:pPr>
        <w:ind w:left="16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duly executed by all signatories hereto;</w:t>
      </w:r>
    </w:p>
    <w:p>
      <w:pPr>
        <w:spacing w:after="0" w:line="183" w:lineRule="exact"/>
        <w:rPr>
          <w:rFonts w:ascii="Courier New" w:cs="Courier New" w:eastAsia="Courier New" w:hAnsi="Courier New"/>
          <w:sz w:val="16"/>
          <w:szCs w:val="16"/>
          <w:color w:val="auto"/>
        </w:rPr>
      </w:pPr>
    </w:p>
    <w:p>
      <w:pPr>
        <w:ind w:left="3340" w:hanging="740"/>
        <w:spacing w:after="0"/>
        <w:tabs>
          <w:tab w:leader="none" w:pos="3340" w:val="left"/>
        </w:tabs>
        <w:numPr>
          <w:ilvl w:val="2"/>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for the Borrower and the</w:t>
      </w:r>
    </w:p>
    <w:p>
      <w:pPr>
        <w:spacing w:after="0" w:line="20" w:lineRule="exact"/>
        <w:rPr>
          <w:rFonts w:ascii="Courier New" w:cs="Courier New" w:eastAsia="Courier New" w:hAnsi="Courier New"/>
          <w:sz w:val="14"/>
          <w:szCs w:val="14"/>
          <w:color w:val="auto"/>
        </w:rPr>
      </w:pPr>
    </w:p>
    <w:p>
      <w:pPr>
        <w:ind w:left="1660" w:right="34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Guarantors as to the authorization, execution and delivery of this Amendment Agreement and the enforceability of the same against the Borrower and the Guarantors in accordance with its terms;</w:t>
      </w:r>
    </w:p>
    <w:p>
      <w:pPr>
        <w:spacing w:after="0" w:line="184" w:lineRule="exact"/>
        <w:rPr>
          <w:rFonts w:ascii="Courier New" w:cs="Courier New" w:eastAsia="Courier New" w:hAnsi="Courier New"/>
          <w:sz w:val="14"/>
          <w:szCs w:val="14"/>
          <w:color w:val="auto"/>
        </w:rPr>
      </w:pPr>
    </w:p>
    <w:p>
      <w:pPr>
        <w:ind w:left="1660" w:right="3159" w:firstLine="847"/>
        <w:spacing w:after="0" w:line="235" w:lineRule="auto"/>
        <w:tabs>
          <w:tab w:leader="none" w:pos="3334" w:val="left"/>
        </w:tabs>
        <w:numPr>
          <w:ilvl w:val="2"/>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of the Board of Directors or other governing body of the Borrower and the Guarantors approving this Amendment Agreement certified by the Secretary of such Borrower or Guarantor;</w:t>
      </w:r>
    </w:p>
    <w:p>
      <w:pPr>
        <w:spacing w:after="0" w:line="184" w:lineRule="exact"/>
        <w:rPr>
          <w:rFonts w:ascii="Courier New" w:cs="Courier New" w:eastAsia="Courier New" w:hAnsi="Courier New"/>
          <w:sz w:val="16"/>
          <w:szCs w:val="16"/>
          <w:color w:val="auto"/>
        </w:rPr>
      </w:pPr>
    </w:p>
    <w:p>
      <w:pPr>
        <w:ind w:left="1660" w:right="2959" w:firstLine="940"/>
        <w:spacing w:after="0" w:line="235" w:lineRule="auto"/>
        <w:tabs>
          <w:tab w:leader="none" w:pos="3334" w:val="left"/>
        </w:tabs>
        <w:numPr>
          <w:ilvl w:val="2"/>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Guaranty executed by Trans-Tec, Inc. and all other Subsidiaries of the Borrower not party to a Guaranty;</w:t>
      </w:r>
    </w:p>
    <w:p>
      <w:pPr>
        <w:spacing w:after="0" w:line="183" w:lineRule="exact"/>
        <w:rPr>
          <w:rFonts w:ascii="Courier New" w:cs="Courier New" w:eastAsia="Courier New" w:hAnsi="Courier New"/>
          <w:sz w:val="16"/>
          <w:szCs w:val="16"/>
          <w:color w:val="auto"/>
        </w:rPr>
      </w:pPr>
    </w:p>
    <w:p>
      <w:pPr>
        <w:ind w:left="1660" w:right="2779" w:firstLine="1033"/>
        <w:spacing w:after="0" w:line="235" w:lineRule="auto"/>
        <w:tabs>
          <w:tab w:leader="none" w:pos="3334" w:val="left"/>
        </w:tabs>
        <w:numPr>
          <w:ilvl w:val="2"/>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list as of the date hereof of the Subsidiaries of the Borrower, stating the authorized and issued capitalization of each Subsidiary, the number of shares or other equity interests of each class of stock</w:t>
      </w:r>
    </w:p>
    <w:p>
      <w:pPr>
        <w:spacing w:after="0" w:line="5" w:lineRule="exact"/>
        <w:rPr>
          <w:rFonts w:ascii="Courier New" w:cs="Courier New" w:eastAsia="Courier New" w:hAnsi="Courier New"/>
          <w:sz w:val="16"/>
          <w:szCs w:val="16"/>
          <w:color w:val="auto"/>
        </w:rPr>
      </w:pPr>
    </w:p>
    <w:p>
      <w:pPr>
        <w:ind w:left="1660" w:right="323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interests issued and outstanding of each such Subsidiary and the number and/or percentage of outstanding shares or other equity interest including options, warrants and other rights to acquire any interest of each such class of capital stock or equity interest owned by the Borrower or by any such Subsidiary; and</w:t>
      </w:r>
    </w:p>
    <w:p>
      <w:pPr>
        <w:spacing w:after="0" w:line="183" w:lineRule="exact"/>
        <w:rPr>
          <w:rFonts w:ascii="Courier New" w:cs="Courier New" w:eastAsia="Courier New" w:hAnsi="Courier New"/>
          <w:sz w:val="16"/>
          <w:szCs w:val="16"/>
          <w:color w:val="auto"/>
        </w:rPr>
      </w:pPr>
    </w:p>
    <w:p>
      <w:pPr>
        <w:ind w:left="1660" w:right="3239" w:firstLine="940"/>
        <w:spacing w:after="0" w:line="279" w:lineRule="auto"/>
        <w:tabs>
          <w:tab w:leader="none" w:pos="3334" w:val="left"/>
        </w:tabs>
        <w:numPr>
          <w:ilvl w:val="2"/>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additional agreements, instruments and documents which the Lender may reasonably request, such documents, when appropriate, to be certified by appropriate governmental authorities.</w:t>
      </w:r>
    </w:p>
    <w:p>
      <w:pPr>
        <w:spacing w:after="0" w:line="157" w:lineRule="exact"/>
        <w:rPr>
          <w:sz w:val="20"/>
          <w:szCs w:val="20"/>
          <w:color w:val="auto"/>
        </w:rPr>
      </w:pPr>
    </w:p>
    <w:p>
      <w:pPr>
        <w:ind w:right="4279"/>
        <w:spacing w:after="0" w:line="295" w:lineRule="auto"/>
        <w:rPr>
          <w:sz w:val="20"/>
          <w:szCs w:val="20"/>
          <w:color w:val="auto"/>
        </w:rPr>
      </w:pPr>
      <w:r>
        <w:rPr>
          <w:rFonts w:ascii="Courier New" w:cs="Courier New" w:eastAsia="Courier New" w:hAnsi="Courier New"/>
          <w:sz w:val="14"/>
          <w:szCs w:val="14"/>
          <w:color w:val="auto"/>
        </w:rPr>
        <w:t>All proceedings of the Borrower relating to the matters provided for herein shall be satisfactory to the Lender and its counsel.</w:t>
      </w:r>
    </w:p>
    <w:p>
      <w:pPr>
        <w:spacing w:after="0" w:line="147" w:lineRule="exact"/>
        <w:rPr>
          <w:sz w:val="20"/>
          <w:szCs w:val="20"/>
          <w:color w:val="auto"/>
        </w:rPr>
      </w:pPr>
    </w:p>
    <w:p>
      <w:pPr>
        <w:ind w:right="3519" w:firstLine="833"/>
        <w:spacing w:after="0" w:line="235" w:lineRule="auto"/>
        <w:tabs>
          <w:tab w:leader="none" w:pos="167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Amendment Agreement sets forth the entire understanding and agreement of the parties hereto in relation to the subject matter hereof and supersedes any prior negotiations and agreements among the parties relative to such</w:t>
      </w:r>
    </w:p>
    <w:p>
      <w:pPr>
        <w:spacing w:after="0" w:line="17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05" w:name="page106"/>
    <w:bookmarkEnd w:id="105"/>
    <w:p>
      <w:pPr>
        <w:ind w:left="5" w:right="3999"/>
        <w:spacing w:after="0" w:line="273" w:lineRule="auto"/>
        <w:rPr>
          <w:sz w:val="20"/>
          <w:szCs w:val="20"/>
          <w:color w:val="auto"/>
        </w:rPr>
      </w:pPr>
      <w:r>
        <w:rPr>
          <w:rFonts w:ascii="Courier New" w:cs="Courier New" w:eastAsia="Courier New" w:hAnsi="Courier New"/>
          <w:sz w:val="14"/>
          <w:szCs w:val="14"/>
          <w:color w:val="auto"/>
        </w:rPr>
        <w:t>subject matter. No promise, condition, representation or warranty, express or implied, not herein set forth shall bind any party hereto, and no one of them has relied on any such promise, condition, representation or warranty. Each of the parties hereto acknowledges that, except as in this Amendment Agreement otherwise expressly stated, no representations, warranties or commitments, express or implied, have been made by any party to the other. None of the terms or conditions of this Amendment Agreement may be changed, modified, waived or canceled orally or otherwise, except by writing, signed by all the parties hereto, specifying such change, modification, waiver or cancellation of such terms or conditions, or of any proceeding or succeeding breach thereof.</w:t>
      </w:r>
    </w:p>
    <w:p>
      <w:pPr>
        <w:spacing w:after="0" w:line="341" w:lineRule="exact"/>
        <w:rPr>
          <w:sz w:val="20"/>
          <w:szCs w:val="20"/>
          <w:color w:val="auto"/>
        </w:rPr>
      </w:pPr>
    </w:p>
    <w:p>
      <w:pPr>
        <w:ind w:left="5" w:right="3619" w:firstLine="833"/>
        <w:spacing w:after="0" w:line="234" w:lineRule="auto"/>
        <w:tabs>
          <w:tab w:leader="none" w:pos="1679"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FORCE AND EFFECT OF AGREEMENT. Except as hereby specifically amended, modified or supplemented, the Credit</w:t>
      </w:r>
    </w:p>
    <w:p>
      <w:pPr>
        <w:spacing w:after="0" w:line="4" w:lineRule="exact"/>
        <w:rPr>
          <w:rFonts w:ascii="Courier New" w:cs="Courier New" w:eastAsia="Courier New" w:hAnsi="Courier New"/>
          <w:sz w:val="16"/>
          <w:szCs w:val="16"/>
          <w:color w:val="auto"/>
        </w:rPr>
      </w:pPr>
    </w:p>
    <w:p>
      <w:pPr>
        <w:ind w:left="5" w:right="40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all other Loan Documents are hereby confirmed and ratified in all respects and shall remain in full force and effect according to their respective terms.</w:t>
      </w:r>
    </w:p>
    <w:p>
      <w:pPr>
        <w:spacing w:after="0" w:line="183" w:lineRule="exact"/>
        <w:rPr>
          <w:rFonts w:ascii="Courier New" w:cs="Courier New" w:eastAsia="Courier New" w:hAnsi="Courier New"/>
          <w:sz w:val="16"/>
          <w:szCs w:val="16"/>
          <w:color w:val="auto"/>
        </w:rPr>
      </w:pPr>
    </w:p>
    <w:p>
      <w:pPr>
        <w:ind w:left="5" w:right="3439" w:firstLine="833"/>
        <w:spacing w:after="0" w:line="235" w:lineRule="auto"/>
        <w:tabs>
          <w:tab w:leader="none" w:pos="1679"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Amendment Agreement may be executed in any number of counterparts, each of which shall be deemed an original as against any party whose signature appears thereon, and</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of which shall together constitute one and the same instrument.</w:t>
      </w:r>
    </w:p>
    <w:p>
      <w:pPr>
        <w:spacing w:after="0" w:line="183" w:lineRule="exact"/>
        <w:rPr>
          <w:rFonts w:ascii="Courier New" w:cs="Courier New" w:eastAsia="Courier New" w:hAnsi="Courier New"/>
          <w:sz w:val="16"/>
          <w:szCs w:val="16"/>
          <w:color w:val="auto"/>
        </w:rPr>
      </w:pPr>
    </w:p>
    <w:p>
      <w:pPr>
        <w:ind w:left="5" w:right="3619" w:firstLine="833"/>
        <w:spacing w:after="0" w:line="235" w:lineRule="auto"/>
        <w:tabs>
          <w:tab w:leader="none" w:pos="1679"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AMENDMENT AGREEMENT SHALL IN ALL RESPECTS BE GOVERNED BY THE LAW OF THE STATE OF FLORIDA, WITHOUT REGARD TO ANY OTHERWISE APPLICABLE PRINCIPLES OF CONFLICT OF LAWS.</w:t>
      </w:r>
    </w:p>
    <w:p>
      <w:pPr>
        <w:spacing w:after="0" w:line="4" w:lineRule="exact"/>
        <w:rPr>
          <w:rFonts w:ascii="Courier New" w:cs="Courier New" w:eastAsia="Courier New" w:hAnsi="Courier New"/>
          <w:sz w:val="16"/>
          <w:szCs w:val="16"/>
          <w:color w:val="auto"/>
        </w:rPr>
      </w:pPr>
    </w:p>
    <w:p>
      <w:pPr>
        <w:ind w:left="5" w:right="407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BORROWER HEREBY (i) SUBMITS TO THE JURISDICTION AND VENUE OF THE STATE AND FEDERAL COURTS OF FLORIDA FOR THE PURPOSES OF RESOLVING DISPUTES HEREUNDER OR UNDER ANY OF THE OTHER LOAN DOCUMENTS TO WHICH IT IS A PARTY OR FOR PURPOSES OF COLLECTION AND</w:t>
      </w:r>
    </w:p>
    <w:p>
      <w:pPr>
        <w:ind w:left="465" w:hanging="465"/>
        <w:spacing w:after="0" w:line="236" w:lineRule="auto"/>
        <w:tabs>
          <w:tab w:leader="none" w:pos="46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TRIAL BY JURY IN CONNECTION WITH ANY SUCH LITIGATION.</w:t>
      </w:r>
    </w:p>
    <w:p>
      <w:pPr>
        <w:spacing w:after="0" w:line="183" w:lineRule="exact"/>
        <w:rPr>
          <w:rFonts w:ascii="Courier New" w:cs="Courier New" w:eastAsia="Courier New" w:hAnsi="Courier New"/>
          <w:sz w:val="16"/>
          <w:szCs w:val="16"/>
          <w:color w:val="auto"/>
        </w:rPr>
      </w:pPr>
    </w:p>
    <w:p>
      <w:pPr>
        <w:ind w:left="5" w:right="3239" w:firstLine="833"/>
        <w:spacing w:after="0" w:line="235" w:lineRule="auto"/>
        <w:tabs>
          <w:tab w:leader="none" w:pos="1679"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Should any one or more of the provisions of this Amendment Agreement be determined to be illegal or unenforceable as to one or more of the parties hereto, all other provisions nevertheless shall remain effective and binding on the parties hereto.</w:t>
      </w:r>
    </w:p>
    <w:p>
      <w:pPr>
        <w:spacing w:after="0" w:line="185" w:lineRule="exact"/>
        <w:rPr>
          <w:rFonts w:ascii="Courier New" w:cs="Courier New" w:eastAsia="Courier New" w:hAnsi="Courier New"/>
          <w:sz w:val="16"/>
          <w:szCs w:val="16"/>
          <w:color w:val="auto"/>
        </w:rPr>
      </w:pPr>
    </w:p>
    <w:p>
      <w:pPr>
        <w:ind w:left="5" w:right="3719" w:firstLine="833"/>
        <w:spacing w:after="0" w:line="235" w:lineRule="auto"/>
        <w:tabs>
          <w:tab w:leader="none" w:pos="1679"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AGREEMENT. All references in any of the Loan Documents to the Credit Agreement shall mean and include the Credit Agreement as amended hereby.</w:t>
      </w:r>
    </w:p>
    <w:p>
      <w:pPr>
        <w:spacing w:after="0" w:line="183" w:lineRule="exact"/>
        <w:rPr>
          <w:rFonts w:ascii="Courier New" w:cs="Courier New" w:eastAsia="Courier New" w:hAnsi="Courier New"/>
          <w:sz w:val="16"/>
          <w:szCs w:val="16"/>
          <w:color w:val="auto"/>
        </w:rPr>
      </w:pPr>
    </w:p>
    <w:p>
      <w:pPr>
        <w:ind w:left="5" w:right="4079" w:firstLine="833"/>
        <w:spacing w:after="0" w:line="234" w:lineRule="auto"/>
        <w:tabs>
          <w:tab w:leader="none" w:pos="1679"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GUARANTORS. Each of the Guarantors joins in the execution of this Amendment Agreement for the purpose of</w:t>
      </w:r>
    </w:p>
    <w:p>
      <w:pPr>
        <w:spacing w:after="0" w:line="4" w:lineRule="exact"/>
        <w:rPr>
          <w:rFonts w:ascii="Courier New" w:cs="Courier New" w:eastAsia="Courier New" w:hAnsi="Courier New"/>
          <w:sz w:val="16"/>
          <w:szCs w:val="16"/>
          <w:color w:val="auto"/>
        </w:rPr>
      </w:pPr>
    </w:p>
    <w:p>
      <w:pPr>
        <w:ind w:left="5" w:right="3999" w:hanging="5"/>
        <w:spacing w:after="0" w:line="235" w:lineRule="auto"/>
        <w:tabs>
          <w:tab w:leader="none" w:pos="377"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consenting to the amendment hereby of the Credit Agreement and the Guaranties and (ii) hereby confirming its obligations under the Guaranty to which it is a party.</w:t>
      </w:r>
    </w:p>
    <w:p>
      <w:pPr>
        <w:spacing w:after="0" w:line="183" w:lineRule="exact"/>
        <w:rPr>
          <w:rFonts w:ascii="Courier New" w:cs="Courier New" w:eastAsia="Courier New" w:hAnsi="Courier New"/>
          <w:sz w:val="16"/>
          <w:szCs w:val="16"/>
          <w:color w:val="auto"/>
        </w:rPr>
      </w:pPr>
    </w:p>
    <w:p>
      <w:pPr>
        <w:ind w:left="5" w:right="3439" w:firstLine="833"/>
        <w:spacing w:after="0" w:line="270" w:lineRule="auto"/>
        <w:tabs>
          <w:tab w:leader="none" w:pos="1679"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Amendment Agreement shall be binding upon and inure to the benefit of each of the Borrower,</w:t>
      </w:r>
    </w:p>
    <w:p>
      <w:pPr>
        <w:jc w:val="both"/>
        <w:ind w:left="5" w:right="427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Lenders, the Lender and their respective successors, assigns and legal representatives; provided, however, that the Borrower,</w:t>
      </w:r>
    </w:p>
    <w:p>
      <w:pPr>
        <w:spacing w:after="0" w:line="141" w:lineRule="exact"/>
        <w:rPr>
          <w:sz w:val="20"/>
          <w:szCs w:val="20"/>
          <w:color w:val="auto"/>
        </w:rPr>
      </w:pPr>
    </w:p>
    <w:p>
      <w:pPr>
        <w:jc w:val="center"/>
        <w:ind w:right="-38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654" w:right="1440" w:bottom="1440" w:gutter="0" w:footer="0" w:header="0"/>
        </w:sectPr>
      </w:pPr>
    </w:p>
    <w:bookmarkStart w:id="106" w:name="page107"/>
    <w:bookmarkEnd w:id="106"/>
    <w:p>
      <w:pPr>
        <w:ind w:right="4639"/>
        <w:spacing w:after="0" w:line="234" w:lineRule="auto"/>
        <w:rPr>
          <w:sz w:val="20"/>
          <w:szCs w:val="20"/>
          <w:color w:val="auto"/>
        </w:rPr>
      </w:pPr>
      <w:r>
        <w:rPr>
          <w:rFonts w:ascii="Courier New" w:cs="Courier New" w:eastAsia="Courier New" w:hAnsi="Courier New"/>
          <w:sz w:val="16"/>
          <w:szCs w:val="16"/>
          <w:color w:val="auto"/>
        </w:rPr>
        <w:t>without the prior consent of the Lenders, may not assign any rights, powers, duties or obligations hereunder.</w:t>
      </w:r>
    </w:p>
    <w:p>
      <w:pPr>
        <w:spacing w:after="0" w:line="17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107" w:name="page108"/>
    <w:bookmarkEnd w:id="107"/>
    <w:p>
      <w:pPr>
        <w:jc w:val="both"/>
        <w:ind w:right="4279" w:firstLine="837"/>
        <w:spacing w:after="0" w:line="283" w:lineRule="auto"/>
        <w:rPr>
          <w:sz w:val="20"/>
          <w:szCs w:val="20"/>
          <w:color w:val="auto"/>
        </w:rPr>
      </w:pPr>
      <w:r>
        <w:rPr>
          <w:rFonts w:ascii="Courier New" w:cs="Courier New" w:eastAsia="Courier New" w:hAnsi="Courier New"/>
          <w:sz w:val="14"/>
          <w:szCs w:val="14"/>
          <w:color w:val="auto"/>
        </w:rPr>
        <w:t>IN WITNESS WHEREOF, the parties hereto have caused this Amendment Agreement to be duly executed by their duly authorized officers, all as of the day and year first above written.</w:t>
      </w:r>
    </w:p>
    <w:p>
      <w:pPr>
        <w:spacing w:after="0" w:line="148"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BORROWER:</w:t>
      </w:r>
    </w:p>
    <w:p>
      <w:pPr>
        <w:spacing w:after="0" w:line="177"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INTERNATIONAL RECOVERY CORP.</w:t>
      </w:r>
    </w:p>
    <w:p>
      <w:pPr>
        <w:spacing w:after="0" w:line="35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/S/ ROBERT S. TOCCI</w:t>
      </w:r>
    </w:p>
    <w:p>
      <w:pPr>
        <w:ind w:left="4840"/>
        <w:spacing w:after="0" w:line="236" w:lineRule="auto"/>
        <w:rPr>
          <w:sz w:val="20"/>
          <w:szCs w:val="20"/>
          <w:color w:val="auto"/>
        </w:rPr>
      </w:pPr>
      <w:r>
        <w:rPr>
          <w:rFonts w:ascii="Courier New" w:cs="Courier New" w:eastAsia="Courier New" w:hAnsi="Courier New"/>
          <w:sz w:val="16"/>
          <w:szCs w:val="16"/>
          <w:color w:val="auto"/>
        </w:rPr>
        <w:t>-------------------</w:t>
      </w:r>
    </w:p>
    <w:p>
      <w:pPr>
        <w:ind w:left="4840"/>
        <w:spacing w:after="0" w:line="237" w:lineRule="auto"/>
        <w:rPr>
          <w:sz w:val="20"/>
          <w:szCs w:val="20"/>
          <w:color w:val="auto"/>
        </w:rPr>
      </w:pPr>
      <w:r>
        <w:rPr>
          <w:rFonts w:ascii="Courier New" w:cs="Courier New" w:eastAsia="Courier New" w:hAnsi="Courier New"/>
          <w:sz w:val="16"/>
          <w:szCs w:val="16"/>
          <w:color w:val="auto"/>
        </w:rPr>
        <w:t>Robert S. Tocci</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Executive Vice President</w:t>
      </w: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Signature Page 1 of 3</w:t>
      </w:r>
    </w:p>
    <w:p>
      <w:pPr>
        <w:sectPr>
          <w:pgSz w:w="11900" w:h="16838" w:orient="portrait"/>
          <w:cols w:equalWidth="0" w:num="1">
            <w:col w:w="10219"/>
          </w:cols>
          <w:pgMar w:left="240" w:top="654" w:right="1440" w:bottom="1440" w:gutter="0" w:footer="0" w:header="0"/>
        </w:sectPr>
      </w:pPr>
    </w:p>
    <w:bookmarkStart w:id="108" w:name="page109"/>
    <w:bookmarkEnd w:id="108"/>
    <w:p>
      <w:pPr>
        <w:ind w:left="2520"/>
        <w:spacing w:after="0"/>
        <w:rPr>
          <w:sz w:val="20"/>
          <w:szCs w:val="20"/>
          <w:color w:val="auto"/>
        </w:rPr>
      </w:pPr>
      <w:r>
        <w:rPr>
          <w:rFonts w:ascii="Courier New" w:cs="Courier New" w:eastAsia="Courier New" w:hAnsi="Courier New"/>
          <w:sz w:val="16"/>
          <w:szCs w:val="16"/>
          <w:color w:val="auto"/>
        </w:rPr>
        <w:t>GUARANTORS:</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ADVANCE PETROLEUM, INC., a Florida</w:t>
      </w:r>
    </w:p>
    <w:p>
      <w:pPr>
        <w:ind w:left="2600"/>
        <w:spacing w:after="0" w:line="236" w:lineRule="auto"/>
        <w:rPr>
          <w:sz w:val="20"/>
          <w:szCs w:val="20"/>
          <w:color w:val="auto"/>
        </w:rPr>
      </w:pPr>
      <w:r>
        <w:rPr>
          <w:rFonts w:ascii="Courier New" w:cs="Courier New" w:eastAsia="Courier New" w:hAnsi="Courier New"/>
          <w:sz w:val="16"/>
          <w:szCs w:val="16"/>
          <w:color w:val="auto"/>
        </w:rPr>
        <w:t>corporation</w:t>
      </w:r>
    </w:p>
    <w:p>
      <w:pPr>
        <w:ind w:left="2520"/>
        <w:spacing w:after="0" w:line="237" w:lineRule="auto"/>
        <w:rPr>
          <w:sz w:val="20"/>
          <w:szCs w:val="20"/>
          <w:color w:val="auto"/>
        </w:rPr>
      </w:pPr>
      <w:r>
        <w:rPr>
          <w:rFonts w:ascii="Courier New" w:cs="Courier New" w:eastAsia="Courier New" w:hAnsi="Courier New"/>
          <w:sz w:val="16"/>
          <w:szCs w:val="16"/>
          <w:color w:val="auto"/>
        </w:rPr>
        <w:t>INTERNATIONAL PETROLEUM CORPORATION,</w:t>
      </w:r>
    </w:p>
    <w:p>
      <w:pPr>
        <w:ind w:left="2600"/>
        <w:spacing w:after="0" w:line="237" w:lineRule="auto"/>
        <w:rPr>
          <w:sz w:val="20"/>
          <w:szCs w:val="20"/>
          <w:color w:val="auto"/>
        </w:rPr>
      </w:pPr>
      <w:r>
        <w:rPr>
          <w:rFonts w:ascii="Courier New" w:cs="Courier New" w:eastAsia="Courier New" w:hAnsi="Courier New"/>
          <w:sz w:val="16"/>
          <w:szCs w:val="16"/>
          <w:color w:val="auto"/>
        </w:rPr>
        <w:t>a Florida corporation</w:t>
      </w:r>
    </w:p>
    <w:p>
      <w:pPr>
        <w:ind w:left="2520"/>
        <w:spacing w:after="0" w:line="237" w:lineRule="auto"/>
        <w:rPr>
          <w:sz w:val="20"/>
          <w:szCs w:val="20"/>
          <w:color w:val="auto"/>
        </w:rPr>
      </w:pPr>
      <w:r>
        <w:rPr>
          <w:rFonts w:ascii="Courier New" w:cs="Courier New" w:eastAsia="Courier New" w:hAnsi="Courier New"/>
          <w:sz w:val="16"/>
          <w:szCs w:val="16"/>
          <w:color w:val="auto"/>
        </w:rPr>
        <w:t>INTERNATIONAL PETROLEUM CORPORATION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LOUISIANA, a Louisiana corporation</w:t>
      </w:r>
    </w:p>
    <w:p>
      <w:pPr>
        <w:spacing w:after="0" w:line="14"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INTERNATIONAL PETROLEUM CORPORATION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LAFAYETTE, a Louisiana corporation</w:t>
      </w:r>
    </w:p>
    <w:p>
      <w:pPr>
        <w:spacing w:after="0" w:line="2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INTERNATIONAL ENVIRONMENTAL SERVICES,</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INC., a Florida corporation</w:t>
      </w:r>
    </w:p>
    <w:p>
      <w:pPr>
        <w:ind w:left="2520"/>
        <w:spacing w:after="0" w:line="236" w:lineRule="auto"/>
        <w:rPr>
          <w:sz w:val="20"/>
          <w:szCs w:val="20"/>
          <w:color w:val="auto"/>
        </w:rPr>
      </w:pPr>
      <w:r>
        <w:rPr>
          <w:rFonts w:ascii="Courier New" w:cs="Courier New" w:eastAsia="Courier New" w:hAnsi="Courier New"/>
          <w:sz w:val="16"/>
          <w:szCs w:val="16"/>
          <w:color w:val="auto"/>
        </w:rPr>
        <w:t>RESOURCE RECOVERY OF AMERICA, INC.,</w:t>
      </w:r>
    </w:p>
    <w:p>
      <w:pPr>
        <w:ind w:left="2600"/>
        <w:spacing w:after="0" w:line="237" w:lineRule="auto"/>
        <w:rPr>
          <w:sz w:val="20"/>
          <w:szCs w:val="20"/>
          <w:color w:val="auto"/>
        </w:rPr>
      </w:pPr>
      <w:r>
        <w:rPr>
          <w:rFonts w:ascii="Courier New" w:cs="Courier New" w:eastAsia="Courier New" w:hAnsi="Courier New"/>
          <w:sz w:val="16"/>
          <w:szCs w:val="16"/>
          <w:color w:val="auto"/>
        </w:rPr>
        <w:t>a Florida corporation</w:t>
      </w:r>
    </w:p>
    <w:p>
      <w:pPr>
        <w:ind w:left="2520"/>
        <w:spacing w:after="0" w:line="237" w:lineRule="auto"/>
        <w:rPr>
          <w:sz w:val="20"/>
          <w:szCs w:val="20"/>
          <w:color w:val="auto"/>
        </w:rPr>
      </w:pPr>
      <w:r>
        <w:rPr>
          <w:rFonts w:ascii="Courier New" w:cs="Courier New" w:eastAsia="Courier New" w:hAnsi="Courier New"/>
          <w:sz w:val="16"/>
          <w:szCs w:val="16"/>
          <w:color w:val="auto"/>
        </w:rPr>
        <w:t>CHEROKEE GROUP, INC., a Florida</w:t>
      </w:r>
    </w:p>
    <w:p>
      <w:pPr>
        <w:ind w:left="2600"/>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719"/>
        <w:spacing w:after="0" w:line="237" w:lineRule="auto"/>
        <w:rPr>
          <w:sz w:val="20"/>
          <w:szCs w:val="20"/>
          <w:color w:val="auto"/>
        </w:rPr>
      </w:pPr>
      <w:r>
        <w:rPr>
          <w:rFonts w:ascii="Courier New" w:cs="Courier New" w:eastAsia="Courier New" w:hAnsi="Courier New"/>
          <w:sz w:val="16"/>
          <w:szCs w:val="16"/>
          <w:color w:val="auto"/>
        </w:rPr>
        <w:t>INTERNATIONAL PETROLEUM CORPORATION</w:t>
      </w:r>
    </w:p>
    <w:p>
      <w:pPr>
        <w:jc w:val="center"/>
        <w:ind w:right="719"/>
        <w:spacing w:after="0" w:line="237" w:lineRule="auto"/>
        <w:rPr>
          <w:sz w:val="20"/>
          <w:szCs w:val="20"/>
          <w:color w:val="auto"/>
        </w:rPr>
      </w:pPr>
      <w:r>
        <w:rPr>
          <w:rFonts w:ascii="Courier New" w:cs="Courier New" w:eastAsia="Courier New" w:hAnsi="Courier New"/>
          <w:sz w:val="16"/>
          <w:szCs w:val="16"/>
          <w:color w:val="auto"/>
        </w:rPr>
        <w:t>OF GEORGIA, a Georgia corporation</w:t>
      </w:r>
    </w:p>
    <w:p>
      <w:pPr>
        <w:ind w:left="2520"/>
        <w:spacing w:after="0" w:line="237" w:lineRule="auto"/>
        <w:rPr>
          <w:sz w:val="20"/>
          <w:szCs w:val="20"/>
          <w:color w:val="auto"/>
        </w:rPr>
      </w:pPr>
      <w:r>
        <w:rPr>
          <w:rFonts w:ascii="Courier New" w:cs="Courier New" w:eastAsia="Courier New" w:hAnsi="Courier New"/>
          <w:sz w:val="16"/>
          <w:szCs w:val="16"/>
          <w:color w:val="auto"/>
        </w:rPr>
        <w:t>INTERNATIONAL PETROLEUM CORPORATION</w:t>
      </w:r>
    </w:p>
    <w:p>
      <w:pPr>
        <w:ind w:left="2600"/>
        <w:spacing w:after="0" w:line="237" w:lineRule="auto"/>
        <w:rPr>
          <w:sz w:val="20"/>
          <w:szCs w:val="20"/>
          <w:color w:val="auto"/>
        </w:rPr>
      </w:pPr>
      <w:r>
        <w:rPr>
          <w:rFonts w:ascii="Courier New" w:cs="Courier New" w:eastAsia="Courier New" w:hAnsi="Courier New"/>
          <w:sz w:val="16"/>
          <w:szCs w:val="16"/>
          <w:color w:val="auto"/>
        </w:rPr>
        <w:t>OF MARYLAND, a Maryland corporation</w:t>
      </w:r>
    </w:p>
    <w:p>
      <w:pPr>
        <w:ind w:left="2520"/>
        <w:spacing w:after="0" w:line="236" w:lineRule="auto"/>
        <w:rPr>
          <w:sz w:val="20"/>
          <w:szCs w:val="20"/>
          <w:color w:val="auto"/>
        </w:rPr>
      </w:pPr>
      <w:r>
        <w:rPr>
          <w:rFonts w:ascii="Courier New" w:cs="Courier New" w:eastAsia="Courier New" w:hAnsi="Courier New"/>
          <w:sz w:val="16"/>
          <w:szCs w:val="16"/>
          <w:color w:val="auto"/>
        </w:rPr>
        <w:t>INTERNATIONAL PETROLEUM CORPORATION</w:t>
      </w:r>
    </w:p>
    <w:p>
      <w:pPr>
        <w:ind w:left="2600"/>
        <w:spacing w:after="0" w:line="237" w:lineRule="auto"/>
        <w:rPr>
          <w:sz w:val="20"/>
          <w:szCs w:val="20"/>
          <w:color w:val="auto"/>
        </w:rPr>
      </w:pPr>
      <w:r>
        <w:rPr>
          <w:rFonts w:ascii="Courier New" w:cs="Courier New" w:eastAsia="Courier New" w:hAnsi="Courier New"/>
          <w:sz w:val="16"/>
          <w:szCs w:val="16"/>
          <w:color w:val="auto"/>
        </w:rPr>
        <w:t>OF DELAWARE, a Delaware corporation</w:t>
      </w:r>
    </w:p>
    <w:p>
      <w:pPr>
        <w:ind w:left="2520"/>
        <w:spacing w:after="0" w:line="237" w:lineRule="auto"/>
        <w:rPr>
          <w:sz w:val="20"/>
          <w:szCs w:val="20"/>
          <w:color w:val="auto"/>
        </w:rPr>
      </w:pPr>
      <w:r>
        <w:rPr>
          <w:rFonts w:ascii="Courier New" w:cs="Courier New" w:eastAsia="Courier New" w:hAnsi="Courier New"/>
          <w:sz w:val="16"/>
          <w:szCs w:val="16"/>
          <w:color w:val="auto"/>
        </w:rPr>
        <w:t>ADVANCE AVIATION SERVICES, INC.,</w:t>
      </w:r>
    </w:p>
    <w:p>
      <w:pPr>
        <w:ind w:left="2600"/>
        <w:spacing w:after="0" w:line="237" w:lineRule="auto"/>
        <w:rPr>
          <w:sz w:val="20"/>
          <w:szCs w:val="20"/>
          <w:color w:val="auto"/>
        </w:rPr>
      </w:pPr>
      <w:r>
        <w:rPr>
          <w:rFonts w:ascii="Courier New" w:cs="Courier New" w:eastAsia="Courier New" w:hAnsi="Courier New"/>
          <w:sz w:val="16"/>
          <w:szCs w:val="16"/>
          <w:color w:val="auto"/>
        </w:rPr>
        <w:t>a Florida corporation</w:t>
      </w:r>
    </w:p>
    <w:p>
      <w:pPr>
        <w:ind w:left="2520"/>
        <w:spacing w:after="0" w:line="237" w:lineRule="auto"/>
        <w:rPr>
          <w:sz w:val="20"/>
          <w:szCs w:val="20"/>
          <w:color w:val="auto"/>
        </w:rPr>
      </w:pPr>
      <w:r>
        <w:rPr>
          <w:rFonts w:ascii="Courier New" w:cs="Courier New" w:eastAsia="Courier New" w:hAnsi="Courier New"/>
          <w:sz w:val="16"/>
          <w:szCs w:val="16"/>
          <w:color w:val="auto"/>
        </w:rPr>
        <w:t>WORLD FUEL SERVICES, INC., a Texas</w:t>
      </w:r>
    </w:p>
    <w:p>
      <w:pPr>
        <w:ind w:left="2600"/>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1379"/>
        <w:spacing w:after="0" w:line="237" w:lineRule="auto"/>
        <w:rPr>
          <w:sz w:val="20"/>
          <w:szCs w:val="20"/>
          <w:color w:val="auto"/>
        </w:rPr>
      </w:pPr>
      <w:r>
        <w:rPr>
          <w:rFonts w:ascii="Courier New" w:cs="Courier New" w:eastAsia="Courier New" w:hAnsi="Courier New"/>
          <w:sz w:val="16"/>
          <w:szCs w:val="16"/>
          <w:color w:val="auto"/>
        </w:rPr>
        <w:t>WORLD FUEL SERVICES, LTD., a</w:t>
      </w:r>
    </w:p>
    <w:p>
      <w:pPr>
        <w:jc w:val="center"/>
        <w:ind w:right="1379"/>
        <w:spacing w:after="0" w:line="237" w:lineRule="auto"/>
        <w:rPr>
          <w:sz w:val="20"/>
          <w:szCs w:val="20"/>
          <w:color w:val="auto"/>
        </w:rPr>
      </w:pPr>
      <w:r>
        <w:rPr>
          <w:rFonts w:ascii="Courier New" w:cs="Courier New" w:eastAsia="Courier New" w:hAnsi="Courier New"/>
          <w:sz w:val="16"/>
          <w:szCs w:val="16"/>
          <w:color w:val="auto"/>
        </w:rPr>
        <w:t>United Kingdom corporation</w:t>
      </w:r>
    </w:p>
    <w:p>
      <w:pPr>
        <w:ind w:left="2520"/>
        <w:spacing w:after="0" w:line="236" w:lineRule="auto"/>
        <w:rPr>
          <w:sz w:val="20"/>
          <w:szCs w:val="20"/>
          <w:color w:val="auto"/>
        </w:rPr>
      </w:pPr>
      <w:r>
        <w:rPr>
          <w:rFonts w:ascii="Courier New" w:cs="Courier New" w:eastAsia="Courier New" w:hAnsi="Courier New"/>
          <w:sz w:val="16"/>
          <w:szCs w:val="16"/>
          <w:color w:val="auto"/>
        </w:rPr>
        <w:t>RESOURCE RECOVERY MID SOUTH, INC.,</w:t>
      </w:r>
    </w:p>
    <w:p>
      <w:pPr>
        <w:ind w:left="2600"/>
        <w:spacing w:after="0" w:line="237" w:lineRule="auto"/>
        <w:rPr>
          <w:sz w:val="20"/>
          <w:szCs w:val="20"/>
          <w:color w:val="auto"/>
        </w:rPr>
      </w:pPr>
      <w:r>
        <w:rPr>
          <w:rFonts w:ascii="Courier New" w:cs="Courier New" w:eastAsia="Courier New" w:hAnsi="Courier New"/>
          <w:sz w:val="16"/>
          <w:szCs w:val="16"/>
          <w:color w:val="auto"/>
        </w:rPr>
        <w:t>a Virginia corporation</w:t>
      </w:r>
    </w:p>
    <w:p>
      <w:pPr>
        <w:ind w:left="2520"/>
        <w:spacing w:after="0" w:line="237" w:lineRule="auto"/>
        <w:rPr>
          <w:sz w:val="20"/>
          <w:szCs w:val="20"/>
          <w:color w:val="auto"/>
        </w:rPr>
      </w:pPr>
      <w:r>
        <w:rPr>
          <w:rFonts w:ascii="Courier New" w:cs="Courier New" w:eastAsia="Courier New" w:hAnsi="Courier New"/>
          <w:sz w:val="16"/>
          <w:szCs w:val="16"/>
          <w:color w:val="auto"/>
        </w:rPr>
        <w:t>RESOURCE RECOVERY ATLANTIC, INC.,</w:t>
      </w:r>
    </w:p>
    <w:p>
      <w:pPr>
        <w:ind w:left="2600"/>
        <w:spacing w:after="0" w:line="237" w:lineRule="auto"/>
        <w:rPr>
          <w:sz w:val="20"/>
          <w:szCs w:val="20"/>
          <w:color w:val="auto"/>
        </w:rPr>
      </w:pPr>
      <w:r>
        <w:rPr>
          <w:rFonts w:ascii="Courier New" w:cs="Courier New" w:eastAsia="Courier New" w:hAnsi="Courier New"/>
          <w:sz w:val="16"/>
          <w:szCs w:val="16"/>
          <w:color w:val="auto"/>
        </w:rPr>
        <w:t>a Delaware corporation</w:t>
      </w:r>
    </w:p>
    <w:p>
      <w:pPr>
        <w:ind w:left="2520"/>
        <w:spacing w:after="0" w:line="237" w:lineRule="auto"/>
        <w:rPr>
          <w:sz w:val="20"/>
          <w:szCs w:val="20"/>
          <w:color w:val="auto"/>
        </w:rPr>
      </w:pPr>
      <w:r>
        <w:rPr>
          <w:rFonts w:ascii="Courier New" w:cs="Courier New" w:eastAsia="Courier New" w:hAnsi="Courier New"/>
          <w:sz w:val="16"/>
          <w:szCs w:val="16"/>
          <w:color w:val="auto"/>
        </w:rPr>
        <w:t>TRANS-TEC SERVICES, INC., a Delaware</w:t>
      </w:r>
    </w:p>
    <w:p>
      <w:pPr>
        <w:ind w:left="2600"/>
        <w:spacing w:after="0" w:line="237" w:lineRule="auto"/>
        <w:rPr>
          <w:sz w:val="20"/>
          <w:szCs w:val="20"/>
          <w:color w:val="auto"/>
        </w:rPr>
      </w:pPr>
      <w:r>
        <w:rPr>
          <w:rFonts w:ascii="Courier New" w:cs="Courier New" w:eastAsia="Courier New" w:hAnsi="Courier New"/>
          <w:sz w:val="16"/>
          <w:szCs w:val="16"/>
          <w:color w:val="auto"/>
        </w:rPr>
        <w:t>corporation</w:t>
      </w:r>
    </w:p>
    <w:p>
      <w:pPr>
        <w:ind w:left="2520"/>
        <w:spacing w:after="0" w:line="237" w:lineRule="auto"/>
        <w:rPr>
          <w:sz w:val="20"/>
          <w:szCs w:val="20"/>
          <w:color w:val="auto"/>
        </w:rPr>
      </w:pPr>
      <w:r>
        <w:rPr>
          <w:rFonts w:ascii="Courier New" w:cs="Courier New" w:eastAsia="Courier New" w:hAnsi="Courier New"/>
          <w:sz w:val="16"/>
          <w:szCs w:val="16"/>
          <w:color w:val="auto"/>
        </w:rPr>
        <w:t>TRANS-TEC SERVICES (UK) LTD, a</w:t>
      </w:r>
    </w:p>
    <w:p>
      <w:pPr>
        <w:ind w:left="2600"/>
        <w:spacing w:after="0" w:line="237" w:lineRule="auto"/>
        <w:rPr>
          <w:sz w:val="20"/>
          <w:szCs w:val="20"/>
          <w:color w:val="auto"/>
        </w:rPr>
      </w:pPr>
      <w:r>
        <w:rPr>
          <w:rFonts w:ascii="Courier New" w:cs="Courier New" w:eastAsia="Courier New" w:hAnsi="Courier New"/>
          <w:sz w:val="16"/>
          <w:szCs w:val="16"/>
          <w:color w:val="auto"/>
        </w:rPr>
        <w:t>United Kingdom corporation</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TRANS-TEC SERVICES (SINGAPORE) LTD, a</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Singapore corporation</w:t>
      </w:r>
    </w:p>
    <w:p>
      <w:pPr>
        <w:spacing w:after="0" w:line="355" w:lineRule="exact"/>
        <w:rPr>
          <w:sz w:val="20"/>
          <w:szCs w:val="20"/>
          <w:color w:val="auto"/>
        </w:rPr>
      </w:pPr>
    </w:p>
    <w:p>
      <w:pPr>
        <w:ind w:left="2140"/>
        <w:spacing w:after="0"/>
        <w:tabs>
          <w:tab w:leader="none" w:pos="2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TOCCI</w:t>
      </w:r>
    </w:p>
    <w:p>
      <w:pPr>
        <w:ind w:left="2800"/>
        <w:spacing w:after="0" w:line="236" w:lineRule="auto"/>
        <w:rPr>
          <w:sz w:val="20"/>
          <w:szCs w:val="20"/>
          <w:color w:val="auto"/>
        </w:rPr>
      </w:pPr>
      <w:r>
        <w:rPr>
          <w:rFonts w:ascii="Courier New" w:cs="Courier New" w:eastAsia="Courier New" w:hAnsi="Courier New"/>
          <w:sz w:val="16"/>
          <w:szCs w:val="16"/>
          <w:color w:val="auto"/>
        </w:rPr>
        <w:t>-------------------</w:t>
      </w:r>
    </w:p>
    <w:p>
      <w:pPr>
        <w:ind w:left="2520"/>
        <w:spacing w:after="0" w:line="237" w:lineRule="auto"/>
        <w:rPr>
          <w:sz w:val="20"/>
          <w:szCs w:val="20"/>
          <w:color w:val="auto"/>
        </w:rPr>
      </w:pPr>
      <w:r>
        <w:rPr>
          <w:rFonts w:ascii="Courier New" w:cs="Courier New" w:eastAsia="Courier New" w:hAnsi="Courier New"/>
          <w:sz w:val="16"/>
          <w:szCs w:val="16"/>
          <w:color w:val="auto"/>
        </w:rPr>
        <w:t>Robert S. Tocci, Executive Vice</w:t>
      </w:r>
    </w:p>
    <w:p>
      <w:pPr>
        <w:ind w:left="2520"/>
        <w:spacing w:after="0" w:line="237" w:lineRule="auto"/>
        <w:rPr>
          <w:sz w:val="20"/>
          <w:szCs w:val="20"/>
          <w:color w:val="auto"/>
        </w:rPr>
      </w:pPr>
      <w:r>
        <w:rPr>
          <w:rFonts w:ascii="Courier New" w:cs="Courier New" w:eastAsia="Courier New" w:hAnsi="Courier New"/>
          <w:sz w:val="16"/>
          <w:szCs w:val="16"/>
          <w:color w:val="auto"/>
        </w:rPr>
        <w:t>President of International Recovery</w:t>
      </w:r>
    </w:p>
    <w:p>
      <w:pPr>
        <w:ind w:left="2520"/>
        <w:spacing w:after="0" w:line="237" w:lineRule="auto"/>
        <w:rPr>
          <w:sz w:val="20"/>
          <w:szCs w:val="20"/>
          <w:color w:val="auto"/>
        </w:rPr>
      </w:pPr>
      <w:r>
        <w:rPr>
          <w:rFonts w:ascii="Courier New" w:cs="Courier New" w:eastAsia="Courier New" w:hAnsi="Courier New"/>
          <w:sz w:val="16"/>
          <w:szCs w:val="16"/>
          <w:color w:val="auto"/>
        </w:rPr>
        <w:t>Corp., as attorney-in-fact</w:t>
      </w:r>
    </w:p>
    <w:p>
      <w:pPr>
        <w:spacing w:after="0" w:line="200" w:lineRule="exact"/>
        <w:rPr>
          <w:sz w:val="20"/>
          <w:szCs w:val="20"/>
          <w:color w:val="auto"/>
        </w:rPr>
      </w:pP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Signature Page 2 of 3</w:t>
      </w:r>
    </w:p>
    <w:p>
      <w:pPr>
        <w:sectPr>
          <w:pgSz w:w="11900" w:h="16838" w:orient="portrait"/>
          <w:cols w:equalWidth="0" w:num="1">
            <w:col w:w="9019"/>
          </w:cols>
          <w:pgMar w:left="1440" w:top="827" w:right="1440" w:bottom="1440" w:gutter="0" w:footer="0" w:header="0"/>
        </w:sectPr>
      </w:pPr>
    </w:p>
    <w:bookmarkStart w:id="109" w:name="page110"/>
    <w:bookmarkEnd w:id="109"/>
    <w:p>
      <w:pPr>
        <w:ind w:left="2140"/>
        <w:spacing w:after="0"/>
        <w:tabs>
          <w:tab w:leader="none" w:pos="2960" w:val="left"/>
        </w:tabs>
        <w:rPr>
          <w:sz w:val="20"/>
          <w:szCs w:val="20"/>
          <w:color w:val="auto"/>
        </w:rPr>
      </w:pPr>
      <w:r>
        <w:rPr>
          <w:rFonts w:ascii="Courier New" w:cs="Courier New" w:eastAsia="Courier New" w:hAnsi="Courier New"/>
          <w:sz w:val="16"/>
          <w:szCs w:val="16"/>
          <w:color w:val="auto"/>
        </w:rPr>
        <w:t>LENDER:</w:t>
      </w:r>
      <w:r>
        <w:rPr>
          <w:sz w:val="20"/>
          <w:szCs w:val="20"/>
          <w:color w:val="auto"/>
        </w:rPr>
        <w:tab/>
      </w:r>
      <w:r>
        <w:rPr>
          <w:rFonts w:ascii="Courier New" w:cs="Courier New" w:eastAsia="Courier New" w:hAnsi="Courier New"/>
          <w:sz w:val="14"/>
          <w:szCs w:val="14"/>
          <w:color w:val="auto"/>
        </w:rPr>
        <w:t>NATIONSBANK OF FLORIDA, NATIONAL</w:t>
      </w:r>
    </w:p>
    <w:p>
      <w:pPr>
        <w:ind w:left="2980"/>
        <w:spacing w:after="0" w:line="236" w:lineRule="auto"/>
        <w:rPr>
          <w:sz w:val="20"/>
          <w:szCs w:val="20"/>
          <w:color w:val="auto"/>
        </w:rPr>
      </w:pPr>
      <w:r>
        <w:rPr>
          <w:rFonts w:ascii="Courier New" w:cs="Courier New" w:eastAsia="Courier New" w:hAnsi="Courier New"/>
          <w:sz w:val="16"/>
          <w:szCs w:val="16"/>
          <w:color w:val="auto"/>
        </w:rPr>
        <w:t>ASSOCIATION</w:t>
      </w:r>
    </w:p>
    <w:p>
      <w:pPr>
        <w:spacing w:after="0" w:line="356" w:lineRule="exact"/>
        <w:rPr>
          <w:sz w:val="20"/>
          <w:szCs w:val="20"/>
          <w:color w:val="auto"/>
        </w:rPr>
      </w:pPr>
    </w:p>
    <w:p>
      <w:pPr>
        <w:ind w:left="2600"/>
        <w:spacing w:after="0"/>
        <w:tabs>
          <w:tab w:leader="none" w:pos="362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4"/>
          <w:szCs w:val="14"/>
          <w:color w:val="auto"/>
        </w:rPr>
        <w:t>STEPHEN HANAS</w:t>
      </w:r>
    </w:p>
    <w:p>
      <w:pPr>
        <w:ind w:left="2980"/>
        <w:spacing w:after="0" w:line="236" w:lineRule="auto"/>
        <w:rPr>
          <w:sz w:val="20"/>
          <w:szCs w:val="20"/>
          <w:color w:val="auto"/>
        </w:rPr>
      </w:pPr>
      <w:r>
        <w:rPr>
          <w:rFonts w:ascii="Courier New" w:cs="Courier New" w:eastAsia="Courier New" w:hAnsi="Courier New"/>
          <w:sz w:val="16"/>
          <w:szCs w:val="16"/>
          <w:color w:val="auto"/>
        </w:rPr>
        <w:t>--------------------</w:t>
      </w:r>
    </w:p>
    <w:p>
      <w:pPr>
        <w:ind w:left="2980"/>
        <w:spacing w:after="0"/>
        <w:tabs>
          <w:tab w:leader="none" w:pos="36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Stephen Hanas</w:t>
      </w:r>
    </w:p>
    <w:p>
      <w:pPr>
        <w:ind w:left="2980"/>
        <w:spacing w:after="0" w:line="237" w:lineRule="auto"/>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Signature Page 3 of 3</w:t>
      </w:r>
    </w:p>
    <w:p>
      <w:pPr>
        <w:sectPr>
          <w:pgSz w:w="11900" w:h="16838" w:orient="portrait"/>
          <w:cols w:equalWidth="0" w:num="1">
            <w:col w:w="9019"/>
          </w:cols>
          <w:pgMar w:left="1440" w:top="827" w:right="1440" w:bottom="1440" w:gutter="0" w:footer="0" w:header="0"/>
        </w:sectPr>
      </w:pPr>
    </w:p>
    <w:bookmarkStart w:id="110" w:name="page111"/>
    <w:bookmarkEnd w:id="110"/>
    <w:p>
      <w:pPr>
        <w:ind w:left="2785"/>
        <w:spacing w:after="0"/>
        <w:rPr>
          <w:sz w:val="20"/>
          <w:szCs w:val="20"/>
          <w:color w:val="auto"/>
        </w:rPr>
      </w:pPr>
      <w:r>
        <w:rPr>
          <w:rFonts w:ascii="Courier New" w:cs="Courier New" w:eastAsia="Courier New" w:hAnsi="Courier New"/>
          <w:sz w:val="16"/>
          <w:szCs w:val="16"/>
          <w:color w:val="auto"/>
        </w:rPr>
        <w:t>PROMISSORY NOTE</w:t>
      </w:r>
    </w:p>
    <w:p>
      <w:pPr>
        <w:spacing w:after="0" w:line="183" w:lineRule="exact"/>
        <w:rPr>
          <w:sz w:val="20"/>
          <w:szCs w:val="20"/>
          <w:color w:val="auto"/>
        </w:rPr>
      </w:pPr>
    </w:p>
    <w:p>
      <w:pPr>
        <w:ind w:left="5" w:right="3339"/>
        <w:spacing w:after="0" w:line="275" w:lineRule="auto"/>
        <w:rPr>
          <w:sz w:val="20"/>
          <w:szCs w:val="20"/>
          <w:color w:val="auto"/>
        </w:rPr>
      </w:pPr>
      <w:r>
        <w:rPr>
          <w:rFonts w:ascii="Courier New" w:cs="Courier New" w:eastAsia="Courier New" w:hAnsi="Courier New"/>
          <w:sz w:val="14"/>
          <w:szCs w:val="14"/>
          <w:color w:val="auto"/>
        </w:rPr>
        <w:t>THIS NOTE HAS NOT BEEN REGISTERED UNDER THE SECURITIES ACT OF 1933 AS AMENDED (THE "1933 ACT"), OR ANY STATE SECURITIES LAWS. THIS NOTE MAY NOT BE NEGOTIATED, SOLD, ASSIGNED OR TRANSFERRED UNLESS SUCH TRANSFER IS REGISTERED UNDER THE 1933 ACT AND APPLICABLE STATE SECURITIES LAWS, OR UNLESS SUCH TRANSFER, IN THE REASONABLE OPINION OF COUNSEL TO THE DEBTOR, IS EXEMPT FROM SUCH REGISTRATION OR IS NOT REQUIRED TO BE SO REGISTERED.</w:t>
      </w:r>
    </w:p>
    <w:p>
      <w:pPr>
        <w:spacing w:after="0" w:line="156" w:lineRule="exact"/>
        <w:rPr>
          <w:sz w:val="20"/>
          <w:szCs w:val="20"/>
          <w:color w:val="auto"/>
        </w:rPr>
      </w:pPr>
    </w:p>
    <w:p>
      <w:pPr>
        <w:ind w:left="5"/>
        <w:spacing w:after="0"/>
        <w:tabs>
          <w:tab w:leader="none" w:pos="2764" w:val="left"/>
        </w:tabs>
        <w:rPr>
          <w:sz w:val="20"/>
          <w:szCs w:val="20"/>
          <w:color w:val="auto"/>
        </w:rPr>
      </w:pPr>
      <w:r>
        <w:rPr>
          <w:rFonts w:ascii="Courier New" w:cs="Courier New" w:eastAsia="Courier New" w:hAnsi="Courier New"/>
          <w:sz w:val="16"/>
          <w:szCs w:val="16"/>
          <w:color w:val="auto"/>
        </w:rPr>
        <w:t>$1,605,000</w:t>
      </w:r>
      <w:r>
        <w:rPr>
          <w:sz w:val="20"/>
          <w:szCs w:val="20"/>
          <w:color w:val="auto"/>
        </w:rPr>
        <w:tab/>
      </w:r>
      <w:r>
        <w:rPr>
          <w:rFonts w:ascii="Courier New" w:cs="Courier New" w:eastAsia="Courier New" w:hAnsi="Courier New"/>
          <w:sz w:val="14"/>
          <w:szCs w:val="14"/>
          <w:color w:val="auto"/>
        </w:rPr>
        <w:t>January 3, 1995</w:t>
      </w:r>
    </w:p>
    <w:p>
      <w:pPr>
        <w:spacing w:after="0" w:line="183"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INTERNATIONAL RECOVERY CORP., a Florida corporation (hereinafter referred to as "Debtor"), for value received, hereby promises to pay to the order of Theofilos A. Vatis (hereinafter referred to as "Payee"), the principal sum of $1,605,000 which shall be payable in three (3) equal, annual installments of principal and interest, commencing on the first anniversary of the date of this Note, and continuing on the same day each year thereafter until this Note is paid in full. The principal amount outstanding shall bear interest (computed on the basis of a 360-day year of twelve 30-day months) at the annual rate of nine percent (9%). Debtor may prepay this Note, in whole or in part, at any time and from time to time without fee, premium or penalty.</w:t>
      </w:r>
    </w:p>
    <w:p>
      <w:pPr>
        <w:spacing w:after="0" w:line="180"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Debtor shall be in default under this Note:</w:t>
      </w:r>
    </w:p>
    <w:p>
      <w:pPr>
        <w:spacing w:after="0" w:line="183" w:lineRule="exact"/>
        <w:rPr>
          <w:sz w:val="20"/>
          <w:szCs w:val="20"/>
          <w:color w:val="auto"/>
        </w:rPr>
      </w:pPr>
    </w:p>
    <w:p>
      <w:pPr>
        <w:ind w:left="5" w:right="2879" w:firstLine="461"/>
        <w:spacing w:after="0" w:line="234" w:lineRule="auto"/>
        <w:tabs>
          <w:tab w:leader="none" w:pos="842"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Debtor shall fail to make any payment of principal and interest due hereunder within ten (10) days after the date due;</w:t>
      </w:r>
    </w:p>
    <w:p>
      <w:pPr>
        <w:spacing w:after="0" w:line="183" w:lineRule="exact"/>
        <w:rPr>
          <w:rFonts w:ascii="Courier New" w:cs="Courier New" w:eastAsia="Courier New" w:hAnsi="Courier New"/>
          <w:sz w:val="16"/>
          <w:szCs w:val="16"/>
          <w:color w:val="auto"/>
        </w:rPr>
      </w:pPr>
    </w:p>
    <w:p>
      <w:pPr>
        <w:ind w:left="5" w:right="2959" w:firstLine="461"/>
        <w:spacing w:after="0" w:line="270" w:lineRule="auto"/>
        <w:tabs>
          <w:tab w:leader="none" w:pos="842"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Debtor shall: (i) voluntarily commence any proceedings or file any petitions seeking relief under Title 11 of the United States Code or any other federal, state or foreign bankruptcy, insolvency or similar law; (ii) consent to the institution of, or fail to controvert in a timely manner,</w:t>
      </w:r>
    </w:p>
    <w:p>
      <w:pPr>
        <w:spacing w:after="0" w:line="1" w:lineRule="exact"/>
        <w:rPr>
          <w:rFonts w:ascii="Courier New" w:cs="Courier New" w:eastAsia="Courier New" w:hAnsi="Courier New"/>
          <w:sz w:val="14"/>
          <w:szCs w:val="14"/>
          <w:color w:val="auto"/>
        </w:rPr>
      </w:pPr>
    </w:p>
    <w:p>
      <w:pPr>
        <w:jc w:val="both"/>
        <w:ind w:left="5" w:right="33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proceeding or the filing of any such petition; (iii) apply for or consent to the appointment of a receiver, trustee, custodian, sequestrator or similar official for Debtor or for a substantial part of its property;</w:t>
      </w:r>
    </w:p>
    <w:p>
      <w:pPr>
        <w:spacing w:after="0" w:line="1" w:lineRule="exact"/>
        <w:rPr>
          <w:rFonts w:ascii="Courier New" w:cs="Courier New" w:eastAsia="Courier New" w:hAnsi="Courier New"/>
          <w:sz w:val="14"/>
          <w:szCs w:val="14"/>
          <w:color w:val="auto"/>
        </w:rPr>
      </w:pPr>
    </w:p>
    <w:p>
      <w:pPr>
        <w:ind w:left="5" w:right="3339" w:hanging="5"/>
        <w:spacing w:after="0" w:line="235" w:lineRule="auto"/>
        <w:tabs>
          <w:tab w:leader="none" w:pos="47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 answer admitting the material allegations of a petition filed against it in any such proceedings; or (v) make a general assignment for the benefit of creditors; or</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involuntary proceeding shall be commenced or an</w:t>
      </w:r>
    </w:p>
    <w:p>
      <w:pPr>
        <w:spacing w:after="0" w:line="4"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involuntary petition shall be filed in a court of competent jurisdiction seeking relief in respect to Debtor, or a substantial part of its property, under Title 11 of the United States Code or any other federal, state, or foreign bankruptcy, insolvency or similar law, and such proceeding or petition shall continue undismissed for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 the event Debtor shall be in default under this Note, then, at the option of Payee, the entire unpaid principal balance of this Note, together with accrued interest thereon, may be declared, and thereupon immediately shall become, due and payable. While in default, such unpaid principal and interest shall bear interest at the rate of twelve percent (12%) per year. In the event of default, Payee shall be entitled to recover all the costs of collection of this Note, including reasonable attorney's fees and court costs.</w:t>
      </w:r>
    </w:p>
    <w:p>
      <w:pPr>
        <w:spacing w:after="0" w:line="184" w:lineRule="exact"/>
        <w:rPr>
          <w:sz w:val="20"/>
          <w:szCs w:val="20"/>
          <w:color w:val="auto"/>
        </w:rPr>
      </w:pPr>
    </w:p>
    <w:p>
      <w:pPr>
        <w:ind w:left="5" w:right="3239" w:firstLine="465"/>
        <w:spacing w:after="0" w:line="273" w:lineRule="auto"/>
        <w:rPr>
          <w:sz w:val="20"/>
          <w:szCs w:val="20"/>
          <w:color w:val="auto"/>
        </w:rPr>
      </w:pPr>
      <w:r>
        <w:rPr>
          <w:rFonts w:ascii="Courier New" w:cs="Courier New" w:eastAsia="Courier New" w:hAnsi="Courier New"/>
          <w:sz w:val="14"/>
          <w:szCs w:val="14"/>
          <w:color w:val="auto"/>
        </w:rPr>
        <w:t>This Note has been issued pursuant to an Acquisition Agreement, dated December 9, 1994, among Debtor, Payee and others (the "Acquisition Agreement"), which agreement is incorporated herein by this reference. Unless otherwise defined in this Note, capitalized terms used herein will have the meanings assigned to them in the Acquisition Agreement. Notwithstanding anything to the contrary contained in this Note, Debtor shall have the right to offset, against any and all amounts payable under this Note, any Indemnified Losses incurred or sustained by an Indemnitee in accordance with the indemnification and contribution provisions set forth in Section 9 of the Acquisition Agreement, except as provided in Section</w:t>
      </w:r>
    </w:p>
    <w:p>
      <w:pPr>
        <w:spacing w:after="0" w:line="165"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9.7.1 therein with respect to Receivable Claims. To the extent of any such offset, the principal amount outstanding under this Note shall be reduced, and interest as stated herein shall accrue from the date of such offset only on the principal balance as so reduced.</w:t>
      </w:r>
    </w:p>
    <w:p>
      <w:pPr>
        <w:spacing w:after="0" w:line="185"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Debtor waives presentment, protest, demand, and diligence in collection, and notice of protest, presentment, demand, dishonor and non-payment in connection with this Note. This Note is to be construed in accordance with the laws of the State of Florida.</w:t>
      </w:r>
    </w:p>
    <w:p>
      <w:pPr>
        <w:spacing w:after="0" w:line="185"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THE DEBTOR HEREBY, AND THE PAYEE BY ITS ACCEPTANCE OF THIS NOTE, KNOWINGLY, VOLUNTARILY AND INTENTIONALLY WAIVE THE RIGHT ANY OF THEM MAY HAVE TO TRIAL BY JURY WITH RESPECT TO ANY LITIGATION BASED HEREON, OR ARISING OUT OF, UNDER OR IN CONNECTION WITH THIS NOTE, ANY GUARANTEE SIGNED IN CONNECTION HEREWITH, OR ANY COURSE OF CONDUCT, COURSE OF DEALING, STATEMENTS (VERBAL OR WRITTEN) OR ACTION OF ANY PARTY HERETO. THIS PROVISION IS A MATERIAL INDUCEMENT FOR THE PAYEE MAKING THE LOAN EVIDENCED BY THIS NOTE.</w:t>
      </w:r>
    </w:p>
    <w:p>
      <w:pPr>
        <w:spacing w:after="0" w:line="184"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IN WITNESS WHEREOF, Debtor has caused this Note to be executed in Wilmington, Delaware, on its behalf by its duly authorized officer on the day and year first above written.</w:t>
      </w:r>
    </w:p>
    <w:p>
      <w:pPr>
        <w:sectPr>
          <w:pgSz w:w="11900" w:h="16838" w:orient="portrait"/>
          <w:cols w:equalWidth="0" w:num="1">
            <w:col w:w="10224"/>
          </w:cols>
          <w:pgMar w:left="235" w:top="135" w:right="1440" w:bottom="0" w:gutter="0" w:footer="0" w:header="0"/>
        </w:sectPr>
      </w:pPr>
    </w:p>
    <w:bookmarkStart w:id="111" w:name="page112"/>
    <w:bookmarkEnd w:id="111"/>
    <w:p>
      <w:pPr>
        <w:ind w:left="2520"/>
        <w:spacing w:after="0"/>
        <w:rPr>
          <w:sz w:val="20"/>
          <w:szCs w:val="20"/>
          <w:color w:val="auto"/>
        </w:rPr>
      </w:pPr>
      <w:r>
        <w:rPr>
          <w:rFonts w:ascii="Courier New" w:cs="Courier New" w:eastAsia="Courier New" w:hAnsi="Courier New"/>
          <w:sz w:val="16"/>
          <w:szCs w:val="16"/>
          <w:color w:val="auto"/>
        </w:rPr>
        <w:t>INTERNATIONAL RECOVERY CORP.,</w:t>
      </w:r>
    </w:p>
    <w:p>
      <w:pPr>
        <w:ind w:left="2520"/>
        <w:spacing w:after="0" w:line="236" w:lineRule="auto"/>
        <w:rPr>
          <w:sz w:val="20"/>
          <w:szCs w:val="20"/>
          <w:color w:val="auto"/>
        </w:rPr>
      </w:pPr>
      <w:r>
        <w:rPr>
          <w:rFonts w:ascii="Courier New" w:cs="Courier New" w:eastAsia="Courier New" w:hAnsi="Courier New"/>
          <w:sz w:val="16"/>
          <w:szCs w:val="16"/>
          <w:color w:val="auto"/>
        </w:rPr>
        <w:t>a Florida corporation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By: /s/ Jerrold Blair</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Jerrold Blair, President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35" w:right="1440" w:bottom="1440" w:gutter="0" w:footer="0" w:header="0"/>
        </w:sectPr>
      </w:pPr>
    </w:p>
    <w:bookmarkStart w:id="112" w:name="page113"/>
    <w:bookmarkEnd w:id="112"/>
    <w:p>
      <w:pPr>
        <w:ind w:left="2785"/>
        <w:spacing w:after="0"/>
        <w:rPr>
          <w:sz w:val="20"/>
          <w:szCs w:val="20"/>
          <w:color w:val="auto"/>
        </w:rPr>
      </w:pPr>
      <w:r>
        <w:rPr>
          <w:rFonts w:ascii="Courier New" w:cs="Courier New" w:eastAsia="Courier New" w:hAnsi="Courier New"/>
          <w:sz w:val="16"/>
          <w:szCs w:val="16"/>
          <w:color w:val="auto"/>
        </w:rPr>
        <w:t>PROMISSORY NOTE</w:t>
      </w:r>
    </w:p>
    <w:p>
      <w:pPr>
        <w:spacing w:after="0" w:line="183" w:lineRule="exact"/>
        <w:rPr>
          <w:sz w:val="20"/>
          <w:szCs w:val="20"/>
          <w:color w:val="auto"/>
        </w:rPr>
      </w:pPr>
    </w:p>
    <w:p>
      <w:pPr>
        <w:ind w:left="5" w:right="3339"/>
        <w:spacing w:after="0" w:line="275" w:lineRule="auto"/>
        <w:rPr>
          <w:sz w:val="20"/>
          <w:szCs w:val="20"/>
          <w:color w:val="auto"/>
        </w:rPr>
      </w:pPr>
      <w:r>
        <w:rPr>
          <w:rFonts w:ascii="Courier New" w:cs="Courier New" w:eastAsia="Courier New" w:hAnsi="Courier New"/>
          <w:sz w:val="14"/>
          <w:szCs w:val="14"/>
          <w:color w:val="auto"/>
        </w:rPr>
        <w:t>THIS NOTE HAS NOT BEEN REGISTERED UNDER THE SECURITIES ACT OF 1933 AS AMENDED (THE "1933 ACT"), OR ANY STATE SECURITIES LAWS. THIS NOTE MAY NOT BE NEGOTIATED, SOLD, ASSIGNED OR TRANSFERRED UNLESS SUCH TRANSFER IS REGISTERED UNDER THE 1933 ACT AND APPLICABLE STATE SECURITIES LAWS, OR UNLESS SUCH TRANSFER, IN THE REASONABLE OPINION OF COUNSEL TO THE DEBTOR, IS EXEMPT FROM SUCH REGISTRATION OR IS NOT REQUIRED TO BE SO REGISTERED.</w:t>
      </w:r>
    </w:p>
    <w:p>
      <w:pPr>
        <w:spacing w:after="0" w:line="156" w:lineRule="exact"/>
        <w:rPr>
          <w:sz w:val="20"/>
          <w:szCs w:val="20"/>
          <w:color w:val="auto"/>
        </w:rPr>
      </w:pPr>
    </w:p>
    <w:p>
      <w:pPr>
        <w:ind w:left="5"/>
        <w:spacing w:after="0"/>
        <w:tabs>
          <w:tab w:leader="none" w:pos="2964" w:val="left"/>
        </w:tabs>
        <w:rPr>
          <w:sz w:val="20"/>
          <w:szCs w:val="20"/>
          <w:color w:val="auto"/>
        </w:rPr>
      </w:pPr>
      <w:r>
        <w:rPr>
          <w:rFonts w:ascii="Courier New" w:cs="Courier New" w:eastAsia="Courier New" w:hAnsi="Courier New"/>
          <w:sz w:val="16"/>
          <w:szCs w:val="16"/>
          <w:color w:val="auto"/>
        </w:rPr>
        <w:t>$1,425,000</w:t>
      </w:r>
      <w:r>
        <w:rPr>
          <w:sz w:val="20"/>
          <w:szCs w:val="20"/>
          <w:color w:val="auto"/>
        </w:rPr>
        <w:tab/>
      </w:r>
      <w:r>
        <w:rPr>
          <w:rFonts w:ascii="Courier New" w:cs="Courier New" w:eastAsia="Courier New" w:hAnsi="Courier New"/>
          <w:sz w:val="14"/>
          <w:szCs w:val="14"/>
          <w:color w:val="auto"/>
        </w:rPr>
        <w:t>January 3, 1995</w:t>
      </w:r>
    </w:p>
    <w:p>
      <w:pPr>
        <w:spacing w:after="0" w:line="183"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INTERNATIONAL RECOVERY CORP., a Florida corporation (hereinafter referred to as "Debtor"), for value received, hereby promises to pay to the order of Michael J. Kasbar hereinafter referred to as "Payee"), the principal sum of $1,425,000 which shall be payable in three (3) equal, annual installments of principal and interest, commencing on the first anniversary of the date of this Note, and continuing on the same day each year thereafter until this Note is paid in full. The principal amount outstanding shall bear interest (computed on the basis of a 360-day year of twelve 30-day months) at the annual rate of nine percent (9%). Debtor may prepay this Note, in whole or in part, at any time and from time to time without fee, premium or penalty.</w:t>
      </w:r>
    </w:p>
    <w:p>
      <w:pPr>
        <w:spacing w:after="0" w:line="180"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Debtor shall be in default under this Note:</w:t>
      </w:r>
    </w:p>
    <w:p>
      <w:pPr>
        <w:spacing w:after="0" w:line="183" w:lineRule="exact"/>
        <w:rPr>
          <w:sz w:val="20"/>
          <w:szCs w:val="20"/>
          <w:color w:val="auto"/>
        </w:rPr>
      </w:pPr>
    </w:p>
    <w:p>
      <w:pPr>
        <w:ind w:left="5" w:right="2879" w:firstLine="461"/>
        <w:spacing w:after="0" w:line="234" w:lineRule="auto"/>
        <w:tabs>
          <w:tab w:leader="none" w:pos="842"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Debtor shall fail to make any payment of principal and interest due hereunder within ten (10) days after the date due;</w:t>
      </w:r>
    </w:p>
    <w:p>
      <w:pPr>
        <w:spacing w:after="0" w:line="183" w:lineRule="exact"/>
        <w:rPr>
          <w:rFonts w:ascii="Courier New" w:cs="Courier New" w:eastAsia="Courier New" w:hAnsi="Courier New"/>
          <w:sz w:val="16"/>
          <w:szCs w:val="16"/>
          <w:color w:val="auto"/>
        </w:rPr>
      </w:pPr>
    </w:p>
    <w:p>
      <w:pPr>
        <w:ind w:left="5" w:right="2959" w:firstLine="461"/>
        <w:spacing w:after="0" w:line="270" w:lineRule="auto"/>
        <w:tabs>
          <w:tab w:leader="none" w:pos="842"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Debtor shall: (i) voluntarily commence any proceedings or file any petitions seeking relief under Title 11 of the United States Code or any other federal, state or foreign bankruptcy, insolvency or similar law; (ii) consent to the institution of, or fail to controvert in a timely manner,</w:t>
      </w:r>
    </w:p>
    <w:p>
      <w:pPr>
        <w:spacing w:after="0" w:line="1" w:lineRule="exact"/>
        <w:rPr>
          <w:rFonts w:ascii="Courier New" w:cs="Courier New" w:eastAsia="Courier New" w:hAnsi="Courier New"/>
          <w:sz w:val="14"/>
          <w:szCs w:val="14"/>
          <w:color w:val="auto"/>
        </w:rPr>
      </w:pPr>
    </w:p>
    <w:p>
      <w:pPr>
        <w:jc w:val="both"/>
        <w:ind w:left="5" w:right="33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proceeding or the filing of any such petition; (iii) apply for or consent to the appointment of a receiver, trustee, custodian, sequestrator or similar official for Debtor or for a substantial part of its property;</w:t>
      </w:r>
    </w:p>
    <w:p>
      <w:pPr>
        <w:spacing w:after="0" w:line="1" w:lineRule="exact"/>
        <w:rPr>
          <w:rFonts w:ascii="Courier New" w:cs="Courier New" w:eastAsia="Courier New" w:hAnsi="Courier New"/>
          <w:sz w:val="14"/>
          <w:szCs w:val="14"/>
          <w:color w:val="auto"/>
        </w:rPr>
      </w:pPr>
    </w:p>
    <w:p>
      <w:pPr>
        <w:ind w:left="5" w:right="3339" w:hanging="5"/>
        <w:spacing w:after="0" w:line="235" w:lineRule="auto"/>
        <w:tabs>
          <w:tab w:leader="none" w:pos="47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 answer admitting the material allegations of a petition filed against it in any such proceedings; or (v) make a general assignment for the benefit of creditors; or</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involuntary proceeding shall be commenced or an</w:t>
      </w:r>
    </w:p>
    <w:p>
      <w:pPr>
        <w:spacing w:after="0" w:line="4"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involuntary petition shall be filed in a court of competent jurisdiction seeking relief in respect to Debtor, or a substantial part of its property, under Title 11 of the United States Code or any other federal, state, or foreign bankruptcy, insolvency or similar law, and such proceeding or petition shall continue undismissed for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 the event Debtor shall be in default under this Note, then, at the option of Payee, the entire unpaid principal balance of this Note, together with accrued interest thereon, may be declared, and thereupon immediately shall become, due and payable. While in default, such unpaid principal and interest shall bear interest at the rate of twelve percent (12%) per year. In the event of default, Payee shall be entitled to recover all the costs of collection of this Note, including reasonable attorney's fees and court costs.</w:t>
      </w:r>
    </w:p>
    <w:p>
      <w:pPr>
        <w:spacing w:after="0" w:line="184"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This Note has been issued pursuant to an Acquisition Agreement, dated December 9, 1994, among Debtor, Payee and others (the "Acquisition Agreement"), which agreement is incorporated herein by this reference. Unless otherwise defined in this Note, capitalized terms used herein will have the meanings assigned to them in the Acquisition Agreement. Notwithstanding anything to the contrary contained in this Note, Debtor shall have the right to offset, against any and all amounts payable under this Note, any Indemnified Losses incurred or sustained by an Indemnitee in accordance with the indemnification and contribution provisions set forth in Section 9 of the Acquisition Agreement. To the extent of any such offset, the principal amount outstanding under this Note shall be reduced, and interest as stated herein shall accrue from the date of such offset only on the principal balance as so reduced.</w:t>
      </w:r>
    </w:p>
    <w:p>
      <w:pPr>
        <w:spacing w:after="0" w:line="188"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Debtor waives presentment, protest, demand, and diligence in collection, and notice of protest, presentment, demand, dishonor and non-payment in connection with this Note. This Note is to be construed in accordance with the laws of the State of Florida.</w:t>
      </w:r>
    </w:p>
    <w:p>
      <w:pPr>
        <w:spacing w:after="0" w:line="185"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THE DEBTOR HEREBY, AND THE PAYEE BY ITS ACCEPTANCE OF THIS NOTE, KNOWINGLY, VOLUNTARILY AND INTENTIONALLY WAIVE THE RIGHT ANY OF THEM MAY HAVE TO TRIAL BY JURY WITH RESPECT TO ANY LITIGATION BASED HEREON, OR ARISING OUT OF, UNDER OR IN CONNECTION WITH THIS NOTE, ANY GUARANTEE SIGNED IN CONNECTION HEREWITH, OR ANY COURSE OF CONDUCT, COURSE OF DEALING, STATEMENTS (VERBAL OR WRITTEN) OR ACTION OF ANY PARTY HERETO. THIS PROVISION IS A MATERIAL INDUCEMENT FOR THE PAYEE MAKING THE LOAN EVIDENCED BY THIS NOTE.</w:t>
      </w:r>
    </w:p>
    <w:p>
      <w:pPr>
        <w:spacing w:after="0" w:line="184"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IN WITNESS WHEREOF, Debtor has caused this Note to be executed in Wilmington, Delaware, on its behalf by its duly authorized officer on the day and year first above written.</w:t>
      </w:r>
    </w:p>
    <w:p>
      <w:pPr>
        <w:spacing w:after="0" w:line="177"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INTERNATIONAL RECOVERY CORP.,</w:t>
      </w:r>
    </w:p>
    <w:p>
      <w:pPr>
        <w:sectPr>
          <w:pgSz w:w="11900" w:h="16838" w:orient="portrait"/>
          <w:cols w:equalWidth="0" w:num="1">
            <w:col w:w="10224"/>
          </w:cols>
          <w:pgMar w:left="235" w:top="136" w:right="1440" w:bottom="0" w:gutter="0" w:footer="0" w:header="0"/>
        </w:sectPr>
      </w:pPr>
    </w:p>
    <w:bookmarkStart w:id="113" w:name="page114"/>
    <w:bookmarkEnd w:id="113"/>
    <w:p>
      <w:pPr>
        <w:ind w:left="2520"/>
        <w:spacing w:after="0"/>
        <w:rPr>
          <w:sz w:val="20"/>
          <w:szCs w:val="20"/>
          <w:color w:val="auto"/>
        </w:rPr>
      </w:pPr>
      <w:r>
        <w:rPr>
          <w:rFonts w:ascii="Courier New" w:cs="Courier New" w:eastAsia="Courier New" w:hAnsi="Courier New"/>
          <w:sz w:val="16"/>
          <w:szCs w:val="16"/>
          <w:color w:val="auto"/>
        </w:rPr>
        <w:t>a Florida corporation</w:t>
      </w:r>
    </w:p>
    <w:p>
      <w:pPr>
        <w:spacing w:after="0" w:line="177" w:lineRule="exact"/>
        <w:rPr>
          <w:sz w:val="20"/>
          <w:szCs w:val="20"/>
          <w:color w:val="auto"/>
        </w:rPr>
      </w:pPr>
    </w:p>
    <w:p>
      <w:pPr>
        <w:ind w:left="2520"/>
        <w:spacing w:after="0"/>
        <w:tabs>
          <w:tab w:leader="none" w:pos="29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Jerrold Blair</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Jerrold Blair, President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35" w:right="1440" w:bottom="1440" w:gutter="0" w:footer="0" w:header="0"/>
        </w:sectPr>
      </w:pPr>
    </w:p>
    <w:bookmarkStart w:id="114" w:name="page115"/>
    <w:bookmarkEnd w:id="114"/>
    <w:p>
      <w:pPr>
        <w:ind w:left="2785"/>
        <w:spacing w:after="0"/>
        <w:rPr>
          <w:sz w:val="20"/>
          <w:szCs w:val="20"/>
          <w:color w:val="auto"/>
        </w:rPr>
      </w:pPr>
      <w:r>
        <w:rPr>
          <w:rFonts w:ascii="Courier New" w:cs="Courier New" w:eastAsia="Courier New" w:hAnsi="Courier New"/>
          <w:sz w:val="16"/>
          <w:szCs w:val="16"/>
          <w:color w:val="auto"/>
        </w:rPr>
        <w:t>PROMISSORY NOTE</w:t>
      </w:r>
    </w:p>
    <w:p>
      <w:pPr>
        <w:spacing w:after="0" w:line="183" w:lineRule="exact"/>
        <w:rPr>
          <w:sz w:val="20"/>
          <w:szCs w:val="20"/>
          <w:color w:val="auto"/>
        </w:rPr>
      </w:pPr>
    </w:p>
    <w:p>
      <w:pPr>
        <w:ind w:left="5" w:right="3339"/>
        <w:spacing w:after="0" w:line="275" w:lineRule="auto"/>
        <w:rPr>
          <w:sz w:val="20"/>
          <w:szCs w:val="20"/>
          <w:color w:val="auto"/>
        </w:rPr>
      </w:pPr>
      <w:r>
        <w:rPr>
          <w:rFonts w:ascii="Courier New" w:cs="Courier New" w:eastAsia="Courier New" w:hAnsi="Courier New"/>
          <w:sz w:val="14"/>
          <w:szCs w:val="14"/>
          <w:color w:val="auto"/>
        </w:rPr>
        <w:t>THIS NOTE HAS NOT BEEN REGISTERED UNDER THE SECURITIES ACT OF 1933 AS AMENDED (THE "1933 ACT"), OR ANY STATE SECURITIES LAWS. THIS NOTE MAY NOT BE NEGOTIATED, SOLD, ASSIGNED OR TRANSFERRED UNLESS SUCH TRANSFER IS REGISTERED UNDER THE 1933 ACT AND APPLICABLE STATE SECURITIES LAWS, OR UNLESS SUCH TRANSFER, IN THE REASONABLE OPINION OF COUNSEL TO THE DEBTOR, IS EXEMPT FROM SUCH REGISTRATION OR IS NOT REQUIRED TO BE SO REGISTERED.</w:t>
      </w:r>
    </w:p>
    <w:p>
      <w:pPr>
        <w:spacing w:after="0" w:line="156" w:lineRule="exact"/>
        <w:rPr>
          <w:sz w:val="20"/>
          <w:szCs w:val="20"/>
          <w:color w:val="auto"/>
        </w:rPr>
      </w:pPr>
    </w:p>
    <w:p>
      <w:pPr>
        <w:ind w:left="5"/>
        <w:spacing w:after="0"/>
        <w:tabs>
          <w:tab w:leader="none" w:pos="2764" w:val="left"/>
        </w:tabs>
        <w:rPr>
          <w:sz w:val="20"/>
          <w:szCs w:val="20"/>
          <w:color w:val="auto"/>
        </w:rPr>
      </w:pPr>
      <w:r>
        <w:rPr>
          <w:rFonts w:ascii="Courier New" w:cs="Courier New" w:eastAsia="Courier New" w:hAnsi="Courier New"/>
          <w:sz w:val="16"/>
          <w:szCs w:val="16"/>
          <w:color w:val="auto"/>
        </w:rPr>
        <w:t>$1,365,000</w:t>
      </w:r>
      <w:r>
        <w:rPr>
          <w:sz w:val="20"/>
          <w:szCs w:val="20"/>
          <w:color w:val="auto"/>
        </w:rPr>
        <w:tab/>
      </w:r>
      <w:r>
        <w:rPr>
          <w:rFonts w:ascii="Courier New" w:cs="Courier New" w:eastAsia="Courier New" w:hAnsi="Courier New"/>
          <w:sz w:val="14"/>
          <w:szCs w:val="14"/>
          <w:color w:val="auto"/>
        </w:rPr>
        <w:t>January 3, 1995</w:t>
      </w:r>
    </w:p>
    <w:p>
      <w:pPr>
        <w:spacing w:after="0" w:line="183"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INTERNATIONAL RECOVERY CORP., a Florida corporation (hereinafter referred to as "Debtor"), for value received, hereby promises to pay to the order of Paul H. Stebbins (hereinafter referred to as "Payee"), the principal sum of $1,365,000 which shall be payable in three (3) equal, annual installments of principal and interest, commencing on the first anniversary of the date of this Note, and continuing on the same day each year thereafter until this Note is paid in full. The principal amount outstanding shall bear interest (computed on the basis of a 360-day year of twelve 30-day months) at the annual rate of nine percent (9%). Debtor may prepay this Note, in whole or in part, at any time and from time to time without fee, premium or penalty.</w:t>
      </w:r>
    </w:p>
    <w:p>
      <w:pPr>
        <w:spacing w:after="0" w:line="180"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Debtor shall be in default under this Note:</w:t>
      </w:r>
    </w:p>
    <w:p>
      <w:pPr>
        <w:spacing w:after="0" w:line="183" w:lineRule="exact"/>
        <w:rPr>
          <w:sz w:val="20"/>
          <w:szCs w:val="20"/>
          <w:color w:val="auto"/>
        </w:rPr>
      </w:pPr>
    </w:p>
    <w:p>
      <w:pPr>
        <w:ind w:left="5" w:right="2879" w:firstLine="461"/>
        <w:spacing w:after="0" w:line="234" w:lineRule="auto"/>
        <w:tabs>
          <w:tab w:leader="none" w:pos="842"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Debtor shall fail to make any payment of principal and interest due hereunder within ten (10) days after the date due;</w:t>
      </w:r>
    </w:p>
    <w:p>
      <w:pPr>
        <w:spacing w:after="0" w:line="362" w:lineRule="exact"/>
        <w:rPr>
          <w:rFonts w:ascii="Courier New" w:cs="Courier New" w:eastAsia="Courier New" w:hAnsi="Courier New"/>
          <w:sz w:val="16"/>
          <w:szCs w:val="16"/>
          <w:color w:val="auto"/>
        </w:rPr>
      </w:pPr>
    </w:p>
    <w:p>
      <w:pPr>
        <w:ind w:left="5" w:right="2959" w:firstLine="461"/>
        <w:spacing w:after="0" w:line="270" w:lineRule="auto"/>
        <w:tabs>
          <w:tab w:leader="none" w:pos="842"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Debtor shall: (i) voluntarily commence any proceedings or file any petitions seeking relief under Title 11 of the United States Code or any other federal, state or foreign bankruptcy, insolvency or similar law; (ii) consent to the institution of, or fail to controvert in a timely manner,</w:t>
      </w:r>
    </w:p>
    <w:p>
      <w:pPr>
        <w:spacing w:after="0" w:line="1" w:lineRule="exact"/>
        <w:rPr>
          <w:rFonts w:ascii="Courier New" w:cs="Courier New" w:eastAsia="Courier New" w:hAnsi="Courier New"/>
          <w:sz w:val="14"/>
          <w:szCs w:val="14"/>
          <w:color w:val="auto"/>
        </w:rPr>
      </w:pPr>
    </w:p>
    <w:p>
      <w:pPr>
        <w:jc w:val="both"/>
        <w:ind w:left="5" w:right="33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proceeding or the filing of any such petition; (iii) apply for or consent to the appointment of a receiver, trustee, custodian, sequestrator or similar official for Debtor or for a substantial part of its property;</w:t>
      </w:r>
    </w:p>
    <w:p>
      <w:pPr>
        <w:spacing w:after="0" w:line="1" w:lineRule="exact"/>
        <w:rPr>
          <w:rFonts w:ascii="Courier New" w:cs="Courier New" w:eastAsia="Courier New" w:hAnsi="Courier New"/>
          <w:sz w:val="14"/>
          <w:szCs w:val="14"/>
          <w:color w:val="auto"/>
        </w:rPr>
      </w:pPr>
    </w:p>
    <w:p>
      <w:pPr>
        <w:ind w:left="5" w:right="3339" w:hanging="5"/>
        <w:spacing w:after="0" w:line="235" w:lineRule="auto"/>
        <w:tabs>
          <w:tab w:leader="none" w:pos="47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 answer admitting the material allegations of a petition filed against it in any such proceedings; or (v) make a general assignment for the benefit of creditors; or</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involuntary proceeding shall be commenced or an</w:t>
      </w:r>
    </w:p>
    <w:p>
      <w:pPr>
        <w:spacing w:after="0" w:line="4"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involuntary petition shall be filed in a court of competent jurisdiction seeking relief in respect to Debtor, or a substantial part of its property, under Title 11 of the United States Code or any other federal, state, or foreign bankruptcy, insolvency or similar law, and such proceeding or petition shall continue undismissed for 90 days.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 the event Debtor shall be in default under this Note, then, at the option of Payee, the entire unpaid principal balance of this Note, together with accrued interest thereon, may be declared, and thereupon immediately shall become, due and payable. While in default, such unpaid principal and interest shall bear interest at the rate of twelve percent (12%) per year. In the event of default, Payee shall be entitled to recover all the costs of collection of this Note, including reasonable attorney's fees and court costs.</w:t>
      </w:r>
    </w:p>
    <w:p>
      <w:pPr>
        <w:spacing w:after="0" w:line="184"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This Note has been issued pursuant to an Acquisition Agreement, dated December 9, 1994, among Debtor, Payee and others (the "Acquisition Agreement"), which agreement is incorporated herein by this reference. Unless otherwise defined in this Note, capitalized terms used herein will have the meanings assigned to them in the Acquisition Agreement. Notwithstanding anything to the contrary contained in this Note, Debtor shall have the right to offset, against any and all amounts payable under this Note, any Indemnified Losses incurred or sustained by an Indemnitee in accordance with the indemnification and contribution provisions set forth in Section 9 of the Acquisition Agreement. To the extent of any such offset, the principal amount outstanding under this Note shall be reduced, and interest as stated herein shall accrue from the date of such offset only on the principal balance as so reduced.</w:t>
      </w:r>
    </w:p>
    <w:p>
      <w:pPr>
        <w:spacing w:after="0" w:line="188"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Debtor waives presentment, protest, demand, and diligence in collection, and notice of protest, presentment, demand, dishonor and non-payment in connection with this Note. This Note is to be construed in accordance with the laws of the State of Florida.</w:t>
      </w:r>
    </w:p>
    <w:p>
      <w:pPr>
        <w:spacing w:after="0" w:line="185"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THE DEBTOR HEREBY, AND THE PAYEE BY ITS ACCEPTANCE OF THIS NOTE, KNOWINGLY, VOLUNTARILY AND INTENTIONALLY WAIVE THE RIGHT ANY OF THEM MAY HAVE TO TRIAL BY JURY WITH RESPECT TO ANY LITIGATION BASED HEREON, OR ARISING OUT OF, UNDER OR IN CONNECTION WITH THIS NOTE, ANY GUARANTEE SIGNED IN CONNECTION HEREWITH, OR ANY COURSE OF CONDUCT, COURSE OF DEALING, STATEMENTS (VERBAL OR WRITTEN) OR ACTION OF ANY PARTY HERETO. THIS PROVISION IS A MATERIAL INDUCEMENT FOR THE PAYEE MAKING THE LOAN EVIDENCED BY THIS NOTE.</w:t>
      </w:r>
    </w:p>
    <w:p>
      <w:pPr>
        <w:spacing w:after="0" w:line="184"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IN WITNESS WHEREOF, Debtor has caused this Note to be executed in Wilmington, Delaware, on its behalf by its duly authorized officer on the day and year first above written.</w:t>
      </w:r>
    </w:p>
    <w:p>
      <w:pPr>
        <w:spacing w:after="0" w:line="177"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INTERNATIONAL RECOVERY CORP.,</w:t>
      </w:r>
    </w:p>
    <w:p>
      <w:pPr>
        <w:sectPr>
          <w:pgSz w:w="11900" w:h="16838" w:orient="portrait"/>
          <w:cols w:equalWidth="0" w:num="1">
            <w:col w:w="10224"/>
          </w:cols>
          <w:pgMar w:left="235" w:top="135" w:right="1440" w:bottom="0" w:gutter="0" w:footer="0" w:header="0"/>
        </w:sectPr>
      </w:pPr>
    </w:p>
    <w:bookmarkStart w:id="115" w:name="page116"/>
    <w:bookmarkEnd w:id="115"/>
    <w:p>
      <w:pPr>
        <w:ind w:left="2520"/>
        <w:spacing w:after="0"/>
        <w:rPr>
          <w:sz w:val="20"/>
          <w:szCs w:val="20"/>
          <w:color w:val="auto"/>
        </w:rPr>
      </w:pPr>
      <w:r>
        <w:rPr>
          <w:rFonts w:ascii="Courier New" w:cs="Courier New" w:eastAsia="Courier New" w:hAnsi="Courier New"/>
          <w:sz w:val="16"/>
          <w:szCs w:val="16"/>
          <w:color w:val="auto"/>
        </w:rPr>
        <w:t>a Florida corporation</w:t>
      </w:r>
    </w:p>
    <w:p>
      <w:pPr>
        <w:spacing w:after="0" w:line="177" w:lineRule="exact"/>
        <w:rPr>
          <w:sz w:val="20"/>
          <w:szCs w:val="20"/>
          <w:color w:val="auto"/>
        </w:rPr>
      </w:pPr>
    </w:p>
    <w:p>
      <w:pPr>
        <w:ind w:left="2520"/>
        <w:spacing w:after="0"/>
        <w:tabs>
          <w:tab w:leader="none" w:pos="29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Jerrold Blair</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Jerrold Blair, President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35" w:right="1440" w:bottom="1440" w:gutter="0" w:footer="0" w:header="0"/>
        </w:sectPr>
      </w:pPr>
    </w:p>
    <w:bookmarkStart w:id="116" w:name="page117"/>
    <w:bookmarkEnd w:id="116"/>
    <w:p>
      <w:pPr>
        <w:ind w:left="2785"/>
        <w:spacing w:after="0"/>
        <w:rPr>
          <w:sz w:val="20"/>
          <w:szCs w:val="20"/>
          <w:color w:val="auto"/>
        </w:rPr>
      </w:pPr>
      <w:r>
        <w:rPr>
          <w:rFonts w:ascii="Courier New" w:cs="Courier New" w:eastAsia="Courier New" w:hAnsi="Courier New"/>
          <w:sz w:val="16"/>
          <w:szCs w:val="16"/>
          <w:color w:val="auto"/>
        </w:rPr>
        <w:t>PROMISSORY NOTE</w:t>
      </w:r>
    </w:p>
    <w:p>
      <w:pPr>
        <w:spacing w:after="0" w:line="183" w:lineRule="exact"/>
        <w:rPr>
          <w:sz w:val="20"/>
          <w:szCs w:val="20"/>
          <w:color w:val="auto"/>
        </w:rPr>
      </w:pPr>
    </w:p>
    <w:p>
      <w:pPr>
        <w:ind w:left="5" w:right="3339"/>
        <w:spacing w:after="0" w:line="275" w:lineRule="auto"/>
        <w:rPr>
          <w:sz w:val="20"/>
          <w:szCs w:val="20"/>
          <w:color w:val="auto"/>
        </w:rPr>
      </w:pPr>
      <w:r>
        <w:rPr>
          <w:rFonts w:ascii="Courier New" w:cs="Courier New" w:eastAsia="Courier New" w:hAnsi="Courier New"/>
          <w:sz w:val="14"/>
          <w:szCs w:val="14"/>
          <w:color w:val="auto"/>
        </w:rPr>
        <w:t>THIS NOTE HAS NOT BEEN REGISTERED UNDER THE SECURITIES ACT OF 1933 AS AMENDED (THE "1933 ACT"), OR ANY STATE SECURITIES LAWS. THIS NOTE MAY NOT BE NEGOTIATED, SOLD, ASSIGNED OR TRANSFERRED UNLESS SUCH TRANSFER IS REGISTERED UNDER THE 1933 ACT AND APPLICABLE STATE SECURITIES LAWS, OR UNLESS SUCH TRANSFER, IN THE REASONABLE OPINION OF COUNSEL TO THE DEBTOR, IS EXEMPT FROM SUCH REGISTRATION OR IS NOT REQUIRED TO BE SO REGISTERED.</w:t>
      </w:r>
    </w:p>
    <w:p>
      <w:pPr>
        <w:spacing w:after="0" w:line="156" w:lineRule="exact"/>
        <w:rPr>
          <w:sz w:val="20"/>
          <w:szCs w:val="20"/>
          <w:color w:val="auto"/>
        </w:rPr>
      </w:pPr>
    </w:p>
    <w:p>
      <w:pPr>
        <w:ind w:left="5"/>
        <w:spacing w:after="0"/>
        <w:tabs>
          <w:tab w:leader="none" w:pos="2764" w:val="left"/>
        </w:tabs>
        <w:rPr>
          <w:sz w:val="20"/>
          <w:szCs w:val="20"/>
          <w:color w:val="auto"/>
        </w:rPr>
      </w:pPr>
      <w:r>
        <w:rPr>
          <w:rFonts w:ascii="Courier New" w:cs="Courier New" w:eastAsia="Courier New" w:hAnsi="Courier New"/>
          <w:sz w:val="16"/>
          <w:szCs w:val="16"/>
          <w:color w:val="auto"/>
        </w:rPr>
        <w:t>$1,605,000</w:t>
      </w:r>
      <w:r>
        <w:rPr>
          <w:sz w:val="20"/>
          <w:szCs w:val="20"/>
          <w:color w:val="auto"/>
        </w:rPr>
        <w:tab/>
      </w:r>
      <w:r>
        <w:rPr>
          <w:rFonts w:ascii="Courier New" w:cs="Courier New" w:eastAsia="Courier New" w:hAnsi="Courier New"/>
          <w:sz w:val="14"/>
          <w:szCs w:val="14"/>
          <w:color w:val="auto"/>
        </w:rPr>
        <w:t>January 3, 1995</w:t>
      </w:r>
    </w:p>
    <w:p>
      <w:pPr>
        <w:spacing w:after="0" w:line="183"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INTERNATIONAL RECOVERY CORP., a Florida corporation (hereinafter referred to as "Debtor"), for value received, hereby promises to pay to the order of Stacey A. Polites (hereinafter referred to as "Payee"), the principal sum of $1,605,000 which shall be payable in three (3) equal, annual installments of principal and interest, commencing on the first anniversary of the date of this Note, and continuing on the same day each year thereafter until this Note is paid in full. The principal amount outstanding shall bear interest (computed on the basis of a 360-day year of twelve 30-day months) at the annual rate of nine percent (9%). Debtor may prepay this Note, in whole or in part, at any time and from time to time without fee, premium or penalty.</w:t>
      </w:r>
    </w:p>
    <w:p>
      <w:pPr>
        <w:spacing w:after="0" w:line="180"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Debtor shall be in default under this Note:</w:t>
      </w:r>
    </w:p>
    <w:p>
      <w:pPr>
        <w:spacing w:after="0" w:line="183" w:lineRule="exact"/>
        <w:rPr>
          <w:sz w:val="20"/>
          <w:szCs w:val="20"/>
          <w:color w:val="auto"/>
        </w:rPr>
      </w:pPr>
    </w:p>
    <w:p>
      <w:pPr>
        <w:ind w:left="5" w:right="2879" w:firstLine="461"/>
        <w:spacing w:after="0" w:line="234" w:lineRule="auto"/>
        <w:tabs>
          <w:tab w:leader="none" w:pos="842"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Debtor shall fail to make any payment of principal and interest due hereunder within ten (10) days after the date due;</w:t>
      </w:r>
    </w:p>
    <w:p>
      <w:pPr>
        <w:spacing w:after="0" w:line="183" w:lineRule="exact"/>
        <w:rPr>
          <w:rFonts w:ascii="Courier New" w:cs="Courier New" w:eastAsia="Courier New" w:hAnsi="Courier New"/>
          <w:sz w:val="16"/>
          <w:szCs w:val="16"/>
          <w:color w:val="auto"/>
        </w:rPr>
      </w:pPr>
    </w:p>
    <w:p>
      <w:pPr>
        <w:ind w:left="5" w:right="2959" w:firstLine="461"/>
        <w:spacing w:after="0" w:line="270" w:lineRule="auto"/>
        <w:tabs>
          <w:tab w:leader="none" w:pos="84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Debtor shall: (i) voluntarily commence any proceedings or file any petitions seeking relief under Title 11 of the United States Code or any other federal, state or foreign bankruptcy, insolvency or similar law; (ii) consent to the institution of, or fail to controvert in a timely manner,</w:t>
      </w:r>
    </w:p>
    <w:p>
      <w:pPr>
        <w:spacing w:after="0" w:line="1" w:lineRule="exact"/>
        <w:rPr>
          <w:rFonts w:ascii="Courier New" w:cs="Courier New" w:eastAsia="Courier New" w:hAnsi="Courier New"/>
          <w:sz w:val="14"/>
          <w:szCs w:val="14"/>
          <w:color w:val="auto"/>
        </w:rPr>
      </w:pPr>
    </w:p>
    <w:p>
      <w:pPr>
        <w:jc w:val="both"/>
        <w:ind w:left="5" w:right="33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proceeding or the filing of any such petition; (iii) apply for or consent to the appointment of a receiver, trustee, custodian, sequestrator or similar official for Debtor or for a substantial part of its property;</w:t>
      </w:r>
    </w:p>
    <w:p>
      <w:pPr>
        <w:spacing w:after="0" w:line="1" w:lineRule="exact"/>
        <w:rPr>
          <w:rFonts w:ascii="Courier New" w:cs="Courier New" w:eastAsia="Courier New" w:hAnsi="Courier New"/>
          <w:sz w:val="14"/>
          <w:szCs w:val="14"/>
          <w:color w:val="auto"/>
        </w:rPr>
      </w:pPr>
    </w:p>
    <w:p>
      <w:pPr>
        <w:ind w:left="5" w:right="3339" w:hanging="5"/>
        <w:spacing w:after="0" w:line="235" w:lineRule="auto"/>
        <w:tabs>
          <w:tab w:leader="none" w:pos="47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 answer admitting the material allegations of a petition filed against it in any such proceedings; or (v) make a general assignment for the benefit of creditors; or</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involuntary proceeding shall be commenced or an</w:t>
      </w:r>
    </w:p>
    <w:p>
      <w:pPr>
        <w:spacing w:after="0" w:line="4"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involuntary petition shall be filed in a court of competent jurisdiction seeking relief in respect to Debtor, or a substantial part of its property, under Title 11 of the United States Code or any other federal, state, or foreign bankruptcy, insolvency or similar law, and such proceeding or petition shall continue undismissed for 90 days.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In the event Debtor shall be in default under this Note, then, at the option of Payee, the entire unpaid principal balance of this Note, together with accrued interest thereon, may be declared, and thereupon immediately shall become, due and payable. While in default, such unpaid principal and interest shall bear interest at the rate of twelve percent (12%) per year. In the event of default, Payee shall be entitled to recover all the costs of collection of this Note, including reasonable attorney's fees and court costs.</w:t>
      </w:r>
    </w:p>
    <w:p>
      <w:pPr>
        <w:spacing w:after="0" w:line="184" w:lineRule="exact"/>
        <w:rPr>
          <w:sz w:val="20"/>
          <w:szCs w:val="20"/>
          <w:color w:val="auto"/>
        </w:rPr>
      </w:pPr>
    </w:p>
    <w:p>
      <w:pPr>
        <w:ind w:left="5" w:right="3239" w:firstLine="465"/>
        <w:spacing w:after="0" w:line="273" w:lineRule="auto"/>
        <w:rPr>
          <w:sz w:val="20"/>
          <w:szCs w:val="20"/>
          <w:color w:val="auto"/>
        </w:rPr>
      </w:pPr>
      <w:r>
        <w:rPr>
          <w:rFonts w:ascii="Courier New" w:cs="Courier New" w:eastAsia="Courier New" w:hAnsi="Courier New"/>
          <w:sz w:val="14"/>
          <w:szCs w:val="14"/>
          <w:color w:val="auto"/>
        </w:rPr>
        <w:t>This Note has been issued pursuant to an Acquisition Agreement, dated December 9, 1994, among Debtor, Payee and others (the "Acquisition Agreement"), which agreement is incorporated herein by this reference. Unless otherwise defined in this Note, capitalized terms used herein will have the meanings assigned to them in the Acquisition Agreement. Notwithstanding anything to the contrary contained in this Note, Debtor shall have the right to offset, against any and all amounts payable under this Note, any Indemnified Losses incurred or sustained by an Indemnitee in accordance with the indemnification and contribution provisions set forth in Section 9 of the Acquisition Agreement, except as provided in Section</w:t>
      </w:r>
    </w:p>
    <w:p>
      <w:pPr>
        <w:spacing w:after="0" w:line="165"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9.7.1 therein with respect to Receivable Claims. To the extent of any such offset, the principal amount outstanding under this Note shall be reduced, and interest as stated herein shall accrue from the date of such offset only on the principal balance as so reduced.</w:t>
      </w:r>
    </w:p>
    <w:p>
      <w:pPr>
        <w:spacing w:after="0" w:line="185"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Debtor waives presentment, protest, demand, and diligence in collection, and notice of protest, presentment, demand, dishonor and non-payment in connection with this Note. This Note is to be construed in accordance with the laws of the State of Florida.</w:t>
      </w:r>
    </w:p>
    <w:p>
      <w:pPr>
        <w:spacing w:after="0" w:line="185"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THE DEBTOR HEREBY, AND THE PAYEE BY ITS ACCEPTANCE OF THIS NOTE, KNOWINGLY, VOLUNTARILY AND INTENTIONALLY WAIVE THE RIGHT ANY OF THEM MAY HAVE TO TRIAL BY JURY WITH RESPECT TO ANY LITIGATION BASED HEREON, OR ARISING OUT OF, UNDER OR IN CONNECTION WITH THIS NOTE, ANY GUARANTEE SIGNED IN CONNECTION HEREWITH, OR ANY COURSE OF CONDUCT, COURSE OF DEALING, STATEMENTS (VERBAL OR WRITTEN) OR ACTION OF ANY PARTY HERETO. THIS PROVISION IS A MATERIAL INDUCEMENT FOR THE PAYEE MAKING THE LOAN EVIDENCED BY THIS NOTE.</w:t>
      </w:r>
    </w:p>
    <w:p>
      <w:pPr>
        <w:spacing w:after="0" w:line="184" w:lineRule="exact"/>
        <w:rPr>
          <w:sz w:val="20"/>
          <w:szCs w:val="20"/>
          <w:color w:val="auto"/>
        </w:rPr>
      </w:pPr>
    </w:p>
    <w:p>
      <w:pPr>
        <w:ind w:left="5" w:right="3439" w:firstLine="465"/>
        <w:spacing w:after="0" w:line="235" w:lineRule="auto"/>
        <w:rPr>
          <w:sz w:val="20"/>
          <w:szCs w:val="20"/>
          <w:color w:val="auto"/>
        </w:rPr>
      </w:pPr>
      <w:r>
        <w:rPr>
          <w:rFonts w:ascii="Courier New" w:cs="Courier New" w:eastAsia="Courier New" w:hAnsi="Courier New"/>
          <w:sz w:val="16"/>
          <w:szCs w:val="16"/>
          <w:color w:val="auto"/>
        </w:rPr>
        <w:t>IN WITNESS WHEREOF, Debtor has caused this Note to be executed in Wilmington, Delaware, on its behalf by its duly authorized officer on the day and year first above written.</w:t>
      </w:r>
    </w:p>
    <w:p>
      <w:pPr>
        <w:spacing w:after="0" w:line="177"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INTERNATIONAL RECOVERY CORP.,</w:t>
      </w:r>
    </w:p>
    <w:p>
      <w:pPr>
        <w:sectPr>
          <w:pgSz w:w="11900" w:h="16838" w:orient="portrait"/>
          <w:cols w:equalWidth="0" w:num="1">
            <w:col w:w="10224"/>
          </w:cols>
          <w:pgMar w:left="235" w:top="136" w:right="1440" w:bottom="0" w:gutter="0" w:footer="0" w:header="0"/>
        </w:sectPr>
      </w:pPr>
    </w:p>
    <w:bookmarkStart w:id="117" w:name="page118"/>
    <w:bookmarkEnd w:id="117"/>
    <w:p>
      <w:pPr>
        <w:ind w:left="2520"/>
        <w:spacing w:after="0"/>
        <w:rPr>
          <w:sz w:val="20"/>
          <w:szCs w:val="20"/>
          <w:color w:val="auto"/>
        </w:rPr>
      </w:pPr>
      <w:r>
        <w:rPr>
          <w:rFonts w:ascii="Courier New" w:cs="Courier New" w:eastAsia="Courier New" w:hAnsi="Courier New"/>
          <w:sz w:val="16"/>
          <w:szCs w:val="16"/>
          <w:color w:val="auto"/>
        </w:rPr>
        <w:t>a Florida corporation</w:t>
      </w:r>
    </w:p>
    <w:p>
      <w:pPr>
        <w:spacing w:after="0" w:line="177" w:lineRule="exact"/>
        <w:rPr>
          <w:sz w:val="20"/>
          <w:szCs w:val="20"/>
          <w:color w:val="auto"/>
        </w:rPr>
      </w:pPr>
    </w:p>
    <w:p>
      <w:pPr>
        <w:ind w:left="2520"/>
        <w:spacing w:after="0"/>
        <w:tabs>
          <w:tab w:leader="none" w:pos="29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Jerrold Blair</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Jerrold Blair, President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35" w:right="1440" w:bottom="1440" w:gutter="0" w:footer="0" w:header="0"/>
        </w:sectPr>
      </w:pPr>
    </w:p>
    <w:bookmarkStart w:id="118" w:name="page119"/>
    <w:bookmarkEnd w:id="118"/>
    <w:p>
      <w:pPr>
        <w:ind w:left="5945"/>
        <w:spacing w:after="0"/>
        <w:rPr>
          <w:sz w:val="20"/>
          <w:szCs w:val="20"/>
          <w:color w:val="auto"/>
        </w:rPr>
      </w:pPr>
      <w:r>
        <w:rPr>
          <w:rFonts w:ascii="Courier New" w:cs="Courier New" w:eastAsia="Courier New" w:hAnsi="Courier New"/>
          <w:sz w:val="16"/>
          <w:szCs w:val="16"/>
          <w:color w:val="auto"/>
        </w:rPr>
        <w:t>Exhibit 21</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Subsidiaries of the Registrant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ADVANCE PETROLEUM, INC., a Florida corporation(1)</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ADVANCE AVIATION SERVICES, INC., a Florida corporation(3)</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AIR TERMINALING, INC., a Florida corporation(3)</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PETROLEUM CORPORATION, a Florida corporation(2)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PETROLEUM CORPORATION OF LA, a Louisiana corporation(2)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PETROLEUM CORPORATION OF LAFAYETTE, a Louisiana corporation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PETROLEUM CORP. OF MARYLAND, a Maryland corporation(2)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PETROLEUM CORP. OF GEORGIA, a Georgia corporation(2)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PETROLEUM CORP. OF DELAWARE, a Delaware corporation(2)</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INTERNATIONAL PETROLEUM CORP. OF PENNSYLVANIA, a Pennsylvania corporation(3)</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ENVIRONMENTAL SERVICES, INC., a Florida corporation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RESOURCE RECOVERY OF AMERICA, INC., a Florida corporation(5)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RESOURCE RECOVERY MID SOUTH, INC., a Virginia corporation(3)(4)(5)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RESOURCE RECOVERY ATLANTIC, INC., a Delaware corporation(3)(4)(5)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WORLD FUEL SERVICES, INC., a Texas corporation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WORLD FUEL SERVICES LTD., a United Kingdom corporation</w:t>
      </w:r>
    </w:p>
    <w:p>
      <w:pPr>
        <w:spacing w:after="0" w:line="183" w:lineRule="exact"/>
        <w:rPr>
          <w:sz w:val="20"/>
          <w:szCs w:val="20"/>
          <w:color w:val="auto"/>
        </w:rPr>
      </w:pPr>
    </w:p>
    <w:p>
      <w:pPr>
        <w:jc w:val="both"/>
        <w:ind w:left="5" w:right="4079"/>
        <w:spacing w:after="0" w:line="465" w:lineRule="auto"/>
        <w:rPr>
          <w:sz w:val="20"/>
          <w:szCs w:val="20"/>
          <w:color w:val="auto"/>
        </w:rPr>
      </w:pPr>
      <w:r>
        <w:rPr>
          <w:rFonts w:ascii="Courier New" w:cs="Courier New" w:eastAsia="Courier New" w:hAnsi="Courier New"/>
          <w:sz w:val="16"/>
          <w:szCs w:val="16"/>
          <w:color w:val="auto"/>
        </w:rPr>
        <w:t>WORLD FUEL SERVICES (SINGAPORE) PTE., LTD. a Singapore corporation CHEROKEE GROUP, INC., a Florida corporation(5)</w:t>
      </w:r>
    </w:p>
    <w:p>
      <w:pPr>
        <w:spacing w:after="0" w:line="13" w:lineRule="exact"/>
        <w:rPr>
          <w:sz w:val="20"/>
          <w:szCs w:val="20"/>
          <w:color w:val="auto"/>
        </w:rPr>
      </w:pPr>
    </w:p>
    <w:p>
      <w:pPr>
        <w:ind w:left="5" w:right="4819"/>
        <w:spacing w:after="0" w:line="465" w:lineRule="auto"/>
        <w:rPr>
          <w:sz w:val="20"/>
          <w:szCs w:val="20"/>
          <w:color w:val="auto"/>
        </w:rPr>
      </w:pPr>
      <w:r>
        <w:rPr>
          <w:rFonts w:ascii="Courier New" w:cs="Courier New" w:eastAsia="Courier New" w:hAnsi="Courier New"/>
          <w:sz w:val="16"/>
          <w:szCs w:val="16"/>
          <w:color w:val="auto"/>
        </w:rPr>
        <w:t>TRANS-TEC SERVICES, INC., a Delaware Corporation TRANS-TEC SERVICES (UK) Ltd., a United Kingdom Corporation</w:t>
      </w:r>
    </w:p>
    <w:p>
      <w:pPr>
        <w:spacing w:after="0" w:line="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TRANS-TEC SERVICES (SINGAPORE) Pte. Ltd., a Singapore Corporation(6)</w:t>
      </w:r>
    </w:p>
    <w:p>
      <w:pPr>
        <w:spacing w:after="0" w:line="183" w:lineRule="exact"/>
        <w:rPr>
          <w:sz w:val="20"/>
          <w:szCs w:val="20"/>
          <w:color w:val="auto"/>
        </w:rPr>
      </w:pPr>
    </w:p>
    <w:p>
      <w:pPr>
        <w:ind w:left="845" w:right="3799" w:hanging="845"/>
        <w:spacing w:after="0" w:line="234"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Petroleum, Inc., operates under the name "World Fuel Services, of FL.".</w:t>
      </w:r>
    </w:p>
    <w:p>
      <w:pPr>
        <w:spacing w:after="0" w:line="4" w:lineRule="exact"/>
        <w:rPr>
          <w:rFonts w:ascii="Courier New" w:cs="Courier New" w:eastAsia="Courier New" w:hAnsi="Courier New"/>
          <w:sz w:val="16"/>
          <w:szCs w:val="16"/>
          <w:color w:val="auto"/>
        </w:rPr>
      </w:pPr>
    </w:p>
    <w:p>
      <w:pPr>
        <w:ind w:left="845" w:right="3519" w:hanging="845"/>
        <w:spacing w:after="0" w:line="234"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corporations collect and purchase used oil under the name "International Oil Service."</w:t>
      </w:r>
    </w:p>
    <w:p>
      <w:pPr>
        <w:ind w:left="845" w:hanging="845"/>
        <w:spacing w:after="0" w:line="236"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Inactive</w:t>
      </w:r>
    </w:p>
    <w:p>
      <w:pPr>
        <w:spacing w:after="0" w:line="4" w:lineRule="exact"/>
        <w:rPr>
          <w:rFonts w:ascii="Courier New" w:cs="Courier New" w:eastAsia="Courier New" w:hAnsi="Courier New"/>
          <w:sz w:val="16"/>
          <w:szCs w:val="16"/>
          <w:color w:val="auto"/>
        </w:rPr>
      </w:pPr>
    </w:p>
    <w:p>
      <w:pPr>
        <w:ind w:left="845" w:right="3059" w:hanging="845"/>
        <w:spacing w:after="0" w:line="234"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corporations are subsidiaries of Resource Recovery of America, Inc.</w:t>
      </w:r>
    </w:p>
    <w:p>
      <w:pPr>
        <w:spacing w:after="0" w:line="4" w:lineRule="exact"/>
        <w:rPr>
          <w:rFonts w:ascii="Courier New" w:cs="Courier New" w:eastAsia="Courier New" w:hAnsi="Courier New"/>
          <w:sz w:val="16"/>
          <w:szCs w:val="16"/>
          <w:color w:val="auto"/>
        </w:rPr>
      </w:pPr>
    </w:p>
    <w:p>
      <w:pPr>
        <w:ind w:left="845" w:right="3439" w:hanging="845"/>
        <w:spacing w:after="0" w:line="234"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operations were discontinued by the Company in fiscal year 1993.</w:t>
      </w:r>
    </w:p>
    <w:p>
      <w:pPr>
        <w:ind w:left="845" w:hanging="845"/>
        <w:spacing w:after="0" w:line="236"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corporation is a subsidiary of Trans-Tec Services (UK) LTD.</w:t>
      </w:r>
    </w:p>
    <w:p>
      <w:pPr>
        <w:sectPr>
          <w:pgSz w:w="11900" w:h="16838" w:orient="portrait"/>
          <w:cols w:equalWidth="0" w:num="1">
            <w:col w:w="10224"/>
          </w:cols>
          <w:pgMar w:left="235" w:top="135" w:right="1440" w:bottom="1440" w:gutter="0" w:footer="0" w:header="0"/>
        </w:sectPr>
      </w:pPr>
    </w:p>
    <w:bookmarkStart w:id="119" w:name="page120"/>
    <w:bookmarkEnd w:id="119"/>
    <w:p>
      <w:pPr>
        <w:jc w:val="right"/>
        <w:ind w:right="3339"/>
        <w:spacing w:after="0"/>
        <w:rPr>
          <w:sz w:val="20"/>
          <w:szCs w:val="20"/>
          <w:color w:val="auto"/>
        </w:rPr>
      </w:pPr>
      <w:r>
        <w:rPr>
          <w:rFonts w:ascii="Courier New" w:cs="Courier New" w:eastAsia="Courier New" w:hAnsi="Courier New"/>
          <w:sz w:val="16"/>
          <w:szCs w:val="16"/>
          <w:color w:val="auto"/>
        </w:rPr>
        <w:t>Exhibit 23</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CONSENT OF INDEPENDENT CERTIFIED PUBLIC ACCOUNTANTS</w:t>
      </w:r>
    </w:p>
    <w:p>
      <w:pPr>
        <w:spacing w:after="0" w:line="183"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6"/>
          <w:szCs w:val="16"/>
          <w:color w:val="auto"/>
        </w:rPr>
        <w:t>As independent certified public accountants, we hereby consent to the incorporation of our report included in this Form 10-K, into International Recovery Corp.'s previously filed Form S-3 Registration Statement File No. 33-57935.</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ANDERSEN LLP</w:t>
      </w:r>
    </w:p>
    <w:p>
      <w:pPr>
        <w:spacing w:after="0" w:line="362" w:lineRule="exact"/>
        <w:rPr>
          <w:sz w:val="20"/>
          <w:szCs w:val="20"/>
          <w:color w:val="auto"/>
        </w:rPr>
      </w:pPr>
    </w:p>
    <w:p>
      <w:pPr>
        <w:jc w:val="right"/>
        <w:ind w:right="8819"/>
        <w:spacing w:after="0"/>
        <w:rPr>
          <w:sz w:val="20"/>
          <w:szCs w:val="20"/>
          <w:color w:val="auto"/>
        </w:rPr>
      </w:pPr>
      <w:r>
        <w:rPr>
          <w:rFonts w:ascii="Courier New" w:cs="Courier New" w:eastAsia="Courier New" w:hAnsi="Courier New"/>
          <w:sz w:val="14"/>
          <w:szCs w:val="14"/>
          <w:color w:val="auto"/>
        </w:rPr>
        <w:t>Miami, Florida,</w:t>
      </w:r>
    </w:p>
    <w:p>
      <w:pPr>
        <w:spacing w:after="0" w:line="14" w:lineRule="exact"/>
        <w:rPr>
          <w:sz w:val="20"/>
          <w:szCs w:val="20"/>
          <w:color w:val="auto"/>
        </w:rPr>
      </w:pPr>
    </w:p>
    <w:p>
      <w:pPr>
        <w:jc w:val="right"/>
        <w:ind w:right="8819"/>
        <w:spacing w:after="0"/>
        <w:rPr>
          <w:sz w:val="20"/>
          <w:szCs w:val="20"/>
          <w:color w:val="auto"/>
        </w:rPr>
      </w:pPr>
      <w:r>
        <w:rPr>
          <w:rFonts w:ascii="Courier New" w:cs="Courier New" w:eastAsia="Courier New" w:hAnsi="Courier New"/>
          <w:sz w:val="16"/>
          <w:szCs w:val="16"/>
          <w:color w:val="auto"/>
        </w:rPr>
        <w:t>May 26, 1995.</w:t>
      </w:r>
    </w:p>
    <w:p>
      <w:pPr>
        <w:sectPr>
          <w:pgSz w:w="11900" w:h="16838" w:orient="portrait"/>
          <w:cols w:equalWidth="0" w:num="1">
            <w:col w:w="10219"/>
          </w:cols>
          <w:pgMar w:left="240" w:top="136" w:right="1440" w:bottom="1440" w:gutter="0" w:footer="0" w:header="0"/>
        </w:sectPr>
      </w:pPr>
    </w:p>
    <w:bookmarkStart w:id="120" w:name="page121"/>
    <w:bookmarkEnd w:id="120"/>
    <w:p>
      <w:pPr>
        <w:ind w:left="6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6"/>
          <w:szCs w:val="16"/>
          <w:color w:val="auto"/>
        </w:rPr>
        <w:t>THE SCHEDULE CONTAINS SUMMARY FINANCIAL INFORMATION EXTRACTED FROM ITS MARCH 31, 1995 10-K AND IS QUALIFIED IN ITS ENTIRETY BY REFERENCE TO SUCH FINANCIAL STATEMENTS.</w:t>
      </w:r>
    </w:p>
    <w:p>
      <w:pPr>
        <w:spacing w:after="0" w:line="200" w:lineRule="exact"/>
        <w:rPr>
          <w:sz w:val="20"/>
          <w:szCs w:val="20"/>
          <w:color w:val="auto"/>
        </w:rPr>
      </w:pP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YEAR</w:t>
      </w:r>
    </w:p>
    <w:p>
      <w:pPr>
        <w:ind w:left="2400"/>
        <w:spacing w:after="0" w:line="236" w:lineRule="auto"/>
        <w:rPr>
          <w:sz w:val="20"/>
          <w:szCs w:val="20"/>
          <w:color w:val="auto"/>
        </w:rPr>
      </w:pPr>
      <w:r>
        <w:rPr>
          <w:rFonts w:ascii="Courier New" w:cs="Courier New" w:eastAsia="Courier New" w:hAnsi="Courier New"/>
          <w:sz w:val="16"/>
          <w:szCs w:val="16"/>
          <w:color w:val="auto"/>
        </w:rPr>
        <w:t>MAR-31-1995</w:t>
      </w:r>
    </w:p>
    <w:p>
      <w:pPr>
        <w:ind w:left="2680"/>
        <w:spacing w:after="0" w:line="237" w:lineRule="auto"/>
        <w:rPr>
          <w:sz w:val="20"/>
          <w:szCs w:val="20"/>
          <w:color w:val="auto"/>
        </w:rPr>
      </w:pPr>
      <w:r>
        <w:rPr>
          <w:rFonts w:ascii="Courier New" w:cs="Courier New" w:eastAsia="Courier New" w:hAnsi="Courier New"/>
          <w:sz w:val="16"/>
          <w:szCs w:val="16"/>
          <w:color w:val="auto"/>
        </w:rPr>
        <w:t>APR-01-1994</w:t>
      </w:r>
    </w:p>
    <w:p>
      <w:pPr>
        <w:ind w:left="2860"/>
        <w:spacing w:after="0" w:line="237" w:lineRule="auto"/>
        <w:rPr>
          <w:sz w:val="20"/>
          <w:szCs w:val="20"/>
          <w:color w:val="auto"/>
        </w:rPr>
      </w:pPr>
      <w:r>
        <w:rPr>
          <w:rFonts w:ascii="Courier New" w:cs="Courier New" w:eastAsia="Courier New" w:hAnsi="Courier New"/>
          <w:sz w:val="16"/>
          <w:szCs w:val="16"/>
          <w:color w:val="auto"/>
        </w:rPr>
        <w:t>MAR-31-1995</w:t>
      </w:r>
    </w:p>
    <w:p>
      <w:pPr>
        <w:ind w:left="3520"/>
        <w:spacing w:after="0" w:line="237" w:lineRule="auto"/>
        <w:rPr>
          <w:sz w:val="20"/>
          <w:szCs w:val="20"/>
          <w:color w:val="auto"/>
        </w:rPr>
      </w:pPr>
      <w:r>
        <w:rPr>
          <w:rFonts w:ascii="Courier New" w:cs="Courier New" w:eastAsia="Courier New" w:hAnsi="Courier New"/>
          <w:sz w:val="16"/>
          <w:szCs w:val="16"/>
          <w:color w:val="auto"/>
        </w:rPr>
        <w:t>10,907,000</w:t>
      </w:r>
    </w:p>
    <w:p>
      <w:pPr>
        <w:ind w:left="3780"/>
        <w:spacing w:after="0" w:line="237" w:lineRule="auto"/>
        <w:rPr>
          <w:sz w:val="20"/>
          <w:szCs w:val="20"/>
          <w:color w:val="auto"/>
        </w:rPr>
      </w:pPr>
      <w:r>
        <w:rPr>
          <w:rFonts w:ascii="Courier New" w:cs="Courier New" w:eastAsia="Courier New" w:hAnsi="Courier New"/>
          <w:sz w:val="16"/>
          <w:szCs w:val="16"/>
          <w:color w:val="auto"/>
        </w:rPr>
        <w:t>0</w:t>
      </w:r>
    </w:p>
    <w:p>
      <w:pPr>
        <w:ind w:left="2860"/>
        <w:spacing w:after="0" w:line="237" w:lineRule="auto"/>
        <w:rPr>
          <w:sz w:val="20"/>
          <w:szCs w:val="20"/>
          <w:color w:val="auto"/>
        </w:rPr>
      </w:pPr>
      <w:r>
        <w:rPr>
          <w:rFonts w:ascii="Courier New" w:cs="Courier New" w:eastAsia="Courier New" w:hAnsi="Courier New"/>
          <w:sz w:val="16"/>
          <w:szCs w:val="16"/>
          <w:color w:val="auto"/>
        </w:rPr>
        <w:t>43,366,000</w:t>
      </w:r>
    </w:p>
    <w:p>
      <w:pPr>
        <w:ind w:left="3040"/>
        <w:spacing w:after="0" w:line="237" w:lineRule="auto"/>
        <w:rPr>
          <w:sz w:val="20"/>
          <w:szCs w:val="20"/>
          <w:color w:val="auto"/>
        </w:rPr>
      </w:pPr>
      <w:r>
        <w:rPr>
          <w:rFonts w:ascii="Courier New" w:cs="Courier New" w:eastAsia="Courier New" w:hAnsi="Courier New"/>
          <w:sz w:val="16"/>
          <w:szCs w:val="16"/>
          <w:color w:val="auto"/>
        </w:rPr>
        <w:t>4,566,000</w:t>
      </w:r>
    </w:p>
    <w:p>
      <w:pPr>
        <w:ind w:left="3140"/>
        <w:spacing w:after="0" w:line="237" w:lineRule="auto"/>
        <w:rPr>
          <w:sz w:val="20"/>
          <w:szCs w:val="20"/>
          <w:color w:val="auto"/>
        </w:rPr>
      </w:pPr>
      <w:r>
        <w:rPr>
          <w:rFonts w:ascii="Courier New" w:cs="Courier New" w:eastAsia="Courier New" w:hAnsi="Courier New"/>
          <w:sz w:val="16"/>
          <w:szCs w:val="16"/>
          <w:color w:val="auto"/>
        </w:rPr>
        <w:t>3,714,000</w:t>
      </w:r>
    </w:p>
    <w:p>
      <w:pPr>
        <w:ind w:left="2580"/>
        <w:spacing w:after="0" w:line="236" w:lineRule="auto"/>
        <w:rPr>
          <w:sz w:val="20"/>
          <w:szCs w:val="20"/>
          <w:color w:val="auto"/>
        </w:rPr>
      </w:pPr>
      <w:r>
        <w:rPr>
          <w:rFonts w:ascii="Courier New" w:cs="Courier New" w:eastAsia="Courier New" w:hAnsi="Courier New"/>
          <w:sz w:val="16"/>
          <w:szCs w:val="16"/>
          <w:color w:val="auto"/>
        </w:rPr>
        <w:t>58,006,000</w:t>
      </w:r>
    </w:p>
    <w:p>
      <w:pPr>
        <w:ind w:left="3520"/>
        <w:spacing w:after="0" w:line="237" w:lineRule="auto"/>
        <w:rPr>
          <w:sz w:val="20"/>
          <w:szCs w:val="20"/>
          <w:color w:val="auto"/>
        </w:rPr>
      </w:pPr>
      <w:r>
        <w:rPr>
          <w:rFonts w:ascii="Courier New" w:cs="Courier New" w:eastAsia="Courier New" w:hAnsi="Courier New"/>
          <w:sz w:val="16"/>
          <w:szCs w:val="16"/>
          <w:color w:val="auto"/>
        </w:rPr>
        <w:t>21,264,000</w:t>
      </w:r>
    </w:p>
    <w:p>
      <w:pPr>
        <w:ind w:left="2860"/>
        <w:spacing w:after="0" w:line="237" w:lineRule="auto"/>
        <w:rPr>
          <w:sz w:val="20"/>
          <w:szCs w:val="20"/>
          <w:color w:val="auto"/>
        </w:rPr>
      </w:pPr>
      <w:r>
        <w:rPr>
          <w:rFonts w:ascii="Courier New" w:cs="Courier New" w:eastAsia="Courier New" w:hAnsi="Courier New"/>
          <w:sz w:val="16"/>
          <w:szCs w:val="16"/>
          <w:color w:val="auto"/>
        </w:rPr>
        <w:t>5,680,000</w:t>
      </w:r>
    </w:p>
    <w:p>
      <w:pPr>
        <w:ind w:left="2760"/>
        <w:spacing w:after="0" w:line="237" w:lineRule="auto"/>
        <w:rPr>
          <w:sz w:val="20"/>
          <w:szCs w:val="20"/>
          <w:color w:val="auto"/>
        </w:rPr>
      </w:pPr>
      <w:r>
        <w:rPr>
          <w:rFonts w:ascii="Courier New" w:cs="Courier New" w:eastAsia="Courier New" w:hAnsi="Courier New"/>
          <w:sz w:val="16"/>
          <w:szCs w:val="16"/>
          <w:color w:val="auto"/>
        </w:rPr>
        <w:t>89,536,000</w:t>
      </w:r>
    </w:p>
    <w:p>
      <w:pPr>
        <w:ind w:left="2120"/>
        <w:spacing w:after="0" w:line="237" w:lineRule="auto"/>
        <w:rPr>
          <w:sz w:val="20"/>
          <w:szCs w:val="20"/>
          <w:color w:val="auto"/>
        </w:rPr>
      </w:pPr>
      <w:r>
        <w:rPr>
          <w:rFonts w:ascii="Courier New" w:cs="Courier New" w:eastAsia="Courier New" w:hAnsi="Courier New"/>
          <w:sz w:val="16"/>
          <w:szCs w:val="16"/>
          <w:color w:val="auto"/>
        </w:rPr>
        <w:t>30,486,000</w:t>
      </w:r>
    </w:p>
    <w:p>
      <w:pPr>
        <w:ind w:left="4260"/>
        <w:spacing w:after="0" w:line="237" w:lineRule="auto"/>
        <w:rPr>
          <w:sz w:val="20"/>
          <w:szCs w:val="20"/>
          <w:color w:val="auto"/>
        </w:rPr>
      </w:pPr>
      <w:r>
        <w:rPr>
          <w:rFonts w:ascii="Courier New" w:cs="Courier New" w:eastAsia="Courier New" w:hAnsi="Courier New"/>
          <w:sz w:val="16"/>
          <w:szCs w:val="16"/>
          <w:color w:val="auto"/>
        </w:rPr>
        <w:t>0</w:t>
      </w:r>
    </w:p>
    <w:p>
      <w:pPr>
        <w:ind w:left="3700"/>
        <w:spacing w:after="0" w:line="237" w:lineRule="auto"/>
        <w:rPr>
          <w:sz w:val="20"/>
          <w:szCs w:val="20"/>
          <w:color w:val="auto"/>
        </w:rPr>
      </w:pPr>
      <w:r>
        <w:rPr>
          <w:rFonts w:ascii="Courier New" w:cs="Courier New" w:eastAsia="Courier New" w:hAnsi="Courier New"/>
          <w:sz w:val="16"/>
          <w:szCs w:val="16"/>
          <w:color w:val="auto"/>
        </w:rPr>
        <w:t>52,000</w:t>
      </w:r>
    </w:p>
    <w:p>
      <w:pPr>
        <w:ind w:left="2960"/>
        <w:spacing w:after="0" w:line="237" w:lineRule="auto"/>
        <w:rPr>
          <w:sz w:val="20"/>
          <w:szCs w:val="20"/>
          <w:color w:val="auto"/>
        </w:rPr>
      </w:pPr>
      <w:r>
        <w:rPr>
          <w:rFonts w:ascii="Courier New" w:cs="Courier New" w:eastAsia="Courier New" w:hAnsi="Courier New"/>
          <w:sz w:val="16"/>
          <w:szCs w:val="16"/>
          <w:color w:val="auto"/>
        </w:rPr>
        <w:t>0</w:t>
      </w:r>
    </w:p>
    <w:p>
      <w:pPr>
        <w:ind w:left="3880"/>
        <w:spacing w:after="0" w:line="236" w:lineRule="auto"/>
        <w:rPr>
          <w:sz w:val="20"/>
          <w:szCs w:val="20"/>
          <w:color w:val="auto"/>
        </w:rPr>
      </w:pPr>
      <w:r>
        <w:rPr>
          <w:rFonts w:ascii="Courier New" w:cs="Courier New" w:eastAsia="Courier New" w:hAnsi="Courier New"/>
          <w:sz w:val="16"/>
          <w:szCs w:val="16"/>
          <w:color w:val="auto"/>
        </w:rPr>
        <w:t>0</w:t>
      </w:r>
    </w:p>
    <w:p>
      <w:pPr>
        <w:ind w:left="3140"/>
        <w:spacing w:after="0" w:line="237" w:lineRule="auto"/>
        <w:rPr>
          <w:sz w:val="20"/>
          <w:szCs w:val="20"/>
          <w:color w:val="auto"/>
        </w:rPr>
      </w:pPr>
      <w:r>
        <w:rPr>
          <w:rFonts w:ascii="Courier New" w:cs="Courier New" w:eastAsia="Courier New" w:hAnsi="Courier New"/>
          <w:sz w:val="16"/>
          <w:szCs w:val="16"/>
          <w:color w:val="auto"/>
        </w:rPr>
        <w:t>52,014,000</w:t>
      </w:r>
    </w:p>
    <w:p>
      <w:pPr>
        <w:ind w:left="1460"/>
        <w:spacing w:after="0" w:line="237" w:lineRule="auto"/>
        <w:rPr>
          <w:sz w:val="20"/>
          <w:szCs w:val="20"/>
          <w:color w:val="auto"/>
        </w:rPr>
      </w:pPr>
      <w:r>
        <w:rPr>
          <w:rFonts w:ascii="Courier New" w:cs="Courier New" w:eastAsia="Courier New" w:hAnsi="Courier New"/>
          <w:sz w:val="16"/>
          <w:szCs w:val="16"/>
          <w:color w:val="auto"/>
        </w:rPr>
        <w:t>89,536,000</w:t>
      </w:r>
    </w:p>
    <w:p>
      <w:pPr>
        <w:ind w:left="3320"/>
        <w:spacing w:after="0" w:line="237" w:lineRule="auto"/>
        <w:rPr>
          <w:sz w:val="20"/>
          <w:szCs w:val="20"/>
          <w:color w:val="auto"/>
        </w:rPr>
      </w:pPr>
      <w:r>
        <w:rPr>
          <w:rFonts w:ascii="Courier New" w:cs="Courier New" w:eastAsia="Courier New" w:hAnsi="Courier New"/>
          <w:sz w:val="16"/>
          <w:szCs w:val="16"/>
          <w:color w:val="auto"/>
        </w:rPr>
        <w:t>361,891,000</w:t>
      </w:r>
    </w:p>
    <w:p>
      <w:pPr>
        <w:ind w:left="2480"/>
        <w:spacing w:after="0" w:line="237" w:lineRule="auto"/>
        <w:rPr>
          <w:sz w:val="20"/>
          <w:szCs w:val="20"/>
          <w:color w:val="auto"/>
        </w:rPr>
      </w:pPr>
      <w:r>
        <w:rPr>
          <w:rFonts w:ascii="Courier New" w:cs="Courier New" w:eastAsia="Courier New" w:hAnsi="Courier New"/>
          <w:sz w:val="16"/>
          <w:szCs w:val="16"/>
          <w:color w:val="auto"/>
        </w:rPr>
        <w:t>361,891,000</w:t>
      </w:r>
    </w:p>
    <w:p>
      <w:pPr>
        <w:ind w:left="3520"/>
        <w:spacing w:after="0" w:line="237" w:lineRule="auto"/>
        <w:rPr>
          <w:sz w:val="20"/>
          <w:szCs w:val="20"/>
          <w:color w:val="auto"/>
        </w:rPr>
      </w:pPr>
      <w:r>
        <w:rPr>
          <w:rFonts w:ascii="Courier New" w:cs="Courier New" w:eastAsia="Courier New" w:hAnsi="Courier New"/>
          <w:sz w:val="16"/>
          <w:szCs w:val="16"/>
          <w:color w:val="auto"/>
        </w:rPr>
        <w:t>334,134,000</w:t>
      </w:r>
    </w:p>
    <w:p>
      <w:pPr>
        <w:ind w:left="2760"/>
        <w:spacing w:after="0" w:line="237" w:lineRule="auto"/>
        <w:rPr>
          <w:sz w:val="20"/>
          <w:szCs w:val="20"/>
          <w:color w:val="auto"/>
        </w:rPr>
      </w:pPr>
      <w:r>
        <w:rPr>
          <w:rFonts w:ascii="Courier New" w:cs="Courier New" w:eastAsia="Courier New" w:hAnsi="Courier New"/>
          <w:sz w:val="16"/>
          <w:szCs w:val="16"/>
          <w:color w:val="auto"/>
        </w:rPr>
        <w:t>334,134,000</w:t>
      </w:r>
    </w:p>
    <w:p>
      <w:pPr>
        <w:ind w:left="3420"/>
        <w:spacing w:after="0" w:line="237" w:lineRule="auto"/>
        <w:rPr>
          <w:sz w:val="20"/>
          <w:szCs w:val="20"/>
          <w:color w:val="auto"/>
        </w:rPr>
      </w:pPr>
      <w:r>
        <w:rPr>
          <w:rFonts w:ascii="Courier New" w:cs="Courier New" w:eastAsia="Courier New" w:hAnsi="Courier New"/>
          <w:sz w:val="16"/>
          <w:szCs w:val="16"/>
          <w:color w:val="auto"/>
        </w:rPr>
        <w:t>0</w:t>
      </w:r>
    </w:p>
    <w:p>
      <w:pPr>
        <w:ind w:left="2680"/>
        <w:spacing w:after="0" w:line="236" w:lineRule="auto"/>
        <w:rPr>
          <w:sz w:val="20"/>
          <w:szCs w:val="20"/>
          <w:color w:val="auto"/>
        </w:rPr>
      </w:pPr>
      <w:r>
        <w:rPr>
          <w:rFonts w:ascii="Courier New" w:cs="Courier New" w:eastAsia="Courier New" w:hAnsi="Courier New"/>
          <w:sz w:val="16"/>
          <w:szCs w:val="16"/>
          <w:color w:val="auto"/>
        </w:rPr>
        <w:t>2,062,000</w:t>
      </w:r>
    </w:p>
    <w:p>
      <w:pPr>
        <w:ind w:left="2680"/>
        <w:spacing w:after="0" w:line="237" w:lineRule="auto"/>
        <w:rPr>
          <w:sz w:val="20"/>
          <w:szCs w:val="20"/>
          <w:color w:val="auto"/>
        </w:rPr>
      </w:pPr>
      <w:r>
        <w:rPr>
          <w:rFonts w:ascii="Courier New" w:cs="Courier New" w:eastAsia="Courier New" w:hAnsi="Courier New"/>
          <w:sz w:val="16"/>
          <w:szCs w:val="16"/>
          <w:color w:val="auto"/>
        </w:rPr>
        <w:t>263,000</w:t>
      </w:r>
    </w:p>
    <w:p>
      <w:pPr>
        <w:ind w:left="2680"/>
        <w:spacing w:after="0" w:line="237" w:lineRule="auto"/>
        <w:rPr>
          <w:sz w:val="20"/>
          <w:szCs w:val="20"/>
          <w:color w:val="auto"/>
        </w:rPr>
      </w:pPr>
      <w:r>
        <w:rPr>
          <w:rFonts w:ascii="Courier New" w:cs="Courier New" w:eastAsia="Courier New" w:hAnsi="Courier New"/>
          <w:sz w:val="16"/>
          <w:szCs w:val="16"/>
          <w:color w:val="auto"/>
        </w:rPr>
        <w:t>13,023,000</w:t>
      </w:r>
    </w:p>
    <w:p>
      <w:pPr>
        <w:ind w:left="3040"/>
        <w:spacing w:after="0" w:line="237" w:lineRule="auto"/>
        <w:rPr>
          <w:sz w:val="20"/>
          <w:szCs w:val="20"/>
          <w:color w:val="auto"/>
        </w:rPr>
      </w:pPr>
      <w:r>
        <w:rPr>
          <w:rFonts w:ascii="Courier New" w:cs="Courier New" w:eastAsia="Courier New" w:hAnsi="Courier New"/>
          <w:sz w:val="16"/>
          <w:szCs w:val="16"/>
          <w:color w:val="auto"/>
        </w:rPr>
        <w:t>4,935,000</w:t>
      </w:r>
    </w:p>
    <w:p>
      <w:pPr>
        <w:ind w:left="2400"/>
        <w:spacing w:after="0" w:line="237" w:lineRule="auto"/>
        <w:rPr>
          <w:sz w:val="20"/>
          <w:szCs w:val="20"/>
          <w:color w:val="auto"/>
        </w:rPr>
      </w:pPr>
      <w:r>
        <w:rPr>
          <w:rFonts w:ascii="Courier New" w:cs="Courier New" w:eastAsia="Courier New" w:hAnsi="Courier New"/>
          <w:sz w:val="16"/>
          <w:szCs w:val="16"/>
          <w:color w:val="auto"/>
        </w:rPr>
        <w:t>8,088,000</w:t>
      </w:r>
    </w:p>
    <w:p>
      <w:pPr>
        <w:ind w:left="3600"/>
        <w:spacing w:after="0" w:line="237" w:lineRule="auto"/>
        <w:rPr>
          <w:sz w:val="20"/>
          <w:szCs w:val="20"/>
          <w:color w:val="auto"/>
        </w:rPr>
      </w:pPr>
      <w:r>
        <w:rPr>
          <w:rFonts w:ascii="Courier New" w:cs="Courier New" w:eastAsia="Courier New" w:hAnsi="Courier New"/>
          <w:sz w:val="16"/>
          <w:szCs w:val="16"/>
          <w:color w:val="auto"/>
        </w:rPr>
        <w:t>0</w:t>
      </w:r>
    </w:p>
    <w:p>
      <w:pPr>
        <w:ind w:left="3520"/>
        <w:spacing w:after="0" w:line="237" w:lineRule="auto"/>
        <w:rPr>
          <w:sz w:val="20"/>
          <w:szCs w:val="20"/>
          <w:color w:val="auto"/>
        </w:rPr>
      </w:pPr>
      <w:r>
        <w:rPr>
          <w:rFonts w:ascii="Courier New" w:cs="Courier New" w:eastAsia="Courier New" w:hAnsi="Courier New"/>
          <w:sz w:val="16"/>
          <w:szCs w:val="16"/>
          <w:color w:val="auto"/>
        </w:rPr>
        <w:t>0</w:t>
      </w:r>
    </w:p>
    <w:p>
      <w:pPr>
        <w:ind w:left="4060"/>
        <w:spacing w:after="0" w:line="237" w:lineRule="auto"/>
        <w:rPr>
          <w:sz w:val="20"/>
          <w:szCs w:val="20"/>
          <w:color w:val="auto"/>
        </w:rPr>
      </w:pPr>
      <w:r>
        <w:rPr>
          <w:rFonts w:ascii="Courier New" w:cs="Courier New" w:eastAsia="Courier New" w:hAnsi="Courier New"/>
          <w:sz w:val="16"/>
          <w:szCs w:val="16"/>
          <w:color w:val="auto"/>
        </w:rPr>
        <w:t>0</w:t>
      </w:r>
    </w:p>
    <w:p>
      <w:pPr>
        <w:ind w:left="3040"/>
        <w:spacing w:after="0" w:line="236" w:lineRule="auto"/>
        <w:rPr>
          <w:sz w:val="20"/>
          <w:szCs w:val="20"/>
          <w:color w:val="auto"/>
        </w:rPr>
      </w:pPr>
      <w:r>
        <w:rPr>
          <w:rFonts w:ascii="Courier New" w:cs="Courier New" w:eastAsia="Courier New" w:hAnsi="Courier New"/>
          <w:sz w:val="16"/>
          <w:szCs w:val="16"/>
          <w:color w:val="auto"/>
        </w:rPr>
        <w:t>8,088,000</w:t>
      </w:r>
    </w:p>
    <w:p>
      <w:pPr>
        <w:ind w:left="3420"/>
        <w:spacing w:after="0" w:line="237" w:lineRule="auto"/>
        <w:rPr>
          <w:sz w:val="20"/>
          <w:szCs w:val="20"/>
          <w:color w:val="auto"/>
        </w:rPr>
      </w:pPr>
      <w:r>
        <w:rPr>
          <w:rFonts w:ascii="Courier New" w:cs="Courier New" w:eastAsia="Courier New" w:hAnsi="Courier New"/>
          <w:sz w:val="16"/>
          <w:szCs w:val="16"/>
          <w:color w:val="auto"/>
        </w:rPr>
        <w:t>1.65</w:t>
      </w:r>
    </w:p>
    <w:p>
      <w:pPr>
        <w:ind w:left="3420"/>
        <w:spacing w:after="0" w:line="237" w:lineRule="auto"/>
        <w:rPr>
          <w:sz w:val="20"/>
          <w:szCs w:val="20"/>
          <w:color w:val="auto"/>
        </w:rPr>
      </w:pPr>
      <w:r>
        <w:rPr>
          <w:rFonts w:ascii="Courier New" w:cs="Courier New" w:eastAsia="Courier New" w:hAnsi="Courier New"/>
          <w:sz w:val="16"/>
          <w:szCs w:val="16"/>
          <w:color w:val="auto"/>
        </w:rPr>
        <w:t>1.65</w:t>
      </w:r>
    </w:p>
    <w:sectPr>
      <w:pgSz w:w="11900" w:h="16838" w:orient="portrait"/>
      <w:cols w:equalWidth="0" w:num="1">
        <w:col w:w="10199"/>
      </w:cols>
      <w:pgMar w:left="26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upperLetter"/>
      <w:start w:val="24"/>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1)"/>
      <w:numFmt w:val="lowerRoman"/>
      <w:start w:val="1"/>
    </w:lvl>
  </w:abstractNum>
  <w:abstractNum w:abstractNumId="6">
    <w:nsid w:val="15014ACB"/>
    <w:multiLevelType w:val="hybridMultilevel"/>
    <w:lvl w:ilvl="0">
      <w:lvlJc w:val="left"/>
      <w:lvlText w:val="(%1)"/>
      <w:numFmt w:val="lowerRoman"/>
      <w:start w:val="3"/>
    </w:lvl>
  </w:abstractNum>
  <w:abstractNum w:abstractNumId="7">
    <w:nsid w:val="5F5E7FD0"/>
    <w:multiLevelType w:val="hybridMultilevel"/>
    <w:lvl w:ilvl="0">
      <w:lvlJc w:val="left"/>
      <w:lvlText w:val="(%1)"/>
      <w:numFmt w:val="lowerRoman"/>
      <w:start w:val="4"/>
    </w:lvl>
  </w:abstractNum>
  <w:abstractNum w:abstractNumId="8">
    <w:nsid w:val="98A3148"/>
    <w:multiLevelType w:val="hybridMultilevel"/>
    <w:lvl w:ilvl="0">
      <w:lvlJc w:val="left"/>
      <w:lvlText w:val="(%1)"/>
      <w:numFmt w:val="lowerRoman"/>
      <w:start w:val="6"/>
    </w:lvl>
  </w:abstractNum>
  <w:abstractNum w:abstractNumId="9">
    <w:nsid w:val="799D0247"/>
    <w:multiLevelType w:val="hybridMultilevel"/>
    <w:lvl w:ilvl="0">
      <w:lvlJc w:val="left"/>
      <w:lvlText w:val="(%1)"/>
      <w:numFmt w:val="lowerRoman"/>
      <w:start w:val="1"/>
    </w:lvl>
  </w:abstractNum>
  <w:abstractNum w:abstractNumId="10">
    <w:nsid w:val="6B94764"/>
    <w:multiLevelType w:val="hybridMultilevel"/>
    <w:lvl w:ilvl="0">
      <w:lvlJc w:val="left"/>
      <w:lvlText w:val="(%1)"/>
      <w:numFmt w:val="decimal"/>
      <w:start w:val="2"/>
    </w:lvl>
    <w:lvl w:ilvl="1">
      <w:lvlJc w:val="left"/>
      <w:lvlText w:val="(%2)"/>
      <w:numFmt w:val="lowerLetter"/>
      <w:start w:val="1"/>
    </w:lvl>
  </w:abstractNum>
  <w:abstractNum w:abstractNumId="11">
    <w:nsid w:val="42C296B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
    <w:nsid w:val="168E121F"/>
    <w:multiLevelType w:val="hybridMultilevel"/>
    <w:lvl w:ilvl="0">
      <w:lvlJc w:val="left"/>
      <w:lvlText w:val="(%1)"/>
      <w:numFmt w:val="lowerLetter"/>
      <w:start w:val="4"/>
    </w:lvl>
    <w:lvl w:ilvl="1">
      <w:lvlJc w:val="left"/>
      <w:lvlText w:val="(%2)"/>
      <w:numFmt w:val="lowerRoman"/>
      <w:start w:val="1"/>
    </w:lvl>
  </w:abstractNum>
  <w:abstractNum w:abstractNumId="13">
    <w:nsid w:val="1EBA5D23"/>
    <w:multiLevelType w:val="hybridMultilevel"/>
    <w:lvl w:ilvl="0">
      <w:lvlJc w:val="left"/>
      <w:lvlText w:val="(%1)"/>
      <w:numFmt w:val="decimal"/>
      <w:start w:val="23"/>
    </w:lvl>
  </w:abstractNum>
  <w:abstractNum w:abstractNumId="14">
    <w:nsid w:val="661E3F1E"/>
    <w:multiLevelType w:val="hybridMultilevel"/>
    <w:lvl w:ilvl="0">
      <w:lvlJc w:val="left"/>
      <w:lvlText w:val="%1"/>
      <w:numFmt w:val="lowerLetter"/>
      <w:start w:val="1"/>
    </w:lvl>
    <w:lvl w:ilvl="1">
      <w:lvlJc w:val="left"/>
      <w:lvlText w:val="(%2)"/>
      <w:numFmt w:val="decimal"/>
      <w:start w:val="27"/>
    </w:lvl>
  </w:abstractNum>
  <w:abstractNum w:abstractNumId="15">
    <w:nsid w:val="5DC79EA8"/>
    <w:multiLevelType w:val="hybridMultilevel"/>
    <w:lvl w:ilvl="0">
      <w:lvlJc w:val="left"/>
      <w:lvlText w:val="(%1)"/>
      <w:numFmt w:val="lowerLetter"/>
      <w:start w:val="2"/>
    </w:lvl>
    <w:lvl w:ilvl="1">
      <w:lvlJc w:val="left"/>
      <w:lvlText w:val="%2"/>
      <w:numFmt w:val="decimal"/>
      <w:start w:val="1"/>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1)"/>
      <w:numFmt w:val="decimal"/>
      <w:start w:val="2"/>
    </w:lvl>
  </w:abstractNum>
  <w:abstractNum w:abstractNumId="18">
    <w:nsid w:val="51D9C564"/>
    <w:multiLevelType w:val="hybridMultilevel"/>
    <w:lvl w:ilvl="0">
      <w:lvlJc w:val="left"/>
      <w:lvlText w:val="(%1)"/>
      <w:numFmt w:val="decimal"/>
      <w:start w:val="5"/>
    </w:lvl>
  </w:abstractNum>
  <w:abstractNum w:abstractNumId="19">
    <w:nsid w:val="613EFDC5"/>
    <w:multiLevelType w:val="hybridMultilevel"/>
    <w:lvl w:ilvl="0">
      <w:lvlJc w:val="left"/>
      <w:lvlText w:val="(%1)"/>
      <w:numFmt w:val="decimal"/>
      <w:start w:val="6"/>
    </w:lvl>
  </w:abstractNum>
  <w:abstractNum w:abstractNumId="20">
    <w:nsid w:val="BF72B14"/>
    <w:multiLevelType w:val="hybridMultilevel"/>
    <w:lvl w:ilvl="0">
      <w:lvlJc w:val="left"/>
      <w:lvlText w:val="(%1)"/>
      <w:numFmt w:val="decimal"/>
      <w:start w:val="8"/>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1)"/>
      <w:numFmt w:val="decimal"/>
      <w:start w:val="1"/>
    </w:lvl>
  </w:abstractNum>
  <w:abstractNum w:abstractNumId="23">
    <w:nsid w:val="A0382C5"/>
    <w:multiLevelType w:val="hybridMultilevel"/>
    <w:lvl w:ilvl="0">
      <w:lvlJc w:val="left"/>
      <w:lvlText w:val="%1."/>
      <w:numFmt w:val="decimal"/>
      <w:start w:val="1"/>
    </w:lvl>
  </w:abstractNum>
  <w:abstractNum w:abstractNumId="24">
    <w:nsid w:val="8F2B15E"/>
    <w:multiLevelType w:val="hybridMultilevel"/>
    <w:lvl w:ilvl="0">
      <w:lvlJc w:val="left"/>
      <w:lvlText w:val="(%1)"/>
      <w:numFmt w:val="lowerLetter"/>
      <w:start w:val="1"/>
    </w:lvl>
  </w:abstractNum>
  <w:abstractNum w:abstractNumId="25">
    <w:nsid w:val="1A32234B"/>
    <w:multiLevelType w:val="hybridMultilevel"/>
    <w:lvl w:ilvl="0">
      <w:lvlJc w:val="left"/>
      <w:lvlText w:val="(%1)"/>
      <w:numFmt w:val="lowerLetter"/>
      <w:start w:val="2"/>
    </w:lvl>
  </w:abstractNum>
  <w:abstractNum w:abstractNumId="26">
    <w:nsid w:val="3B0FD379"/>
    <w:multiLevelType w:val="hybridMultilevel"/>
    <w:lvl w:ilvl="0">
      <w:lvlJc w:val="left"/>
      <w:lvlText w:val="(%1)"/>
      <w:numFmt w:val="lowerLetter"/>
      <w:start w:val="5"/>
    </w:lvl>
  </w:abstractNum>
  <w:abstractNum w:abstractNumId="27">
    <w:nsid w:val="68EB2F63"/>
    <w:multiLevelType w:val="hybridMultilevel"/>
    <w:lvl w:ilvl="0">
      <w:lvlJc w:val="left"/>
      <w:lvlText w:val="%1."/>
      <w:numFmt w:val="decimal"/>
      <w:start w:val="3"/>
    </w:lvl>
  </w:abstractNum>
  <w:abstractNum w:abstractNumId="28">
    <w:nsid w:val="4962813B"/>
    <w:multiLevelType w:val="hybridMultilevel"/>
    <w:lvl w:ilvl="0">
      <w:lvlJc w:val="left"/>
      <w:lvlText w:val="(%1)"/>
      <w:numFmt w:val="lowerLetter"/>
      <w:start w:val="1"/>
    </w:lvl>
    <w:lvl w:ilvl="1">
      <w:lvlJc w:val="left"/>
      <w:lvlText w:val="(%2)"/>
      <w:numFmt w:val="lowerLetter"/>
      <w:start w:val="2"/>
    </w:lvl>
  </w:abstractNum>
  <w:abstractNum w:abstractNumId="29">
    <w:nsid w:val="60B6DF70"/>
    <w:multiLevelType w:val="hybridMultilevel"/>
    <w:lvl w:ilvl="0">
      <w:lvlJc w:val="left"/>
      <w:lvlText w:val="(%1)"/>
      <w:numFmt w:val="lowerLetter"/>
      <w:start w:val="3"/>
    </w:lvl>
  </w:abstractNum>
  <w:abstractNum w:abstractNumId="30">
    <w:nsid w:val="6A5EE64"/>
    <w:multiLevelType w:val="hybridMultilevel"/>
    <w:lvl w:ilvl="0">
      <w:lvlJc w:val="left"/>
      <w:lvlText w:val="(%1)"/>
      <w:numFmt w:val="lowerRoman"/>
      <w:start w:val="2"/>
    </w:lvl>
  </w:abstractNum>
  <w:abstractNum w:abstractNumId="31">
    <w:nsid w:val="14330624"/>
    <w:multiLevelType w:val="hybridMultilevel"/>
    <w:lvl w:ilvl="0">
      <w:lvlJc w:val="left"/>
      <w:lvlText w:val="(%1)"/>
      <w:numFmt w:val="lowerLetter"/>
      <w:start w:val="1"/>
    </w:lvl>
  </w:abstractNum>
  <w:abstractNum w:abstractNumId="32">
    <w:nsid w:val="7FFFCA11"/>
    <w:multiLevelType w:val="hybridMultilevel"/>
    <w:lvl w:ilvl="0">
      <w:lvlJc w:val="left"/>
      <w:lvlText w:val="(%1)"/>
      <w:numFmt w:val="lowerRoman"/>
      <w:start w:val="2"/>
    </w:lvl>
  </w:abstractNum>
  <w:abstractNum w:abstractNumId="33">
    <w:nsid w:val="1A27709E"/>
    <w:multiLevelType w:val="hybridMultilevel"/>
    <w:lvl w:ilvl="0">
      <w:lvlJc w:val="left"/>
      <w:lvlText w:val="%1."/>
      <w:numFmt w:val="decimal"/>
      <w:start w:val="4"/>
    </w:lvl>
  </w:abstractNum>
  <w:abstractNum w:abstractNumId="34">
    <w:nsid w:val="71EA1109"/>
    <w:multiLevelType w:val="hybridMultilevel"/>
    <w:lvl w:ilvl="0">
      <w:lvlJc w:val="left"/>
      <w:lvlText w:val="(%1)"/>
      <w:numFmt w:val="lowerLetter"/>
      <w:start w:val="1"/>
    </w:lvl>
  </w:abstractNum>
  <w:abstractNum w:abstractNumId="35">
    <w:nsid w:val="100F59DC"/>
    <w:multiLevelType w:val="hybridMultilevel"/>
    <w:lvl w:ilvl="0">
      <w:lvlJc w:val="left"/>
      <w:lvlText w:val="%1."/>
      <w:numFmt w:val="decimal"/>
      <w:start w:val="5"/>
    </w:lvl>
  </w:abstractNum>
  <w:abstractNum w:abstractNumId="36">
    <w:nsid w:val="7FB7E0AA"/>
    <w:multiLevelType w:val="hybridMultilevel"/>
    <w:lvl w:ilvl="0">
      <w:lvlJc w:val="left"/>
      <w:lvlText w:val="%1"/>
      <w:numFmt w:val="lowerLetter"/>
      <w:start w:val="1"/>
    </w:lvl>
    <w:lvl w:ilvl="1">
      <w:lvlJc w:val="left"/>
      <w:lvlText w:val="(%2)"/>
      <w:numFmt w:val="lowerLetter"/>
      <w:start w:val="1"/>
    </w:lvl>
  </w:abstractNum>
  <w:abstractNum w:abstractNumId="37">
    <w:nsid w:val="6EB5BD4"/>
    <w:multiLevelType w:val="hybridMultilevel"/>
    <w:lvl w:ilvl="0">
      <w:lvlJc w:val="left"/>
      <w:lvlText w:val="(%1)"/>
      <w:numFmt w:val="lowerLetter"/>
      <w:start w:val="35"/>
    </w:lvl>
    <w:lvl w:ilvl="1">
      <w:lvlJc w:val="left"/>
      <w:lvlText w:val="(%2)"/>
      <w:numFmt w:val="lowerLetter"/>
      <w:start w:val="3"/>
    </w:lvl>
  </w:abstractNum>
  <w:abstractNum w:abstractNumId="38">
    <w:nsid w:val="6F6DD9AC"/>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lvl w:ilvl="3">
      <w:lvlJc w:val="left"/>
      <w:lvlText w:val="(%4)"/>
      <w:numFmt w:val="lowerLetter"/>
      <w:start w:val="9"/>
    </w:lvl>
  </w:abstractNum>
  <w:abstractNum w:abstractNumId="39">
    <w:nsid w:val="94211F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lvl w:ilvl="3">
      <w:lvlJc w:val="left"/>
      <w:lvlText w:val="(%4)"/>
      <w:numFmt w:val="lowerRoman"/>
      <w:start w:val="3"/>
    </w:lvl>
  </w:abstractNum>
  <w:abstractNum w:abstractNumId="40">
    <w:nsid w:val="885E1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41">
    <w:nsid w:val="7627211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2">
    <w:nsid w:val="4C04A8AF"/>
    <w:multiLevelType w:val="hybridMultilevel"/>
    <w:lvl w:ilvl="0">
      <w:lvlJc w:val="left"/>
      <w:lvlText w:val="(%1)"/>
      <w:numFmt w:val="lowerLetter"/>
      <w:start w:val="3"/>
    </w:lvl>
  </w:abstractNum>
  <w:abstractNum w:abstractNumId="43">
    <w:nsid w:val="1716703B"/>
    <w:multiLevelType w:val="hybridMultilevel"/>
    <w:lvl w:ilvl="0">
      <w:lvlJc w:val="left"/>
      <w:lvlText w:val="%1"/>
      <w:numFmt w:val="decimal"/>
      <w:start w:val="1"/>
    </w:lvl>
    <w:lvl w:ilvl="1">
      <w:lvlJc w:val="left"/>
      <w:lvlText w:val="(%2)"/>
      <w:numFmt w:val="lowerLetter"/>
      <w:start w:val="4"/>
    </w:lvl>
  </w:abstractNum>
  <w:abstractNum w:abstractNumId="44">
    <w:nsid w:val="14E17E33"/>
    <w:multiLevelType w:val="hybridMultilevel"/>
    <w:lvl w:ilvl="0">
      <w:lvlJc w:val="left"/>
      <w:lvlText w:val="%1."/>
      <w:numFmt w:val="decimal"/>
      <w:start w:val="7"/>
    </w:lvl>
    <w:lvl w:ilvl="1">
      <w:lvlJc w:val="left"/>
      <w:lvlText w:val="%2"/>
      <w:numFmt w:val="lowerLetter"/>
      <w:start w:val="1"/>
    </w:lvl>
  </w:abstractNum>
  <w:abstractNum w:abstractNumId="45">
    <w:nsid w:val="3222E7CD"/>
    <w:multiLevelType w:val="hybridMultilevel"/>
    <w:lvl w:ilvl="0">
      <w:lvlJc w:val="left"/>
      <w:lvlText w:val="%1."/>
      <w:numFmt w:val="decimal"/>
      <w:start w:val="9"/>
    </w:lvl>
    <w:lvl w:ilvl="1">
      <w:lvlJc w:val="left"/>
      <w:lvlText w:val="(%2)"/>
      <w:numFmt w:val="lowerLetter"/>
      <w:start w:val="1"/>
    </w:lvl>
  </w:abstractNum>
  <w:abstractNum w:abstractNumId="46">
    <w:nsid w:val="74DE0EE3"/>
    <w:multiLevelType w:val="hybridMultilevel"/>
    <w:lvl w:ilvl="0">
      <w:lvlJc w:val="left"/>
      <w:lvlText w:val="(%1)"/>
      <w:numFmt w:val="lowerLetter"/>
      <w:start w:val="3"/>
    </w:lvl>
  </w:abstractNum>
  <w:abstractNum w:abstractNumId="47">
    <w:nsid w:val="68EBC550"/>
    <w:multiLevelType w:val="hybridMultilevel"/>
    <w:lvl w:ilvl="0">
      <w:lvlJc w:val="left"/>
      <w:lvlText w:val="(%1)"/>
      <w:numFmt w:val="upperLetter"/>
      <w:start w:val="9"/>
    </w:lvl>
    <w:lvl w:ilvl="1">
      <w:lvlJc w:val="left"/>
      <w:lvlText w:val="(%2)"/>
      <w:numFmt w:val="upperLetter"/>
      <w:start w:val="1"/>
    </w:lvl>
  </w:abstractNum>
  <w:abstractNum w:abstractNumId="48">
    <w:nsid w:val="2DF6D648"/>
    <w:multiLevelType w:val="hybridMultilevel"/>
    <w:lvl w:ilvl="0">
      <w:lvlJc w:val="left"/>
      <w:lvlText w:val="%1"/>
      <w:numFmt w:val="decimal"/>
      <w:start w:val="1"/>
    </w:lvl>
    <w:lvl w:ilvl="1">
      <w:lvlJc w:val="left"/>
      <w:lvlText w:val="(%2)"/>
      <w:numFmt w:val="upperLetter"/>
      <w:start w:val="35"/>
    </w:lvl>
  </w:abstractNum>
  <w:abstractNum w:abstractNumId="49">
    <w:nsid w:val="46B7D447"/>
    <w:multiLevelType w:val="hybridMultilevel"/>
    <w:lvl w:ilvl="0">
      <w:lvlJc w:val="left"/>
      <w:lvlText w:val="(%1)"/>
      <w:numFmt w:val="decimal"/>
      <w:start w:val="5"/>
    </w:lvl>
    <w:lvl w:ilvl="1">
      <w:lvlJc w:val="left"/>
      <w:lvlText w:val="%2"/>
      <w:numFmt w:val="upperLetter"/>
      <w:start w:val="1"/>
    </w:lvl>
  </w:abstractNum>
  <w:abstractNum w:abstractNumId="50">
    <w:nsid w:val="4A2AC315"/>
    <w:multiLevelType w:val="hybridMultilevel"/>
    <w:lvl w:ilvl="0">
      <w:lvlJc w:val="left"/>
      <w:lvlText w:val="(%1)"/>
      <w:numFmt w:val="upperLetter"/>
      <w:start w:val="61"/>
    </w:lvl>
  </w:abstractNum>
  <w:abstractNum w:abstractNumId="51">
    <w:nsid w:val="39EE015C"/>
    <w:multiLevelType w:val="hybridMultilevel"/>
    <w:lvl w:ilvl="0">
      <w:lvlJc w:val="left"/>
      <w:lvlText w:val="(%1)"/>
      <w:numFmt w:val="upperLetter"/>
      <w:start w:val="22"/>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lowerLetter"/>
      <w:start w:val="1"/>
    </w:lvl>
  </w:abstractNum>
  <w:abstractNum w:abstractNumId="55">
    <w:nsid w:val="60EF0119"/>
    <w:multiLevelType w:val="hybridMultilevel"/>
    <w:lvl w:ilvl="0">
      <w:lvlJc w:val="left"/>
      <w:lvlText w:val="(%1)"/>
      <w:numFmt w:val="lowerLetter"/>
      <w:start w:val="2"/>
    </w:lvl>
  </w:abstractNum>
  <w:abstractNum w:abstractNumId="56">
    <w:nsid w:val="26F324BA"/>
    <w:multiLevelType w:val="hybridMultilevel"/>
    <w:lvl w:ilvl="0">
      <w:lvlJc w:val="left"/>
      <w:lvlText w:val="(%1)"/>
      <w:numFmt w:val="lowerRoman"/>
      <w:start w:val="1"/>
    </w:lvl>
  </w:abstractNum>
  <w:abstractNum w:abstractNumId="57">
    <w:nsid w:val="7F01579B"/>
    <w:multiLevelType w:val="hybridMultilevel"/>
    <w:lvl w:ilvl="0">
      <w:lvlJc w:val="left"/>
      <w:lvlText w:val="(%1)"/>
      <w:numFmt w:val="lowerLetter"/>
      <w:start w:val="5"/>
    </w:lvl>
  </w:abstractNum>
  <w:abstractNum w:abstractNumId="58">
    <w:nsid w:val="49DA307D"/>
    <w:multiLevelType w:val="hybridMultilevel"/>
    <w:lvl w:ilvl="0">
      <w:lvlJc w:val="left"/>
      <w:lvlText w:val="%1."/>
      <w:numFmt w:val="decimal"/>
      <w:start w:val="3"/>
    </w:lvl>
  </w:abstractNum>
  <w:abstractNum w:abstractNumId="59">
    <w:nsid w:val="7055A5F5"/>
    <w:multiLevelType w:val="hybridMultilevel"/>
    <w:lvl w:ilvl="0">
      <w:lvlJc w:val="left"/>
      <w:lvlText w:val="(%1)"/>
      <w:numFmt w:val="lowerLetter"/>
      <w:start w:val="1"/>
    </w:lvl>
    <w:lvl w:ilvl="1">
      <w:lvlJc w:val="left"/>
      <w:lvlText w:val="(%2)"/>
      <w:numFmt w:val="lowerLetter"/>
      <w:start w:val="2"/>
    </w:lvl>
  </w:abstractNum>
  <w:abstractNum w:abstractNumId="60">
    <w:nsid w:val="5FB8370B"/>
    <w:multiLevelType w:val="hybridMultilevel"/>
    <w:lvl w:ilvl="0">
      <w:lvlJc w:val="left"/>
      <w:lvlText w:val="(%1)"/>
      <w:numFmt w:val="lowerLetter"/>
      <w:start w:val="3"/>
    </w:lvl>
  </w:abstractNum>
  <w:abstractNum w:abstractNumId="61">
    <w:nsid w:val="50801EE1"/>
    <w:multiLevelType w:val="hybridMultilevel"/>
    <w:lvl w:ilvl="0">
      <w:lvlJc w:val="left"/>
      <w:lvlText w:val="(%1)"/>
      <w:numFmt w:val="lowerRoman"/>
      <w:start w:val="2"/>
    </w:lvl>
  </w:abstractNum>
  <w:abstractNum w:abstractNumId="62">
    <w:nsid w:val="488AC1A"/>
    <w:multiLevelType w:val="hybridMultilevel"/>
    <w:lvl w:ilvl="0">
      <w:lvlJc w:val="left"/>
      <w:lvlText w:val="(%1)"/>
      <w:numFmt w:val="lowerLetter"/>
      <w:start w:val="1"/>
    </w:lvl>
    <w:lvl w:ilvl="1">
      <w:lvlJc w:val="left"/>
      <w:lvlText w:val="(%2)"/>
      <w:numFmt w:val="lowerLetter"/>
      <w:start w:val="3"/>
    </w:lvl>
  </w:abstractNum>
  <w:abstractNum w:abstractNumId="63">
    <w:nsid w:val="5FB8011C"/>
    <w:multiLevelType w:val="hybridMultilevel"/>
    <w:lvl w:ilvl="0">
      <w:lvlJc w:val="left"/>
      <w:lvlText w:val="(%1)"/>
      <w:numFmt w:val="lowerRoman"/>
      <w:start w:val="2"/>
    </w:lvl>
  </w:abstractNum>
  <w:abstractNum w:abstractNumId="64">
    <w:nsid w:val="6AA78F7F"/>
    <w:multiLevelType w:val="hybridMultilevel"/>
    <w:lvl w:ilvl="0">
      <w:lvlJc w:val="left"/>
      <w:lvlText w:val="%1."/>
      <w:numFmt w:val="decimal"/>
      <w:start w:val="4"/>
    </w:lvl>
  </w:abstractNum>
  <w:abstractNum w:abstractNumId="65">
    <w:nsid w:val="7672BD23"/>
    <w:multiLevelType w:val="hybridMultilevel"/>
    <w:lvl w:ilvl="0">
      <w:lvlJc w:val="left"/>
      <w:lvlText w:val="(%1)"/>
      <w:numFmt w:val="lowerLetter"/>
      <w:start w:val="1"/>
    </w:lvl>
  </w:abstractNum>
  <w:abstractNum w:abstractNumId="66">
    <w:nsid w:val="6FC75AF8"/>
    <w:multiLevelType w:val="hybridMultilevel"/>
    <w:lvl w:ilvl="0">
      <w:lvlJc w:val="left"/>
      <w:lvlText w:val="%1."/>
      <w:numFmt w:val="decimal"/>
      <w:start w:val="5"/>
    </w:lvl>
  </w:abstractNum>
  <w:abstractNum w:abstractNumId="67">
    <w:nsid w:val="6A5F7029"/>
    <w:multiLevelType w:val="hybridMultilevel"/>
    <w:lvl w:ilvl="0">
      <w:lvlJc w:val="left"/>
      <w:lvlText w:val="%1"/>
      <w:numFmt w:val="lowerLetter"/>
      <w:start w:val="1"/>
    </w:lvl>
    <w:lvl w:ilvl="1">
      <w:lvlJc w:val="left"/>
      <w:lvlText w:val="(%2)"/>
      <w:numFmt w:val="lowerLetter"/>
      <w:start w:val="1"/>
    </w:lvl>
  </w:abstractNum>
  <w:abstractNum w:abstractNumId="68">
    <w:nsid w:val="7D5E18F8"/>
    <w:multiLevelType w:val="hybridMultilevel"/>
    <w:lvl w:ilvl="0">
      <w:lvlJc w:val="left"/>
      <w:lvlText w:val="(%1)"/>
      <w:numFmt w:val="lowerLetter"/>
      <w:start w:val="35"/>
    </w:lvl>
    <w:lvl w:ilvl="1">
      <w:lvlJc w:val="left"/>
      <w:lvlText w:val="(%2)"/>
      <w:numFmt w:val="lowerLetter"/>
      <w:start w:val="3"/>
    </w:lvl>
  </w:abstractNum>
  <w:abstractNum w:abstractNumId="69">
    <w:nsid w:val="5F3534A4"/>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lvl w:ilvl="3">
      <w:lvlJc w:val="left"/>
      <w:lvlText w:val="(%4)"/>
      <w:numFmt w:val="lowerLetter"/>
      <w:start w:val="9"/>
    </w:lvl>
  </w:abstractNum>
  <w:abstractNum w:abstractNumId="70">
    <w:nsid w:val="73A1821B"/>
    <w:multiLevelType w:val="hybridMultilevel"/>
    <w:lvl w:ilvl="0">
      <w:lvlJc w:val="left"/>
      <w:lvlText w:val="(%1)"/>
      <w:numFmt w:val="lowerRoman"/>
      <w:start w:val="2"/>
    </w:lvl>
    <w:lvl w:ilvl="1">
      <w:lvlJc w:val="left"/>
      <w:lvlText w:val="(%2)"/>
      <w:numFmt w:val="lowerRoman"/>
      <w:start w:val="3"/>
    </w:lvl>
  </w:abstractNum>
  <w:abstractNum w:abstractNumId="71">
    <w:nsid w:val="7DE67713"/>
    <w:multiLevelType w:val="hybridMultilevel"/>
    <w:lvl w:ilvl="0">
      <w:lvlJc w:val="left"/>
      <w:lvlText w:val="%1"/>
      <w:numFmt w:val="lowerLetter"/>
      <w:start w:val="1"/>
    </w:lvl>
    <w:lvl w:ilvl="1">
      <w:lvlJc w:val="left"/>
      <w:lvlText w:val="(%2)"/>
      <w:numFmt w:val="lowerLetter"/>
      <w:start w:val="2"/>
    </w:lvl>
  </w:abstractNum>
  <w:abstractNum w:abstractNumId="72">
    <w:nsid w:val="555C55B5"/>
    <w:multiLevelType w:val="hybridMultilevel"/>
    <w:lvl w:ilvl="0">
      <w:lvlJc w:val="left"/>
      <w:lvlText w:val="(%1)"/>
      <w:numFmt w:val="lowerLetter"/>
      <w:start w:val="35"/>
    </w:lvl>
    <w:lvl w:ilvl="1">
      <w:lvlJc w:val="left"/>
      <w:lvlText w:val="%2"/>
      <w:numFmt w:val="lowerLetter"/>
      <w:start w:val="1"/>
    </w:lvl>
  </w:abstractNum>
  <w:abstractNum w:abstractNumId="73">
    <w:nsid w:val="3FA62ACA"/>
    <w:multiLevelType w:val="hybridMultilevel"/>
    <w:lvl w:ilvl="0">
      <w:lvlJc w:val="left"/>
      <w:lvlText w:val="(%1)"/>
      <w:numFmt w:val="lowerLetter"/>
      <w:start w:val="3"/>
    </w:lvl>
  </w:abstractNum>
  <w:abstractNum w:abstractNumId="74">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5">
    <w:nsid w:val="6A3DD3E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76">
    <w:nsid w:val="71C9129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7">
    <w:nsid w:val="9DAF632"/>
    <w:multiLevelType w:val="hybridMultilevel"/>
    <w:lvl w:ilvl="0">
      <w:lvlJc w:val="left"/>
      <w:lvlText w:val="%1."/>
      <w:numFmt w:val="decimal"/>
      <w:start w:val="9"/>
    </w:lvl>
    <w:lvl w:ilvl="1">
      <w:lvlJc w:val="left"/>
      <w:lvlText w:val="(%2)"/>
      <w:numFmt w:val="lowerLetter"/>
      <w:start w:val="1"/>
    </w:lvl>
  </w:abstractNum>
  <w:abstractNum w:abstractNumId="78">
    <w:nsid w:val="53299938"/>
    <w:multiLevelType w:val="hybridMultilevel"/>
    <w:lvl w:ilvl="0">
      <w:lvlJc w:val="left"/>
      <w:lvlText w:val="(%1)"/>
      <w:numFmt w:val="lowerLetter"/>
      <w:start w:val="3"/>
    </w:lvl>
  </w:abstractNum>
  <w:abstractNum w:abstractNumId="79">
    <w:nsid w:val="1FBFE8E0"/>
    <w:multiLevelType w:val="hybridMultilevel"/>
    <w:lvl w:ilvl="0">
      <w:lvlJc w:val="left"/>
      <w:lvlText w:val="(%1)"/>
      <w:numFmt w:val="upperLetter"/>
      <w:start w:val="9"/>
    </w:lvl>
    <w:lvl w:ilvl="1">
      <w:lvlJc w:val="left"/>
      <w:lvlText w:val="(%2)"/>
      <w:numFmt w:val="upperLetter"/>
      <w:start w:val="1"/>
    </w:lvl>
  </w:abstractNum>
  <w:abstractNum w:abstractNumId="80">
    <w:nsid w:val="5092CA79"/>
    <w:multiLevelType w:val="hybridMultilevel"/>
    <w:lvl w:ilvl="0">
      <w:lvlJc w:val="left"/>
      <w:lvlText w:val="%1"/>
      <w:numFmt w:val="decimal"/>
      <w:start w:val="1"/>
    </w:lvl>
    <w:lvl w:ilvl="1">
      <w:lvlJc w:val="left"/>
      <w:lvlText w:val="(%2)"/>
      <w:numFmt w:val="upperLetter"/>
      <w:start w:val="35"/>
    </w:lvl>
  </w:abstractNum>
  <w:abstractNum w:abstractNumId="81">
    <w:nsid w:val="1D545C4D"/>
    <w:multiLevelType w:val="hybridMultilevel"/>
    <w:lvl w:ilvl="0">
      <w:lvlJc w:val="left"/>
      <w:lvlText w:val="(%1)"/>
      <w:numFmt w:val="decimal"/>
      <w:start w:val="5"/>
    </w:lvl>
    <w:lvl w:ilvl="1">
      <w:lvlJc w:val="left"/>
      <w:lvlText w:val="%2"/>
      <w:numFmt w:val="upperLetter"/>
      <w:start w:val="1"/>
    </w:lvl>
  </w:abstractNum>
  <w:abstractNum w:abstractNumId="82">
    <w:nsid w:val="59ADEA3D"/>
    <w:multiLevelType w:val="hybridMultilevel"/>
    <w:lvl w:ilvl="0">
      <w:lvlJc w:val="left"/>
      <w:lvlText w:val="(%1)"/>
      <w:numFmt w:val="upperLetter"/>
      <w:start w:val="61"/>
    </w:lvl>
  </w:abstractNum>
  <w:abstractNum w:abstractNumId="83">
    <w:nsid w:val="288F1A34"/>
    <w:multiLevelType w:val="hybridMultilevel"/>
    <w:lvl w:ilvl="0">
      <w:lvlJc w:val="left"/>
      <w:lvlText w:val="(%1)"/>
      <w:numFmt w:val="upperLetter"/>
      <w:start w:val="22"/>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1."/>
      <w:numFmt w:val="decimal"/>
      <w:start w:val="1"/>
    </w:lvl>
    <w:lvl w:ilvl="1">
      <w:lvlJc w:val="left"/>
      <w:lvlText w:val="(%2)"/>
      <w:numFmt w:val="lowerLetter"/>
      <w:start w:val="1"/>
    </w:lvl>
  </w:abstractNum>
  <w:abstractNum w:abstractNumId="86">
    <w:nsid w:val="97E1B4E"/>
    <w:multiLevelType w:val="hybridMultilevel"/>
    <w:lvl w:ilvl="0">
      <w:lvlJc w:val="left"/>
      <w:lvlText w:val="(%1)"/>
      <w:numFmt w:val="lowerRoman"/>
      <w:start w:val="2"/>
    </w:lvl>
  </w:abstractNum>
  <w:abstractNum w:abstractNumId="87">
    <w:nsid w:val="51088277"/>
    <w:multiLevelType w:val="hybridMultilevel"/>
    <w:lvl w:ilvl="0">
      <w:lvlJc w:val="left"/>
      <w:lvlText w:val="(%1)"/>
      <w:numFmt w:val="lowerRoman"/>
      <w:start w:val="4"/>
    </w:lvl>
  </w:abstractNum>
  <w:abstractNum w:abstractNumId="88">
    <w:nsid w:val="1CA0C5FA"/>
    <w:multiLevelType w:val="hybridMultilevel"/>
    <w:lvl w:ilvl="0">
      <w:lvlJc w:val="left"/>
      <w:lvlText w:val="(%1)"/>
      <w:numFmt w:val="lowerLetter"/>
      <w:start w:val="2"/>
    </w:lvl>
  </w:abstractNum>
  <w:abstractNum w:abstractNumId="89">
    <w:nsid w:val="53584BCB"/>
    <w:multiLevelType w:val="hybridMultilevel"/>
    <w:lvl w:ilvl="0">
      <w:lvlJc w:val="left"/>
      <w:lvlText w:val="(%1)"/>
      <w:numFmt w:val="lowerLetter"/>
      <w:start w:val="3"/>
    </w:lvl>
  </w:abstractNum>
  <w:abstractNum w:abstractNumId="90">
    <w:nsid w:val="415E286C"/>
    <w:multiLevelType w:val="hybridMultilevel"/>
    <w:lvl w:ilvl="0">
      <w:lvlJc w:val="left"/>
      <w:lvlText w:val="(%1)"/>
      <w:numFmt w:val="lowerLetter"/>
      <w:start w:val="4"/>
    </w:lvl>
  </w:abstractNum>
  <w:abstractNum w:abstractNumId="91">
    <w:nsid w:val="7C58FD05"/>
    <w:multiLevelType w:val="hybridMultilevel"/>
    <w:lvl w:ilvl="0">
      <w:lvlJc w:val="left"/>
      <w:lvlText w:val="(%1)"/>
      <w:numFmt w:val="lowerRoman"/>
      <w:start w:val="1"/>
    </w:lvl>
    <w:lvl w:ilvl="1">
      <w:lvlJc w:val="left"/>
      <w:lvlText w:val="(%2)"/>
      <w:numFmt w:val="upperLetter"/>
      <w:start w:val="1"/>
    </w:lvl>
  </w:abstractNum>
  <w:abstractNum w:abstractNumId="92">
    <w:nsid w:val="23D86AAC"/>
    <w:multiLevelType w:val="hybridMultilevel"/>
    <w:lvl w:ilvl="0">
      <w:lvlJc w:val="left"/>
      <w:lvlText w:val="(%1)"/>
      <w:numFmt w:val="lowerLetter"/>
      <w:start w:val="5"/>
    </w:lvl>
  </w:abstractNum>
  <w:abstractNum w:abstractNumId="93">
    <w:nsid w:val="45E6D486"/>
    <w:multiLevelType w:val="hybridMultilevel"/>
    <w:lvl w:ilvl="0">
      <w:lvlJc w:val="left"/>
      <w:lvlText w:val="(%1)"/>
      <w:numFmt w:val="lowerLetter"/>
      <w:start w:val="6"/>
    </w:lvl>
  </w:abstractNum>
  <w:abstractNum w:abstractNumId="94">
    <w:nsid w:val="5C10FE21"/>
    <w:multiLevelType w:val="hybridMultilevel"/>
    <w:lvl w:ilvl="0">
      <w:lvlJc w:val="left"/>
      <w:lvlText w:val="(%1)"/>
      <w:numFmt w:val="lowerLetter"/>
      <w:start w:val="7"/>
    </w:lvl>
  </w:abstractNum>
  <w:abstractNum w:abstractNumId="95">
    <w:nsid w:val="E7FFA2B"/>
    <w:multiLevelType w:val="hybridMultilevel"/>
    <w:lvl w:ilvl="0">
      <w:lvlJc w:val="left"/>
      <w:lvlText w:val="(%1)"/>
      <w:numFmt w:val="lowerLetter"/>
      <w:start w:val="8"/>
    </w:lvl>
  </w:abstractNum>
  <w:abstractNum w:abstractNumId="96">
    <w:nsid w:val="3C5991AA"/>
    <w:multiLevelType w:val="hybridMultilevel"/>
    <w:lvl w:ilvl="0">
      <w:lvlJc w:val="left"/>
      <w:lvlText w:val="(%1)"/>
      <w:numFmt w:val="lowerRoman"/>
      <w:start w:val="1"/>
    </w:lvl>
  </w:abstractNum>
  <w:abstractNum w:abstractNumId="97">
    <w:nsid w:val="4BD8591A"/>
    <w:multiLevelType w:val="hybridMultilevel"/>
    <w:lvl w:ilvl="0">
      <w:lvlJc w:val="left"/>
      <w:lvlText w:val="(%1)"/>
      <w:numFmt w:val="lowerLetter"/>
      <w:start w:val="10"/>
    </w:lvl>
  </w:abstractNum>
  <w:abstractNum w:abstractNumId="98">
    <w:nsid w:val="78DF6A55"/>
    <w:multiLevelType w:val="hybridMultilevel"/>
    <w:lvl w:ilvl="0">
      <w:lvlJc w:val="left"/>
      <w:lvlText w:val="(%1)"/>
      <w:numFmt w:val="lowerLetter"/>
      <w:start w:val="11"/>
    </w:lvl>
  </w:abstractNum>
  <w:abstractNum w:abstractNumId="99">
    <w:nsid w:val="39B7AAA2"/>
    <w:multiLevelType w:val="hybridMultilevel"/>
    <w:lvl w:ilvl="0">
      <w:lvlJc w:val="left"/>
      <w:lvlText w:val="(%1)"/>
      <w:numFmt w:val="lowerLetter"/>
      <w:start w:val="2"/>
    </w:lvl>
  </w:abstractNum>
  <w:abstractNum w:abstractNumId="100">
    <w:nsid w:val="2B0D8DBE"/>
    <w:multiLevelType w:val="hybridMultilevel"/>
    <w:lvl w:ilvl="0">
      <w:lvlJc w:val="left"/>
      <w:lvlText w:val="(%1)"/>
      <w:numFmt w:val="lowerLetter"/>
      <w:start w:val="10"/>
    </w:lvl>
  </w:abstractNum>
  <w:abstractNum w:abstractNumId="101">
    <w:nsid w:val="6C80EC70"/>
    <w:multiLevelType w:val="hybridMultilevel"/>
    <w:lvl w:ilvl="0">
      <w:lvlJc w:val="left"/>
      <w:lvlText w:val="%1"/>
      <w:numFmt w:val="decimal"/>
      <w:start w:val="1"/>
    </w:lvl>
    <w:lvl w:ilvl="1">
      <w:lvlJc w:val="left"/>
      <w:lvlText w:val="(%2)"/>
      <w:numFmt w:val="lowerLetter"/>
      <w:start w:val="12"/>
    </w:lvl>
  </w:abstractNum>
  <w:abstractNum w:abstractNumId="102">
    <w:nsid w:val="379E21B5"/>
    <w:multiLevelType w:val="hybridMultilevel"/>
    <w:lvl w:ilvl="0">
      <w:lvlJc w:val="left"/>
      <w:lvlText w:val="%1."/>
      <w:numFmt w:val="decimal"/>
      <w:start w:val="2"/>
    </w:lvl>
    <w:lvl w:ilvl="1">
      <w:lvlJc w:val="left"/>
      <w:lvlText w:val="%2"/>
      <w:numFmt w:val="lowerLetter"/>
      <w:start w:val="1"/>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lowerLetter"/>
      <w:start w:val="2"/>
    </w:lvl>
  </w:abstractNum>
  <w:abstractNum w:abstractNumId="105">
    <w:nsid w:val="4C9B0904"/>
    <w:multiLevelType w:val="hybridMultilevel"/>
    <w:lvl w:ilvl="0">
      <w:lvlJc w:val="left"/>
      <w:lvlText w:val="(%1)"/>
      <w:numFmt w:val="lowerLetter"/>
      <w:start w:val="3"/>
    </w:lvl>
  </w:abstractNum>
  <w:abstractNum w:abstractNumId="106">
    <w:nsid w:val="6AA7B75C"/>
    <w:multiLevelType w:val="hybridMultilevel"/>
    <w:lvl w:ilvl="0">
      <w:lvlJc w:val="left"/>
      <w:lvlText w:val="(%1)"/>
      <w:numFmt w:val="lowerLetter"/>
      <w:start w:val="4"/>
    </w:lvl>
    <w:lvl w:ilvl="1">
      <w:lvlJc w:val="left"/>
      <w:lvlText w:val="(%2)"/>
      <w:numFmt w:val="lowerRoman"/>
      <w:start w:val="1"/>
    </w:lvl>
  </w:abstractNum>
  <w:abstractNum w:abstractNumId="107">
    <w:nsid w:val="1DF029D3"/>
    <w:multiLevelType w:val="hybridMultilevel"/>
    <w:lvl w:ilvl="0">
      <w:lvlJc w:val="left"/>
      <w:lvlText w:val="(%1)"/>
      <w:numFmt w:val="lowerLetter"/>
      <w:start w:val="5"/>
    </w:lvl>
  </w:abstractNum>
  <w:abstractNum w:abstractNumId="108">
    <w:nsid w:val="5675FF36"/>
    <w:multiLevelType w:val="hybridMultilevel"/>
    <w:lvl w:ilvl="0">
      <w:lvlJc w:val="left"/>
      <w:lvlText w:val="(%1)"/>
      <w:numFmt w:val="lowerLetter"/>
      <w:start w:val="3"/>
    </w:lvl>
  </w:abstractNum>
  <w:abstractNum w:abstractNumId="109">
    <w:nsid w:val="3DD15094"/>
    <w:multiLevelType w:val="hybridMultilevel"/>
    <w:lvl w:ilvl="0">
      <w:lvlJc w:val="left"/>
      <w:lvlText w:val="(%1)"/>
      <w:numFmt w:val="lowerLetter"/>
      <w:start w:val="6"/>
    </w:lvl>
    <w:lvl w:ilvl="1">
      <w:lvlJc w:val="left"/>
      <w:lvlText w:val="(%2)"/>
      <w:numFmt w:val="lowerLetter"/>
      <w:start w:val="9"/>
    </w:lvl>
  </w:abstractNum>
  <w:abstractNum w:abstractNumId="110">
    <w:nsid w:val="3DB012B3"/>
    <w:multiLevelType w:val="hybridMultilevel"/>
    <w:lvl w:ilvl="0">
      <w:lvlJc w:val="left"/>
      <w:lvlText w:val="(%1)"/>
      <w:numFmt w:val="lowerRoman"/>
      <w:start w:val="2"/>
    </w:lvl>
  </w:abstractNum>
  <w:abstractNum w:abstractNumId="111">
    <w:nsid w:val="2708C9AF"/>
    <w:multiLevelType w:val="hybridMultilevel"/>
    <w:lvl w:ilvl="0">
      <w:lvlJc w:val="left"/>
      <w:lvlText w:val="(%1)"/>
      <w:numFmt w:val="lowerLetter"/>
      <w:start w:val="7"/>
    </w:lvl>
    <w:lvl w:ilvl="1">
      <w:lvlJc w:val="left"/>
      <w:lvlText w:val="(%2)"/>
      <w:numFmt w:val="lowerRoman"/>
      <w:start w:val="1"/>
    </w:lvl>
  </w:abstractNum>
  <w:abstractNum w:abstractNumId="112">
    <w:nsid w:val="5B25ACE2"/>
    <w:multiLevelType w:val="hybridMultilevel"/>
    <w:lvl w:ilvl="0">
      <w:lvlJc w:val="left"/>
      <w:lvlText w:val="(%1)"/>
      <w:numFmt w:val="lowerLetter"/>
      <w:start w:val="9"/>
    </w:lvl>
  </w:abstractNum>
  <w:abstractNum w:abstractNumId="113">
    <w:nsid w:val="175DFCF0"/>
    <w:multiLevelType w:val="hybridMultilevel"/>
    <w:lvl w:ilvl="0">
      <w:lvlJc w:val="left"/>
      <w:lvlText w:val="(%1)"/>
      <w:numFmt w:val="lowerLetter"/>
      <w:start w:val="12"/>
    </w:lvl>
  </w:abstractNum>
  <w:abstractNum w:abstractNumId="114">
    <w:nsid w:val="4F97E3E4"/>
    <w:multiLevelType w:val="hybridMultilevel"/>
    <w:lvl w:ilvl="0">
      <w:lvlJc w:val="left"/>
      <w:lvlText w:val="(%1)"/>
      <w:numFmt w:val="lowerLetter"/>
      <w:start w:val="13"/>
    </w:lvl>
  </w:abstractNum>
  <w:abstractNum w:abstractNumId="115">
    <w:nsid w:val="53B0A9E"/>
    <w:multiLevelType w:val="hybridMultilevel"/>
    <w:lvl w:ilvl="0">
      <w:lvlJc w:val="left"/>
      <w:lvlText w:val="%1."/>
      <w:numFmt w:val="decimal"/>
      <w:start w:val="13"/>
    </w:lvl>
  </w:abstractNum>
  <w:abstractNum w:abstractNumId="116">
    <w:nsid w:val="34FD6B4F"/>
    <w:multiLevelType w:val="hybridMultilevel"/>
    <w:lvl w:ilvl="0">
      <w:lvlJc w:val="left"/>
      <w:lvlText w:val="%1."/>
      <w:numFmt w:val="decimal"/>
      <w:start w:val="3"/>
    </w:lvl>
    <w:lvl w:ilvl="1">
      <w:lvlJc w:val="left"/>
      <w:lvlText w:val="(%2)"/>
      <w:numFmt w:val="lowerLetter"/>
      <w:start w:val="1"/>
    </w:lvl>
  </w:abstractNum>
  <w:abstractNum w:abstractNumId="117">
    <w:nsid w:val="5915FF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8">
    <w:nsid w:val="56438D1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9">
    <w:nsid w:val="519E3149"/>
    <w:multiLevelType w:val="hybridMultilevel"/>
    <w:lvl w:ilvl="0">
      <w:lvlJc w:val="left"/>
      <w:lvlText w:val="%1."/>
      <w:numFmt w:val="decimal"/>
      <w:start w:val="6"/>
    </w:lvl>
  </w:abstractNum>
  <w:abstractNum w:abstractNumId="120">
    <w:nsid w:val="2C6E4AFD"/>
    <w:multiLevelType w:val="hybridMultilevel"/>
    <w:lvl w:ilvl="0">
      <w:lvlJc w:val="left"/>
      <w:lvlText w:val="%1"/>
      <w:numFmt w:val="lowerRoman"/>
      <w:start w:val="1"/>
    </w:lvl>
    <w:lvl w:ilvl="1">
      <w:lvlJc w:val="left"/>
      <w:lvlText w:val="%2."/>
      <w:numFmt w:val="decimal"/>
      <w:start w:val="7"/>
    </w:lvl>
  </w:abstractNum>
  <w:abstractNum w:abstractNumId="121">
    <w:nsid w:val="17A1B582"/>
    <w:multiLevelType w:val="hybridMultilevel"/>
    <w:lvl w:ilvl="0">
      <w:lvlJc w:val="left"/>
      <w:lvlText w:val="(%1)"/>
      <w:numFmt w:val="lowerRoman"/>
      <w:start w:val="2"/>
    </w:lvl>
    <w:lvl w:ilvl="1">
      <w:lvlJc w:val="left"/>
      <w:lvlText w:val="%2."/>
      <w:numFmt w:val="decimal"/>
      <w:start w:val="10"/>
    </w:lvl>
  </w:abstractNum>
  <w:abstractNum w:abstractNumId="122">
    <w:nsid w:val="4DF72E4E"/>
    <w:multiLevelType w:val="hybridMultilevel"/>
    <w:lvl w:ilvl="0">
      <w:lvlJc w:val="left"/>
      <w:lvlText w:val="(%1)"/>
      <w:numFmt w:val="lowerRoman"/>
      <w:start w:val="1"/>
    </w:lvl>
    <w:lvl w:ilvl="1">
      <w:lvlJc w:val="left"/>
      <w:lvlText w:val="%2."/>
      <w:numFmt w:val="decimal"/>
      <w:start w:val="13"/>
    </w:lvl>
  </w:abstractNum>
  <w:abstractNum w:abstractNumId="123">
    <w:nsid w:val="5046B5A9"/>
    <w:multiLevelType w:val="hybridMultilevel"/>
    <w:lvl w:ilvl="0">
      <w:lvlJc w:val="left"/>
      <w:lvlText w:val="%1"/>
      <w:numFmt w:val="lowerRoman"/>
      <w:start w:val="1"/>
    </w:lvl>
    <w:lvl w:ilvl="1">
      <w:lvlJc w:val="left"/>
      <w:lvlText w:val="(%2)"/>
      <w:numFmt w:val="lowerLetter"/>
      <w:start w:val="1"/>
    </w:lvl>
  </w:abstractNum>
  <w:abstractNum w:abstractNumId="124">
    <w:nsid w:val="5D888A08"/>
    <w:multiLevelType w:val="hybridMultilevel"/>
    <w:lvl w:ilvl="0">
      <w:lvlJc w:val="left"/>
      <w:lvlText w:val="(%1)"/>
      <w:numFmt w:val="lowerRoman"/>
      <w:start w:val="4"/>
    </w:lvl>
    <w:lvl w:ilvl="1">
      <w:lvlJc w:val="left"/>
      <w:lvlText w:val="(%2)"/>
      <w:numFmt w:val="lowerLetter"/>
      <w:start w:val="3"/>
    </w:lvl>
  </w:abstractNum>
  <w:abstractNum w:abstractNumId="125">
    <w:nsid w:val="2A082C70"/>
    <w:multiLevelType w:val="hybridMultilevel"/>
    <w:lvl w:ilvl="0">
      <w:lvlJc w:val="left"/>
      <w:lvlText w:val="%1"/>
      <w:numFmt w:val="lowerRoman"/>
      <w:start w:val="1"/>
    </w:lvl>
    <w:lvl w:ilvl="1">
      <w:lvlJc w:val="left"/>
      <w:lvlText w:val="(%2)"/>
      <w:numFmt w:val="lowerLetter"/>
      <w:start w:val="1"/>
    </w:lvl>
  </w:abstractNum>
  <w:abstractNum w:abstractNumId="126">
    <w:nsid w:val="5EC6AFD4"/>
    <w:multiLevelType w:val="hybridMultilevel"/>
    <w:lvl w:ilvl="0">
      <w:lvlJc w:val="left"/>
      <w:lvlText w:val="(%1)"/>
      <w:numFmt w:val="lowerRoman"/>
      <w:start w:val="4"/>
    </w:lvl>
    <w:lvl w:ilvl="1">
      <w:lvlJc w:val="left"/>
      <w:lvlText w:val="(%2)"/>
      <w:numFmt w:val="lowerLetter"/>
      <w:start w:val="3"/>
    </w:lvl>
  </w:abstractNum>
  <w:abstractNum w:abstractNumId="127">
    <w:nsid w:val="19E21BB2"/>
    <w:multiLevelType w:val="hybridMultilevel"/>
    <w:lvl w:ilvl="0">
      <w:lvlJc w:val="left"/>
      <w:lvlText w:val="%1"/>
      <w:numFmt w:val="lowerRoman"/>
      <w:start w:val="1"/>
    </w:lvl>
    <w:lvl w:ilvl="1">
      <w:lvlJc w:val="left"/>
      <w:lvlText w:val="(%2)"/>
      <w:numFmt w:val="lowerLetter"/>
      <w:start w:val="1"/>
    </w:lvl>
  </w:abstractNum>
  <w:abstractNum w:abstractNumId="128">
    <w:nsid w:val="75E0858A"/>
    <w:multiLevelType w:val="hybridMultilevel"/>
    <w:lvl w:ilvl="0">
      <w:lvlJc w:val="left"/>
      <w:lvlText w:val="(%1)"/>
      <w:numFmt w:val="lowerRoman"/>
      <w:start w:val="4"/>
    </w:lvl>
    <w:lvl w:ilvl="1">
      <w:lvlJc w:val="left"/>
      <w:lvlText w:val="(%2)"/>
      <w:numFmt w:val="lowerLetter"/>
      <w:start w:val="3"/>
    </w:lvl>
  </w:abstractNum>
  <w:abstractNum w:abstractNumId="129">
    <w:nsid w:val="57A61A29"/>
    <w:multiLevelType w:val="hybridMultilevel"/>
    <w:lvl w:ilvl="0">
      <w:lvlJc w:val="left"/>
      <w:lvlText w:val="%1"/>
      <w:numFmt w:val="lowerRoman"/>
      <w:start w:val="1"/>
    </w:lvl>
    <w:lvl w:ilvl="1">
      <w:lvlJc w:val="left"/>
      <w:lvlText w:val="(%2)"/>
      <w:numFmt w:val="lowerLetter"/>
      <w:start w:val="1"/>
    </w:lvl>
  </w:abstractNum>
  <w:abstractNum w:abstractNumId="130">
    <w:nsid w:val="5399C654"/>
    <w:multiLevelType w:val="hybridMultilevel"/>
    <w:lvl w:ilvl="0">
      <w:lvlJc w:val="left"/>
      <w:lvlText w:val="(%1)"/>
      <w:numFmt w:val="lowerRoman"/>
      <w:start w:val="4"/>
    </w:lvl>
    <w:lvl w:ilvl="1">
      <w:lvlJc w:val="left"/>
      <w:lvlText w:val="(%2)"/>
      <w:numFmt w:val="lowerLetter"/>
      <w:start w:val="3"/>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2019-12-13T16:32:32Z</dcterms:created>
  <dcterms:modified xsi:type="dcterms:W3CDTF">2019-12-13T16:32:32Z</dcterms:modified>
</cp:coreProperties>
</file>