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191"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32" w:lineRule="exact"/>
        <w:rPr>
          <w:sz w:val="24"/>
          <w:szCs w:val="24"/>
          <w:color w:val="auto"/>
        </w:rPr>
      </w:pPr>
    </w:p>
    <w:p>
      <w:pPr>
        <w:ind w:left="1540" w:hanging="850"/>
        <w:spacing w:after="0"/>
        <w:tabs>
          <w:tab w:leader="none" w:pos="1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32" w:lineRule="exact"/>
        <w:rPr>
          <w:sz w:val="24"/>
          <w:szCs w:val="24"/>
          <w:color w:val="auto"/>
        </w:rPr>
      </w:pPr>
    </w:p>
    <w:p>
      <w:pPr>
        <w:ind w:left="1540"/>
        <w:spacing w:after="0"/>
        <w:tabs>
          <w:tab w:leader="none" w:pos="4620" w:val="left"/>
        </w:tabs>
        <w:rPr>
          <w:sz w:val="20"/>
          <w:szCs w:val="20"/>
          <w:color w:val="auto"/>
        </w:rPr>
      </w:pPr>
      <w:r>
        <w:rPr>
          <w:rFonts w:ascii="Arial" w:cs="Arial" w:eastAsia="Arial" w:hAnsi="Arial"/>
          <w:sz w:val="16"/>
          <w:szCs w:val="16"/>
          <w:color w:val="auto"/>
        </w:rPr>
        <w:t>For the fiscal year ended</w:t>
      </w:r>
      <w:r>
        <w:rPr>
          <w:sz w:val="20"/>
          <w:szCs w:val="20"/>
          <w:color w:val="auto"/>
        </w:rPr>
        <w:tab/>
      </w:r>
      <w:r>
        <w:rPr>
          <w:rFonts w:ascii="Arial" w:cs="Arial" w:eastAsia="Arial" w:hAnsi="Arial"/>
          <w:sz w:val="16"/>
          <w:szCs w:val="16"/>
          <w:color w:val="auto"/>
        </w:rPr>
        <w:t>December 31, 2022</w:t>
      </w:r>
    </w:p>
    <w:p>
      <w:pPr>
        <w:spacing w:after="0" w:line="32" w:lineRule="exact"/>
        <w:rPr>
          <w:sz w:val="24"/>
          <w:szCs w:val="24"/>
          <w:color w:val="auto"/>
        </w:rPr>
      </w:pPr>
    </w:p>
    <w:p>
      <w:pPr>
        <w:ind w:left="4640"/>
        <w:spacing w:after="0"/>
        <w:rPr>
          <w:sz w:val="20"/>
          <w:szCs w:val="20"/>
          <w:color w:val="auto"/>
        </w:rPr>
      </w:pPr>
      <w:r>
        <w:rPr>
          <w:rFonts w:ascii="Arial" w:cs="Arial" w:eastAsia="Arial" w:hAnsi="Arial"/>
          <w:sz w:val="16"/>
          <w:szCs w:val="16"/>
          <w:color w:val="auto"/>
        </w:rPr>
        <w:t>OR</w:t>
      </w:r>
    </w:p>
    <w:p>
      <w:pPr>
        <w:spacing w:after="0" w:line="32" w:lineRule="exact"/>
        <w:rPr>
          <w:sz w:val="24"/>
          <w:szCs w:val="24"/>
          <w:color w:val="auto"/>
        </w:rPr>
      </w:pPr>
    </w:p>
    <w:p>
      <w:pPr>
        <w:ind w:left="1540" w:hanging="850"/>
        <w:spacing w:after="0"/>
        <w:tabs>
          <w:tab w:leader="none" w:pos="15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32" w:lineRule="exact"/>
        <w:rPr>
          <w:sz w:val="24"/>
          <w:szCs w:val="24"/>
          <w:color w:val="auto"/>
        </w:rPr>
      </w:pPr>
    </w:p>
    <w:p>
      <w:pPr>
        <w:ind w:left="1540"/>
        <w:spacing w:after="0"/>
        <w:tabs>
          <w:tab w:leader="none" w:pos="3820" w:val="left"/>
        </w:tabs>
        <w:rPr>
          <w:sz w:val="20"/>
          <w:szCs w:val="20"/>
          <w:color w:val="auto"/>
        </w:rPr>
      </w:pPr>
      <w:r>
        <w:rPr>
          <w:rFonts w:ascii="Arial" w:cs="Arial" w:eastAsia="Arial" w:hAnsi="Arial"/>
          <w:sz w:val="16"/>
          <w:szCs w:val="16"/>
          <w:color w:val="auto"/>
        </w:rPr>
        <w:t>For the transition period from</w:t>
        <w:tab/>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2326005</wp:posOffset>
            </wp:positionH>
            <wp:positionV relativeFrom="paragraph">
              <wp:posOffset>-14605</wp:posOffset>
            </wp:positionV>
            <wp:extent cx="85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2554605</wp:posOffset>
            </wp:positionH>
            <wp:positionV relativeFrom="paragraph">
              <wp:posOffset>-14605</wp:posOffset>
            </wp:positionV>
            <wp:extent cx="85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 w:lineRule="exact"/>
        <w:rPr>
          <w:sz w:val="24"/>
          <w:szCs w:val="24"/>
          <w:color w:val="auto"/>
        </w:rPr>
      </w:pPr>
    </w:p>
    <w:p>
      <w:pPr>
        <w:ind w:left="2420"/>
        <w:spacing w:after="0"/>
        <w:rPr>
          <w:sz w:val="20"/>
          <w:szCs w:val="20"/>
          <w:color w:val="auto"/>
        </w:rPr>
      </w:pPr>
      <w:r>
        <w:rPr>
          <w:rFonts w:ascii="Arial" w:cs="Arial" w:eastAsia="Arial" w:hAnsi="Arial"/>
          <w:sz w:val="16"/>
          <w:szCs w:val="16"/>
          <w:color w:val="auto"/>
        </w:rPr>
        <w:t>COMMISSION FILE NUMBER 001-09533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2439670</wp:posOffset>
            </wp:positionH>
            <wp:positionV relativeFrom="paragraph">
              <wp:posOffset>79375</wp:posOffset>
            </wp:positionV>
            <wp:extent cx="2263140" cy="1139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1139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WORLD FUEL SERVICES CORPORATION</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247" w:right="339" w:bottom="1440" w:gutter="0" w:footer="0" w:header="0"/>
        </w:sectPr>
      </w:pPr>
    </w:p>
    <w:p>
      <w:pPr>
        <w:spacing w:after="0" w:line="129" w:lineRule="exact"/>
        <w:rPr>
          <w:sz w:val="24"/>
          <w:szCs w:val="24"/>
          <w:color w:val="auto"/>
        </w:rPr>
      </w:pPr>
    </w:p>
    <w:p>
      <w:pPr>
        <w:jc w:val="center"/>
        <w:ind w:left="140"/>
        <w:spacing w:after="0"/>
        <w:rPr>
          <w:sz w:val="20"/>
          <w:szCs w:val="20"/>
          <w:color w:val="auto"/>
        </w:rPr>
      </w:pPr>
      <w:r>
        <w:rPr>
          <w:rFonts w:ascii="Arial" w:cs="Arial" w:eastAsia="Arial" w:hAnsi="Arial"/>
          <w:sz w:val="18"/>
          <w:szCs w:val="18"/>
          <w:b w:val="1"/>
          <w:bCs w:val="1"/>
          <w:color w:val="auto"/>
        </w:rPr>
        <w:t>Florida</w:t>
      </w:r>
    </w:p>
    <w:p>
      <w:pPr>
        <w:spacing w:after="0" w:line="45" w:lineRule="exact"/>
        <w:rPr>
          <w:sz w:val="24"/>
          <w:szCs w:val="24"/>
          <w:color w:val="auto"/>
        </w:rPr>
      </w:pPr>
    </w:p>
    <w:p>
      <w:pPr>
        <w:jc w:val="both"/>
        <w:ind w:left="300" w:right="160" w:firstLine="45"/>
        <w:spacing w:after="0" w:line="241" w:lineRule="auto"/>
        <w:rPr>
          <w:sz w:val="20"/>
          <w:szCs w:val="20"/>
          <w:color w:val="auto"/>
        </w:rPr>
      </w:pPr>
      <w:r>
        <w:rPr>
          <w:rFonts w:ascii="Arial" w:cs="Arial" w:eastAsia="Arial" w:hAnsi="Arial"/>
          <w:sz w:val="17"/>
          <w:szCs w:val="17"/>
          <w:color w:val="auto"/>
        </w:rPr>
        <w:t>(State or other jurisdiction of 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760"/>
        <w:spacing w:after="0"/>
        <w:rPr>
          <w:sz w:val="20"/>
          <w:szCs w:val="20"/>
          <w:color w:val="auto"/>
        </w:rPr>
      </w:pPr>
      <w:r>
        <w:rPr>
          <w:rFonts w:ascii="Arial" w:cs="Arial" w:eastAsia="Arial" w:hAnsi="Arial"/>
          <w:sz w:val="18"/>
          <w:szCs w:val="18"/>
          <w:u w:val="single" w:color="auto"/>
          <w:color w:val="auto"/>
        </w:rPr>
        <w:t>Title of each class</w:t>
      </w:r>
    </w:p>
    <w:p>
      <w:pPr>
        <w:ind w:left="760"/>
        <w:spacing w:after="0" w:line="229" w:lineRule="auto"/>
        <w:rPr>
          <w:sz w:val="20"/>
          <w:szCs w:val="20"/>
          <w:color w:val="auto"/>
        </w:rPr>
      </w:pPr>
      <w:r>
        <w:rPr>
          <w:rFonts w:ascii="Arial" w:cs="Arial" w:eastAsia="Arial" w:hAnsi="Arial"/>
          <w:sz w:val="18"/>
          <w:szCs w:val="18"/>
          <w:b w:val="1"/>
          <w:bCs w:val="1"/>
          <w:color w:val="auto"/>
        </w:rPr>
        <w:t>Common Stock,</w:t>
      </w:r>
    </w:p>
    <w:p>
      <w:pPr>
        <w:spacing w:after="0" w:line="1" w:lineRule="exact"/>
        <w:rPr>
          <w:sz w:val="24"/>
          <w:szCs w:val="24"/>
          <w:color w:val="auto"/>
        </w:rPr>
      </w:pPr>
    </w:p>
    <w:p>
      <w:pPr>
        <w:ind w:left="840"/>
        <w:spacing w:after="0"/>
        <w:rPr>
          <w:sz w:val="20"/>
          <w:szCs w:val="20"/>
          <w:color w:val="auto"/>
        </w:rPr>
      </w:pPr>
      <w:r>
        <w:rPr>
          <w:rFonts w:ascii="Arial" w:cs="Arial" w:eastAsia="Arial" w:hAnsi="Arial"/>
          <w:sz w:val="18"/>
          <w:szCs w:val="18"/>
          <w:b w:val="1"/>
          <w:bCs w:val="1"/>
          <w:color w:val="auto"/>
        </w:rPr>
        <w:t>$0.01 par value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left="220"/>
        <w:spacing w:after="0"/>
        <w:tabs>
          <w:tab w:leader="none" w:pos="2240" w:val="left"/>
          <w:tab w:leader="none" w:pos="2980" w:val="left"/>
          <w:tab w:leader="none" w:pos="3860" w:val="left"/>
        </w:tabs>
        <w:rPr>
          <w:sz w:val="20"/>
          <w:szCs w:val="20"/>
          <w:color w:val="auto"/>
        </w:rPr>
      </w:pPr>
      <w:r>
        <w:rPr>
          <w:rFonts w:ascii="Arial" w:cs="Arial" w:eastAsia="Arial" w:hAnsi="Arial"/>
          <w:sz w:val="18"/>
          <w:szCs w:val="18"/>
          <w:b w:val="1"/>
          <w:bCs w:val="1"/>
          <w:color w:val="auto"/>
        </w:rPr>
        <w:t>9800 N.W. 41st Street,</w:t>
        <w:tab/>
        <w:t>Miami,</w:t>
        <w:tab/>
        <w:t>Florida</w:t>
      </w:r>
      <w:r>
        <w:rPr>
          <w:sz w:val="20"/>
          <w:szCs w:val="20"/>
          <w:color w:val="auto"/>
        </w:rPr>
        <w:tab/>
      </w:r>
      <w:r>
        <w:rPr>
          <w:rFonts w:ascii="Arial" w:cs="Arial" w:eastAsia="Arial" w:hAnsi="Arial"/>
          <w:sz w:val="17"/>
          <w:szCs w:val="17"/>
          <w:b w:val="1"/>
          <w:bCs w:val="1"/>
          <w:color w:val="auto"/>
        </w:rPr>
        <w:t>33178</w:t>
      </w:r>
    </w:p>
    <w:p>
      <w:pPr>
        <w:spacing w:after="0" w:line="139" w:lineRule="exact"/>
        <w:rPr>
          <w:sz w:val="24"/>
          <w:szCs w:val="24"/>
          <w:color w:val="auto"/>
        </w:rPr>
      </w:pPr>
    </w:p>
    <w:p>
      <w:pPr>
        <w:ind w:left="60"/>
        <w:spacing w:after="0"/>
        <w:rPr>
          <w:sz w:val="20"/>
          <w:szCs w:val="20"/>
          <w:color w:val="auto"/>
        </w:rPr>
      </w:pPr>
      <w:r>
        <w:rPr>
          <w:rFonts w:ascii="Arial" w:cs="Arial" w:eastAsia="Arial" w:hAnsi="Arial"/>
          <w:sz w:val="18"/>
          <w:szCs w:val="18"/>
          <w:color w:val="auto"/>
        </w:rPr>
        <w:t>(Address of Principal Executive Offices) (Zip Code)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Registrant’s telephone number, including area code:</w:t>
      </w:r>
    </w:p>
    <w:p>
      <w:pPr>
        <w:spacing w:after="0" w:line="10"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  305  )  428-8000</w:t>
      </w:r>
    </w:p>
    <w:p>
      <w:pPr>
        <w:spacing w:after="0" w:line="38"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18" w:lineRule="exact"/>
        <w:rPr>
          <w:sz w:val="24"/>
          <w:szCs w:val="24"/>
          <w:color w:val="auto"/>
        </w:rPr>
      </w:pPr>
    </w:p>
    <w:p>
      <w:pPr>
        <w:jc w:val="center"/>
        <w:ind w:right="220"/>
        <w:spacing w:after="0"/>
        <w:rPr>
          <w:sz w:val="20"/>
          <w:szCs w:val="20"/>
          <w:color w:val="auto"/>
        </w:rPr>
      </w:pPr>
      <w:r>
        <w:rPr>
          <w:rFonts w:ascii="Arial" w:cs="Arial" w:eastAsia="Arial" w:hAnsi="Arial"/>
          <w:sz w:val="18"/>
          <w:szCs w:val="18"/>
          <w:u w:val="single" w:color="auto"/>
          <w:color w:val="auto"/>
        </w:rPr>
        <w:t>Trading Symbol (s)</w:t>
      </w:r>
    </w:p>
    <w:p>
      <w:pPr>
        <w:spacing w:after="0" w:line="9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INT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left="860"/>
        <w:spacing w:after="0"/>
        <w:rPr>
          <w:sz w:val="20"/>
          <w:szCs w:val="20"/>
          <w:color w:val="auto"/>
        </w:rPr>
      </w:pPr>
      <w:r>
        <w:rPr>
          <w:rFonts w:ascii="Arial" w:cs="Arial" w:eastAsia="Arial" w:hAnsi="Arial"/>
          <w:sz w:val="18"/>
          <w:szCs w:val="18"/>
          <w:b w:val="1"/>
          <w:bCs w:val="1"/>
          <w:color w:val="auto"/>
        </w:rPr>
        <w:t>59-2459427</w:t>
      </w:r>
    </w:p>
    <w:p>
      <w:pPr>
        <w:spacing w:after="0" w:line="13"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(I.R.S. Employer</w:t>
      </w:r>
    </w:p>
    <w:p>
      <w:pPr>
        <w:ind w:left="640"/>
        <w:spacing w:after="0"/>
        <w:rPr>
          <w:sz w:val="20"/>
          <w:szCs w:val="20"/>
          <w:color w:val="auto"/>
        </w:rPr>
      </w:pP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40"/>
        <w:spacing w:after="0" w:line="227" w:lineRule="auto"/>
        <w:rPr>
          <w:sz w:val="20"/>
          <w:szCs w:val="20"/>
          <w:color w:val="auto"/>
        </w:rPr>
      </w:pPr>
      <w:r>
        <w:rPr>
          <w:rFonts w:ascii="Arial" w:cs="Arial" w:eastAsia="Arial" w:hAnsi="Arial"/>
          <w:sz w:val="18"/>
          <w:szCs w:val="18"/>
          <w:u w:val="single" w:color="auto"/>
          <w:color w:val="auto"/>
        </w:rPr>
        <w:t>Name of each exchange on which registered</w:t>
      </w:r>
    </w:p>
    <w:p>
      <w:pPr>
        <w:spacing w:after="0" w:line="99"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New York Stock Exchange</w:t>
      </w:r>
    </w:p>
    <w:p>
      <w:pPr>
        <w:spacing w:after="0" w:line="302" w:lineRule="exact"/>
        <w:rPr>
          <w:sz w:val="24"/>
          <w:szCs w:val="24"/>
          <w:color w:val="auto"/>
        </w:rPr>
      </w:pPr>
    </w:p>
    <w:p>
      <w:pPr>
        <w:sectPr>
          <w:pgSz w:w="11900" w:h="16838" w:orient="portrait"/>
          <w:cols w:equalWidth="0" w:num="3">
            <w:col w:w="2800" w:space="720"/>
            <w:col w:w="4380" w:space="500"/>
            <w:col w:w="2840"/>
          </w:cols>
          <w:pgMar w:left="320" w:top="247" w:right="339" w:bottom="1440" w:gutter="0" w:footer="0" w:header="0"/>
          <w:type w:val="continuous"/>
        </w:sectPr>
      </w:pP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44" w:lineRule="exact"/>
        <w:rPr>
          <w:sz w:val="24"/>
          <w:szCs w:val="24"/>
          <w:color w:val="auto"/>
        </w:rPr>
      </w:pPr>
    </w:p>
    <w:p>
      <w:pPr>
        <w:ind w:right="740"/>
        <w:spacing w:after="0" w:line="303"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88"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89"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88"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8"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2022, the last business day of the registrant’s most recently completed second fiscal quarter, the aggregate market value of the voting and non-voting common equity held by non-affiliates computed by reference to the market price at which the common equity was last sold was $1.237 billion.</w:t>
      </w:r>
    </w:p>
    <w:p>
      <w:pPr>
        <w:spacing w:after="0" w:line="94" w:lineRule="exact"/>
        <w:rPr>
          <w:sz w:val="20"/>
          <w:szCs w:val="20"/>
          <w:color w:val="auto"/>
        </w:rPr>
      </w:pPr>
    </w:p>
    <w:p>
      <w:pPr>
        <w:ind w:right="500"/>
        <w:spacing w:after="0" w:line="375" w:lineRule="auto"/>
        <w:rPr>
          <w:sz w:val="20"/>
          <w:szCs w:val="20"/>
          <w:color w:val="auto"/>
        </w:rPr>
      </w:pPr>
      <w:r>
        <w:rPr>
          <w:rFonts w:ascii="Arial" w:cs="Arial" w:eastAsia="Arial" w:hAnsi="Arial"/>
          <w:sz w:val="18"/>
          <w:szCs w:val="18"/>
          <w:color w:val="auto"/>
        </w:rPr>
        <w:t xml:space="preserve">As of February 17, 2023, the registrant had approximately 62,042,282 shares of outstanding common stock, par value $0.01 per share. </w:t>
      </w:r>
      <w:r>
        <w:rPr>
          <w:rFonts w:ascii="Arial" w:cs="Arial" w:eastAsia="Arial" w:hAnsi="Arial"/>
          <w:sz w:val="18"/>
          <w:szCs w:val="18"/>
          <w:b w:val="1"/>
          <w:bCs w:val="1"/>
          <w:color w:val="auto"/>
        </w:rPr>
        <w:t>Documents Incorporated By Reference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Portions of the registrant’s proxy statement relating to its 2023 Annual Meeting of Shareholders, to be filed with the Securities and Exchange Commission pursuant to Regulation 14A under the Securities Exchange Act of 1934, are incorporated by reference to the extent set forth in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40" w:type="dxa"/>
            <w:vAlign w:val="bottom"/>
            <w:gridSpan w:val="2"/>
            <w:vMerge w:val="restart"/>
          </w:tcPr>
          <w:p>
            <w:pPr>
              <w:spacing w:after="0"/>
              <w:rPr>
                <w:sz w:val="20"/>
                <w:szCs w:val="20"/>
                <w:color w:val="auto"/>
              </w:rPr>
            </w:pPr>
            <w:r>
              <w:rPr>
                <w:rFonts w:ascii="Arial" w:cs="Arial" w:eastAsia="Arial" w:hAnsi="Arial"/>
                <w:sz w:val="18"/>
                <w:szCs w:val="18"/>
                <w:b w:val="1"/>
                <w:bCs w:val="1"/>
                <w:color w:val="0000FF"/>
                <w:w w:val="96"/>
              </w:rPr>
              <w:t>PART I.</w:t>
            </w:r>
          </w:p>
        </w:tc>
        <w:tc>
          <w:tcPr>
            <w:tcW w:w="260" w:type="dxa"/>
            <w:vAlign w:val="bottom"/>
            <w:gridSpan w:val="3"/>
            <w:vMerge w:val="restart"/>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ind w:left="340"/>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194"/>
        </w:trPr>
        <w:tc>
          <w:tcPr>
            <w:tcW w:w="640" w:type="dxa"/>
            <w:vAlign w:val="bottom"/>
            <w:tcBorders>
              <w:bottom w:val="single" w:sz="8" w:color="0000FF"/>
            </w:tcBorders>
            <w:gridSpan w:val="2"/>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Business</w:t>
            </w:r>
          </w:p>
        </w:tc>
        <w:tc>
          <w:tcPr>
            <w:tcW w:w="8520" w:type="dxa"/>
            <w:vAlign w:val="bottom"/>
            <w:gridSpan w:val="20"/>
          </w:tcPr>
          <w:p>
            <w:pPr>
              <w:spacing w:after="0"/>
              <w:rPr>
                <w:sz w:val="18"/>
                <w:szCs w:val="18"/>
                <w:color w:val="auto"/>
              </w:rPr>
            </w:pPr>
          </w:p>
        </w:tc>
        <w:tc>
          <w:tcPr>
            <w:tcW w:w="760" w:type="dxa"/>
            <w:vAlign w:val="bottom"/>
          </w:tcPr>
          <w:p>
            <w:pPr>
              <w:jc w:val="center"/>
              <w:ind w:left="250"/>
              <w:spacing w:after="0"/>
              <w:rPr>
                <w:sz w:val="20"/>
                <w:szCs w:val="20"/>
                <w:color w:val="auto"/>
              </w:rPr>
            </w:pPr>
            <w:r>
              <w:rPr>
                <w:rFonts w:ascii="Arial" w:cs="Arial" w:eastAsia="Arial" w:hAnsi="Arial"/>
                <w:sz w:val="18"/>
                <w:szCs w:val="18"/>
                <w:color w:val="0000FF"/>
                <w:w w:val="99"/>
              </w:rPr>
              <w:t>1</w:t>
            </w:r>
          </w:p>
        </w:tc>
        <w:tc>
          <w:tcPr>
            <w:tcW w:w="0" w:type="dxa"/>
            <w:vAlign w:val="bottom"/>
          </w:tcPr>
          <w:p>
            <w:pPr>
              <w:spacing w:after="0"/>
              <w:rPr>
                <w:sz w:val="1"/>
                <w:szCs w:val="1"/>
                <w:color w:val="auto"/>
              </w:rPr>
            </w:pPr>
          </w:p>
        </w:tc>
      </w:tr>
      <w:tr>
        <w:trPr>
          <w:trHeight w:val="210"/>
        </w:trPr>
        <w:tc>
          <w:tcPr>
            <w:tcW w:w="660" w:type="dxa"/>
            <w:vAlign w:val="bottom"/>
            <w:gridSpan w:val="3"/>
          </w:tcPr>
          <w:p>
            <w:pPr>
              <w:spacing w:after="0"/>
              <w:rPr>
                <w:sz w:val="20"/>
                <w:szCs w:val="20"/>
                <w:color w:val="auto"/>
              </w:rPr>
            </w:pPr>
            <w:r>
              <w:rPr>
                <w:rFonts w:ascii="Arial" w:cs="Arial" w:eastAsia="Arial" w:hAnsi="Arial"/>
                <w:sz w:val="18"/>
                <w:szCs w:val="18"/>
                <w:color w:val="0000FF"/>
                <w:w w:val="92"/>
              </w:rPr>
              <w:t>Item 1A.</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760" w:type="dxa"/>
            <w:vAlign w:val="bottom"/>
          </w:tcPr>
          <w:p>
            <w:pPr>
              <w:jc w:val="center"/>
              <w:ind w:left="250"/>
              <w:spacing w:after="0"/>
              <w:rPr>
                <w:sz w:val="20"/>
                <w:szCs w:val="20"/>
                <w:color w:val="auto"/>
              </w:rPr>
            </w:pPr>
            <w:r>
              <w:rPr>
                <w:rFonts w:ascii="Arial" w:cs="Arial" w:eastAsia="Arial" w:hAnsi="Arial"/>
                <w:sz w:val="18"/>
                <w:szCs w:val="18"/>
                <w:color w:val="0000FF"/>
                <w:w w:val="99"/>
              </w:rPr>
              <w:t>8</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Item 1B.</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Unresolved Staff Comments</w:t>
            </w:r>
          </w:p>
        </w:tc>
        <w:tc>
          <w:tcPr>
            <w:tcW w:w="7000" w:type="dxa"/>
            <w:vAlign w:val="bottom"/>
            <w:gridSpan w:val="12"/>
          </w:tcPr>
          <w:p>
            <w:pPr>
              <w:spacing w:after="0"/>
              <w:rPr>
                <w:sz w:val="18"/>
                <w:szCs w:val="18"/>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20</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Properties</w:t>
            </w: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20</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3.</w:t>
            </w:r>
          </w:p>
        </w:tc>
        <w:tc>
          <w:tcPr>
            <w:tcW w:w="100" w:type="dxa"/>
            <w:vAlign w:val="bottom"/>
            <w:tcBorders>
              <w:bottom w:val="single" w:sz="8" w:color="0000FF"/>
            </w:tcBorders>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Legal Proceedings</w:t>
            </w:r>
          </w:p>
        </w:tc>
        <w:tc>
          <w:tcPr>
            <w:tcW w:w="7760" w:type="dxa"/>
            <w:vAlign w:val="bottom"/>
            <w:gridSpan w:val="16"/>
          </w:tcPr>
          <w:p>
            <w:pPr>
              <w:spacing w:after="0"/>
              <w:rPr>
                <w:sz w:val="18"/>
                <w:szCs w:val="18"/>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20</w:t>
            </w:r>
          </w:p>
        </w:tc>
        <w:tc>
          <w:tcPr>
            <w:tcW w:w="0" w:type="dxa"/>
            <w:vAlign w:val="bottom"/>
          </w:tcPr>
          <w:p>
            <w:pPr>
              <w:spacing w:after="0"/>
              <w:rPr>
                <w:sz w:val="1"/>
                <w:szCs w:val="1"/>
                <w:color w:val="auto"/>
              </w:rPr>
            </w:pPr>
          </w:p>
        </w:tc>
      </w:tr>
      <w:tr>
        <w:trPr>
          <w:trHeight w:val="22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4.</w:t>
            </w:r>
          </w:p>
        </w:tc>
        <w:tc>
          <w:tcPr>
            <w:tcW w:w="340" w:type="dxa"/>
            <w:vAlign w:val="bottom"/>
            <w:gridSpan w:val="4"/>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7320" w:type="dxa"/>
            <w:vAlign w:val="bottom"/>
            <w:gridSpan w:val="14"/>
          </w:tcPr>
          <w:p>
            <w:pPr>
              <w:spacing w:after="0"/>
              <w:rPr>
                <w:sz w:val="19"/>
                <w:szCs w:val="19"/>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20</w:t>
            </w:r>
          </w:p>
        </w:tc>
        <w:tc>
          <w:tcPr>
            <w:tcW w:w="0" w:type="dxa"/>
            <w:vAlign w:val="bottom"/>
          </w:tcPr>
          <w:p>
            <w:pPr>
              <w:spacing w:after="0"/>
              <w:rPr>
                <w:sz w:val="1"/>
                <w:szCs w:val="1"/>
                <w:color w:val="auto"/>
              </w:rPr>
            </w:pPr>
          </w:p>
        </w:tc>
      </w:tr>
      <w:tr>
        <w:trPr>
          <w:trHeight w:val="243"/>
        </w:trPr>
        <w:tc>
          <w:tcPr>
            <w:tcW w:w="90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Item 5.</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Market for Registrant’s Common Equity, Related Shareholder Matters and Issuer Purchases of Equity Securities</w:t>
            </w: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21</w:t>
            </w:r>
          </w:p>
        </w:tc>
        <w:tc>
          <w:tcPr>
            <w:tcW w:w="0" w:type="dxa"/>
            <w:vAlign w:val="bottom"/>
          </w:tcPr>
          <w:p>
            <w:pPr>
              <w:spacing w:after="0"/>
              <w:rPr>
                <w:sz w:val="1"/>
                <w:szCs w:val="1"/>
                <w:color w:val="auto"/>
              </w:rPr>
            </w:pPr>
          </w:p>
        </w:tc>
      </w:tr>
      <w:tr>
        <w:trPr>
          <w:trHeight w:val="209"/>
        </w:trPr>
        <w:tc>
          <w:tcPr>
            <w:tcW w:w="5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Item 6.</w:t>
            </w:r>
          </w:p>
        </w:tc>
        <w:tc>
          <w:tcPr>
            <w:tcW w:w="100" w:type="dxa"/>
            <w:vAlign w:val="bottom"/>
            <w:tcBorders>
              <w:top w:val="single" w:sz="8" w:color="0000FF"/>
            </w:tcBorders>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Reserved</w:t>
            </w:r>
          </w:p>
        </w:tc>
        <w:tc>
          <w:tcPr>
            <w:tcW w:w="8080" w:type="dxa"/>
            <w:vAlign w:val="bottom"/>
            <w:tcBorders>
              <w:top w:val="single" w:sz="8" w:color="0000FF"/>
            </w:tcBorders>
            <w:gridSpan w:val="18"/>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22</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8"/>
              </w:rPr>
              <w:t>Item 7.</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22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Item 7A.</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7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4540" w:type="dxa"/>
            <w:vAlign w:val="bottom"/>
            <w:gridSpan w:val="7"/>
          </w:tcPr>
          <w:p>
            <w:pPr>
              <w:spacing w:after="0"/>
              <w:rPr>
                <w:sz w:val="18"/>
                <w:szCs w:val="18"/>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32</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8"/>
              </w:rPr>
              <w:t>Item 8.</w:t>
            </w:r>
          </w:p>
        </w:tc>
        <w:tc>
          <w:tcPr>
            <w:tcW w:w="34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Financial Statements and Supplementary Data</w:t>
            </w: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35</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9.</w:t>
            </w:r>
          </w:p>
        </w:tc>
        <w:tc>
          <w:tcPr>
            <w:tcW w:w="100" w:type="dxa"/>
            <w:vAlign w:val="bottom"/>
            <w:tcBorders>
              <w:bottom w:val="single" w:sz="8" w:color="0000FF"/>
            </w:tcBorders>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1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2120" w:type="dxa"/>
            <w:vAlign w:val="bottom"/>
            <w:gridSpan w:val="3"/>
          </w:tcPr>
          <w:p>
            <w:pPr>
              <w:spacing w:after="0"/>
              <w:rPr>
                <w:sz w:val="18"/>
                <w:szCs w:val="18"/>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35</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Item 9A.</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7260" w:type="dxa"/>
            <w:vAlign w:val="bottom"/>
            <w:gridSpan w:val="13"/>
          </w:tcPr>
          <w:p>
            <w:pPr>
              <w:spacing w:after="0"/>
              <w:rPr>
                <w:sz w:val="18"/>
                <w:szCs w:val="18"/>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35</w:t>
            </w:r>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sz w:val="20"/>
                <w:szCs w:val="20"/>
                <w:color w:val="auto"/>
              </w:rPr>
            </w:pPr>
            <w:r>
              <w:rPr>
                <w:rFonts w:ascii="Arial" w:cs="Arial" w:eastAsia="Arial" w:hAnsi="Arial"/>
                <w:sz w:val="18"/>
                <w:szCs w:val="18"/>
                <w:color w:val="0000FF"/>
                <w:w w:val="92"/>
              </w:rPr>
              <w:t>Item 9B.</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36</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5"/>
          </w:tcPr>
          <w:p>
            <w:pPr>
              <w:spacing w:after="0"/>
              <w:rPr>
                <w:sz w:val="20"/>
                <w:szCs w:val="20"/>
                <w:color w:val="auto"/>
              </w:rPr>
            </w:pPr>
            <w:r>
              <w:rPr>
                <w:rFonts w:ascii="Arial" w:cs="Arial" w:eastAsia="Arial" w:hAnsi="Arial"/>
                <w:sz w:val="18"/>
                <w:szCs w:val="18"/>
                <w:color w:val="0000FF"/>
              </w:rPr>
              <w:t>Item 9C.</w:t>
            </w:r>
          </w:p>
        </w:tc>
        <w:tc>
          <w:tcPr>
            <w:tcW w:w="9400" w:type="dxa"/>
            <w:vAlign w:val="bottom"/>
            <w:gridSpan w:val="22"/>
          </w:tcPr>
          <w:p>
            <w:pPr>
              <w:ind w:left="140"/>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36</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7"/>
              </w:rPr>
              <w:t>PART III.</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40" w:type="dxa"/>
            <w:vAlign w:val="bottom"/>
            <w:gridSpan w:val="4"/>
          </w:tcPr>
          <w:p>
            <w:pPr>
              <w:spacing w:after="0"/>
              <w:rPr>
                <w:sz w:val="20"/>
                <w:szCs w:val="20"/>
                <w:color w:val="auto"/>
              </w:rPr>
            </w:pPr>
            <w:r>
              <w:rPr>
                <w:rFonts w:ascii="Arial" w:cs="Arial" w:eastAsia="Arial" w:hAnsi="Arial"/>
                <w:sz w:val="18"/>
                <w:szCs w:val="18"/>
                <w:color w:val="0000FF"/>
              </w:rPr>
              <w:t>Item 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37</w:t>
            </w:r>
          </w:p>
        </w:tc>
        <w:tc>
          <w:tcPr>
            <w:tcW w:w="0" w:type="dxa"/>
            <w:vAlign w:val="bottom"/>
          </w:tcPr>
          <w:p>
            <w:pPr>
              <w:spacing w:after="0"/>
              <w:rPr>
                <w:sz w:val="1"/>
                <w:szCs w:val="1"/>
                <w:color w:val="auto"/>
              </w:rPr>
            </w:pPr>
          </w:p>
        </w:tc>
      </w:tr>
      <w:tr>
        <w:trPr>
          <w:trHeight w:val="209"/>
        </w:trPr>
        <w:tc>
          <w:tcPr>
            <w:tcW w:w="6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11.</w:t>
            </w:r>
          </w:p>
        </w:tc>
        <w:tc>
          <w:tcPr>
            <w:tcW w:w="8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9"/>
              </w:rPr>
              <w:t>Executive Compensation</w:t>
            </w:r>
          </w:p>
        </w:tc>
        <w:tc>
          <w:tcPr>
            <w:tcW w:w="2500" w:type="dxa"/>
            <w:vAlign w:val="bottom"/>
            <w:tcBorders>
              <w:top w:val="single" w:sz="8" w:color="0000FF"/>
            </w:tcBorders>
            <w:gridSpan w:val="5"/>
          </w:tcPr>
          <w:p>
            <w:pPr>
              <w:spacing w:after="0"/>
              <w:rPr>
                <w:sz w:val="18"/>
                <w:szCs w:val="18"/>
                <w:color w:val="auto"/>
              </w:rPr>
            </w:pPr>
          </w:p>
        </w:tc>
        <w:tc>
          <w:tcPr>
            <w:tcW w:w="4760" w:type="dxa"/>
            <w:vAlign w:val="bottom"/>
            <w:gridSpan w:val="8"/>
          </w:tcPr>
          <w:p>
            <w:pPr>
              <w:spacing w:after="0"/>
              <w:rPr>
                <w:sz w:val="18"/>
                <w:szCs w:val="18"/>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37</w:t>
            </w:r>
          </w:p>
        </w:tc>
        <w:tc>
          <w:tcPr>
            <w:tcW w:w="0" w:type="dxa"/>
            <w:vAlign w:val="bottom"/>
          </w:tcPr>
          <w:p>
            <w:pPr>
              <w:spacing w:after="0"/>
              <w:rPr>
                <w:sz w:val="1"/>
                <w:szCs w:val="1"/>
                <w:color w:val="auto"/>
              </w:rPr>
            </w:pPr>
          </w:p>
        </w:tc>
      </w:tr>
      <w:tr>
        <w:trPr>
          <w:trHeight w:val="209"/>
        </w:trPr>
        <w:tc>
          <w:tcPr>
            <w:tcW w:w="660" w:type="dxa"/>
            <w:vAlign w:val="bottom"/>
            <w:gridSpan w:val="3"/>
          </w:tcPr>
          <w:p>
            <w:pPr>
              <w:spacing w:after="0"/>
              <w:rPr>
                <w:sz w:val="20"/>
                <w:szCs w:val="20"/>
                <w:color w:val="auto"/>
              </w:rPr>
            </w:pPr>
            <w:r>
              <w:rPr>
                <w:rFonts w:ascii="Arial" w:cs="Arial" w:eastAsia="Arial" w:hAnsi="Arial"/>
                <w:sz w:val="18"/>
                <w:szCs w:val="18"/>
                <w:color w:val="0000FF"/>
                <w:w w:val="95"/>
              </w:rPr>
              <w:t>Item 12.</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Shareholder Matters</w:t>
            </w: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37</w:t>
            </w:r>
          </w:p>
        </w:tc>
        <w:tc>
          <w:tcPr>
            <w:tcW w:w="0" w:type="dxa"/>
            <w:vAlign w:val="bottom"/>
          </w:tcPr>
          <w:p>
            <w:pPr>
              <w:spacing w:after="0"/>
              <w:rPr>
                <w:sz w:val="1"/>
                <w:szCs w:val="1"/>
                <w:color w:val="auto"/>
              </w:rPr>
            </w:pPr>
          </w:p>
        </w:tc>
      </w:tr>
      <w:tr>
        <w:trPr>
          <w:trHeight w:val="210"/>
        </w:trPr>
        <w:tc>
          <w:tcPr>
            <w:tcW w:w="6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13.</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8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60" w:type="dxa"/>
            <w:vAlign w:val="bottom"/>
            <w:tcBorders>
              <w:top w:val="single" w:sz="8" w:color="0000FF"/>
            </w:tcBorders>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37</w:t>
            </w:r>
          </w:p>
        </w:tc>
        <w:tc>
          <w:tcPr>
            <w:tcW w:w="0" w:type="dxa"/>
            <w:vAlign w:val="bottom"/>
          </w:tcPr>
          <w:p>
            <w:pPr>
              <w:spacing w:after="0"/>
              <w:rPr>
                <w:sz w:val="1"/>
                <w:szCs w:val="1"/>
                <w:color w:val="auto"/>
              </w:rPr>
            </w:pPr>
          </w:p>
        </w:tc>
      </w:tr>
      <w:tr>
        <w:trPr>
          <w:trHeight w:val="210"/>
        </w:trPr>
        <w:tc>
          <w:tcPr>
            <w:tcW w:w="660" w:type="dxa"/>
            <w:vAlign w:val="bottom"/>
            <w:gridSpan w:val="3"/>
          </w:tcPr>
          <w:p>
            <w:pPr>
              <w:spacing w:after="0"/>
              <w:rPr>
                <w:sz w:val="20"/>
                <w:szCs w:val="20"/>
                <w:color w:val="auto"/>
              </w:rPr>
            </w:pPr>
            <w:r>
              <w:rPr>
                <w:rFonts w:ascii="Arial" w:cs="Arial" w:eastAsia="Arial" w:hAnsi="Arial"/>
                <w:sz w:val="18"/>
                <w:szCs w:val="18"/>
                <w:color w:val="0000FF"/>
                <w:w w:val="95"/>
              </w:rPr>
              <w:t>Item 14.</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60" w:type="dxa"/>
            <w:vAlign w:val="bottom"/>
            <w:gridSpan w:val="21"/>
          </w:tcPr>
          <w:p>
            <w:pPr>
              <w:spacing w:after="0"/>
              <w:rPr>
                <w:sz w:val="20"/>
                <w:szCs w:val="20"/>
                <w:color w:val="auto"/>
              </w:rPr>
            </w:pPr>
            <w:r>
              <w:rPr>
                <w:rFonts w:ascii="Arial" w:cs="Arial" w:eastAsia="Arial" w:hAnsi="Arial"/>
                <w:sz w:val="18"/>
                <w:szCs w:val="18"/>
                <w:color w:val="0000FF"/>
              </w:rPr>
              <w:t>Principal Accountant Fees and Services</w:t>
            </w: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37</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4"/>
              </w:rPr>
              <w:t>PART IV.</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15.</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5740" w:type="dxa"/>
            <w:vAlign w:val="bottom"/>
            <w:gridSpan w:val="10"/>
          </w:tcPr>
          <w:p>
            <w:pPr>
              <w:spacing w:after="0"/>
              <w:rPr>
                <w:sz w:val="18"/>
                <w:szCs w:val="18"/>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38</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Item 16.</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Form 10-K Summary</w:t>
            </w:r>
          </w:p>
        </w:tc>
        <w:tc>
          <w:tcPr>
            <w:tcW w:w="7580" w:type="dxa"/>
            <w:vAlign w:val="bottom"/>
            <w:gridSpan w:val="15"/>
          </w:tcPr>
          <w:p>
            <w:pPr>
              <w:spacing w:after="0"/>
              <w:rPr>
                <w:sz w:val="18"/>
                <w:szCs w:val="18"/>
                <w:color w:val="auto"/>
              </w:rPr>
            </w:pPr>
          </w:p>
        </w:tc>
        <w:tc>
          <w:tcPr>
            <w:tcW w:w="760" w:type="dxa"/>
            <w:vAlign w:val="bottom"/>
          </w:tcPr>
          <w:p>
            <w:pPr>
              <w:jc w:val="center"/>
              <w:ind w:left="230"/>
              <w:spacing w:after="0"/>
              <w:rPr>
                <w:sz w:val="20"/>
                <w:szCs w:val="20"/>
                <w:color w:val="auto"/>
              </w:rPr>
            </w:pPr>
            <w:r>
              <w:rPr>
                <w:rFonts w:ascii="Arial" w:cs="Arial" w:eastAsia="Arial" w:hAnsi="Arial"/>
                <w:sz w:val="18"/>
                <w:szCs w:val="18"/>
                <w:color w:val="0000FF"/>
                <w:w w:val="99"/>
              </w:rPr>
              <w:t>84</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10-K ("2022 10-K Report") as "World Fuel," "we," "our," and "us."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energy management company, offering a broad suite of energy advisory, management and fulfillment services, digital and other technology solutions, as well as sustainability products and services across the energy product spectrum. We are principally involved in providing energy procurement and related products and services to commercial and industrial customers in the aviation, land, and marine transportation industries. We have also expanded our product and service offerings to include energy advisory services, sustainability and renewable energy solutions, as well as supply fulfillment for natural gas and power. We are continuing to focus on advancing the energy transition to lower carbon alternatives through expanding our portfolio of energy solutions and providing customers with greater access to sustainably sourced energy as well as mechanisms to compensate for residual emissions in the near term.</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signatory to the United Nations ("U.N.") Global Compact and are focused on supporting the U.N.'s principles on human rights, labor, the environment and anti-corruption through progressing our goals and objectives. We have implemented enhancements to our policies, processes, and governance structure to further strengthen our support of environmental, health, safety, sustainability, diversity, equity and inclusion and other social responsibility issues and impacts.</w:t>
      </w:r>
    </w:p>
    <w:p>
      <w:pPr>
        <w:spacing w:after="0" w:line="9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conduct our operations through numerous locations both within the United States ("U.S.") and throughout various foreign jurisdictions. Our principal executive office is located at 9800 Northwest 41st Street, Miami, Florida 33178 and our telephone number at this address is 305</w:t>
      </w:r>
      <w:r>
        <w:rPr>
          <w:rFonts w:ascii="MS PGothic" w:cs="MS PGothic" w:eastAsia="MS PGothic" w:hAnsi="MS PGothic"/>
          <w:sz w:val="18"/>
          <w:szCs w:val="18"/>
          <w:color w:val="auto"/>
        </w:rPr>
        <w:t>‑</w:t>
      </w:r>
      <w:r>
        <w:rPr>
          <w:rFonts w:ascii="Arial" w:cs="Arial" w:eastAsia="Arial" w:hAnsi="Arial"/>
          <w:sz w:val="18"/>
          <w:szCs w:val="18"/>
          <w:color w:val="auto"/>
        </w:rPr>
        <w:t>428</w:t>
      </w:r>
      <w:r>
        <w:rPr>
          <w:rFonts w:ascii="MS PGothic" w:cs="MS PGothic" w:eastAsia="MS PGothic" w:hAnsi="MS PGothic"/>
          <w:sz w:val="18"/>
          <w:szCs w:val="18"/>
          <w:color w:val="auto"/>
        </w:rPr>
        <w:t>‑</w:t>
      </w:r>
      <w:r>
        <w:rPr>
          <w:rFonts w:ascii="Arial" w:cs="Arial" w:eastAsia="Arial" w:hAnsi="Arial"/>
          <w:sz w:val="18"/>
          <w:szCs w:val="18"/>
          <w:color w:val="auto"/>
        </w:rPr>
        <w:t>8000. Our internet address is https://www.wfscorp.com and the investor relations section of our website is located at https://ir.wfscorp.com. We make available free of charge, on or through the investor relations section of our website, our Annual Reports on Form 10-K, Quarterly Reports on Form 10-Q, Current Reports on Form 8-K,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Conduct ("Code of Conduct"), Board of Directors’ committee charters and Corporate Governance Principles. Our internet website and information contained on our internet website are not part of this 2022 10-K Report and are not incorporated by reference in this 2022 10-K Report.</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reference to a "Note" herein refers to the accompanying Notes to the Consolidated Financial Statements within Part IV. Item 15. Notes to the Consolidated Financial Statements included in this 2022 10-K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operate in three reportable segments consisting of aviation, land, and marine, where we offer fuel and related products and services to customers in these transportation industries.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Profit from our segments is generally determined by the volume and the unit margin achieved on fuel resales. Profitability in our segments also depends on our operating expenses, which may be materially affected to the extent that we are required to provide for potential credit losses. Corporate expenses are allocated to each segment based on usage, where possible, or other factors according to the nature of the activity. We evaluate and manage our business segments using the performance measure of income from operations.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Financial information with respect to our business segments, the geographic areas of our business and our customers is provided below and within Note 14. Business Segments, Geographic Information, and Major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provide global aviation fuel supply and comprehensive service solutions to major commercial airlines, second and third-tier airlines, cargo carriers, regional and low-cost carriers, airports, fixed-based operators, corporate fleets, charter and fractional operators and private aircraft. Our aviation-related service offerings include fuel management, price risk management, ground handling, 24/7 global dispatch services, and trip planning services, including flight planning and scheduling, weather reports and overflight permits. We also supply fuel and provide services to 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and foreign government and military customers, such as the U.S. Defense Logistics Agency and the North Atlantic Treaty Organization ("NATO") (collectively, "government customers"). In addition, we offer a growing suite of digital and technology solutions, including payment and processing services, as well as operate a web-based marketplace platform that facilitates aircraft charter arrangements.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Given that fuel is a major component of an aircraft’s operating costs, our customers require cost-effective and professional fuel services. We have developed an extensive network consisting of on-airport fueling operations and third-party suppliers and service providers that enable us to provide aviation fuel and related services throughout the world. We believe the breadth of our service offerings combined with our global supplier network is a strategic differentiator that allows customers to secure fuel and high-quality services in locations worldwide.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purchase our aviation fuel from suppliers worldwide. Fuel may be delivered into our customers’ aircraft or to a designated storage facility located at one of our locations or our suppliers’ locations pursuant to arrangements with them. Inventory is purchased at airport locations or shipped, typically via pipelines or truck, and held at multiple locations in order to meet the needs of our customers. We engage in contract sales, which are sales made pursuant to fuel purchase contracts with customers who commit to purchasing fuel from us over the contract term. We also conduct spot sales, which are sales that do not involve continuing contractual obligations by our customers to purchase fuel from us. Our cost of fuel is generally tied to market-based formulas or government-controlled prices. Additionally, we have been taking actions designed to increase the availability of renewable and lower-carbon fuels such as sustainable aviation fuel ("SAF") and are working to expand and develop our supply chain with the vision to make SAF an everyday purchase.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Segment</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our land segment, we primarily offer fuel, lubricants, heating oil, natural gas, power, and related products and related services to commercial, industrial, residential and government customers, as well as retail petroleum operators. We have also expanded our offerings to include lower carbon alternatives, such as renewable diesel (also known as hydrotreated vegetable oil or "HVO"), biodiesel, and renewable natural gas (biogas). We primarily conduct these activities throughout most of the U.S. as well as parts of the United Kingdom ("U.K.") and Brazil. Our services include energy procurement management, price risk management, as well as sustainability solutions, such as carbon management and renewable energy solutions through World Kinect, our global energy management brand.</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fuel marketing activities, we distribute fuel under long-term contracts to branded and unbranded distributors, convenience stores and retail fuel outlets operated by third parties. We also distribute heating oil to residential customers and unbranded fuel to numerous other customers, including commercial and industrial customers, such as manufacturing, mining, agriculture, construction, and oil and gas exploration companies. These transactions may be pursuant to fuel purchase contracts or through spot sales. In certain instances, we serve as a reseller, where we purchase fuel from a supplier and contemporaneously resell it to our customers through spot and contract sales. We also maintain inventory in certain strategic locations, the cost of which is generally tied to market-based formulas.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we also provide transportation logistics for our product deliveries, including arranging for fuel products to be delivered from storage terminals to the appropriate sites through our own fleet of trucks as well as third-party transportation providers. The fuel is generally delivered to our customers directly or to a designated tanker truck loading terminal commonly referred to as "racks," which are owned and operated by our suppliers or other third-parties.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3, 2022, we closed the acquisition of all of the outstanding equity interest in Flyers Energy Group, LLC ("Flyers"). Flyers' operations include transportation, commercial fleet fueling, lubricants distribution, and the supply of wholesale, branded and renewable fuels. See Note 3. Acquisitions and Divestitures for additional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Marine Segment</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 our extensive network, we market fuel, lubricants and related products and services to a broad base of marine customers, including international container, dry bulk and tanker fleets, commercial cruise lines, yachts and time-charter operators, U.S. and foreign governments, as well as other fuel suppliers. We provide our customers with real-time global market intelligence and rapid access to quality and competitively priced marine fuel 24 hours a day, every day of the year. Our marine fuel-related services include management services for the procurement of fuel, cost control through the use of price risk management offerings, quality control and claims management. We have also sought to take a leading role in developing a sustainable marine fuel supply chain. Through collaboration with suppliers, customers and other industry participants, we are actively working to create near-term solutions and identify lower carbon alternatives that will enable the acceleration of the energy transition in the maritime industry.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serve primarily as a reseller, where we take delivery for fuel purchased from our supplier at the same place and time as the fuel is sold to our customer. We also sell fuel from our inventory, which we maintain in storage facilities that we own or lease. In certain cases, we serve as a broker and are paid a commission for negotiating the fuel purchase transaction between the supplier and the end-user, as well as for expediting delivery of the fuel.</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majority of our marine segment activity consists of spot sales. Our cost of fuel is generally tied to spot pricing, market-based formulas, or government-controlled prices. We also contract with third parties to provide various services for our customers, including fueling of vessels in ports and at sea and transportation and delivery of fuel and fuel-related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globally across industries that are highly fragmented with numerous competitors. Our competitors range in size and complexity from large multinational corporations, which have significantly greater capital resources than us, to relatively small and specialized firms. In our fuel distribution activities, we compete with major oil companies that market fuel directly to the large commercial airlines, shipping companies and petroleum distributors operating in the land transportation market as well as fuel resellers. We compete, among other things, on the basis of service, convenience, reliability, availability of trade credit and price. We believe that our extensive market knowledge, worldwide footprint, logistics expertise and support, the use of price risk management offerings, and value-added benefits, including single-supplier convenience, fuel quality control and fuel procurement outsourcing, give us the ability to compete within those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operating results are subject to seasonal variability. Our seasonality results from numerous factors, including traditionally higher demand for natural gas and home heating oil during the winter months and aviation and land fuel during the summer months, as well as other seasonal weather patterns. As such, our results of operations may fluctuate from period to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Supplying fuel safely and securely is a top priority. We monitor and manage our operations through processes and procedures designed to avoid and minimize our effects and impacts on the environment. Our business activities are subject to numerous federal, state, local and international laws, regulations and administrative requirements, including those relating to the sale, blending, storage, transportation, delivery and disposal of fuel and the collection, transportation, processing, storage, use and disposal of hazardous substances and wastes. For example, U.S. federal and state environmental laws applicable to us include statutes that: (i) allocate the cost of remedying contamination among specifically identified parties; (ii) impose national ambient standards and, in some cases, emission standards, for air pollutants that present a risk to public health or welfare; (iii) govern the management, treatment, storage and disposal of hazardous wastes; and (iv) regulate the discharge of pollutants into waterways. International treaties also prohibit the discharge of petroleum products at sea.</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Compliance with existing and future laws that regulate the delivery of fuel by barge, truck, vessel, pipeline or other means; fuel storage terminals or underground storage tanks that we own, lease or operate; or the quality of product under our control may require capital expenditures and increased operating and maintenance costs, particularly as we continue to expand our physical operations. In addition, continuing changes in environmental laws and regulations may also require capital expenditures by our customers or otherwise increase our customers’ operating costs, which could in turn, reduce the demand for our products and services or impact the pricing or availability of the products we sell. Environmental laws and regulations have historically been subject to frequent change and have tended to become more stringent and costly over time.</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could be subject to joint and several as well as strict liability for environmental contamination or violations of environmental regulations. Some of our current and former properties have been operated by third parties whose handling and management of hazardous materials were not under our control. Pursuant to certain environmental laws, we could be responsible for investigating and remediating contamination, including impacts attributable to prior site occupants or other third parties, and for implementing remedial measures to mitigate the risk of future contamination. In some cases, we may be eligible to receive money from state underground storage tank trust funds to help fund remediation. However, receipt of such payments is subject to stringent eligibility requirements and other limitations that can significantly reduce the availability of such trust fund payments and may delay or increase the duration of associated cleanups. Any such contamination, leaks from storage tanks or other releases of regulated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materials could result in claims against us by governmental authorities and other third parties for fines or penalties, natural resource damages, personal injury and property damage.</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subject to legal and administrative actions governing the investigation and remediation of contamination or spills from current and past operations. The penalties for violations of environmental laws can include injunctive relief; administrative, civil or criminal penalties; recovery of damages for injury to air, water or property; and third-party damages. Some environmental laws may also impose strict liability for remediation of spills and releases of oil and hazardous substances, which could subject us to liability without regard to whether we were negligent or at fault. See Item 1A. – Risk Factors.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Climate Change</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Climate change continues to be an area of focus at the local, national and international levels. As a result, a number of countries have adopted, or are considering the adoption of, regulatory frameworks to reduce greenhouse gas ("GHG") emissions. In the U.S., the U.S. Environmental Protection Agency ("EPA") has adopted rules requiring the reporting of GHG emissions by petroleum product suppliers and facilities meeting certain annual emissions thresholds and regulating emissions from major sources of GHGs under the Clean Air Act. In addition, several states and geographic regions in the U.S. have also adopted legislation and regulations to reduce emissions of GHGs, such as such as California, Oregon and Washington, which have formally enacted cap-and-trade programs and low carbon fuel standard obligations.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Shortly after taking office in January 2021, President Biden issued a series of executive orders designed to address climate change, including rejoining the Paris Agreement after the U.S. had withdrawn from the international accord in 2020. Additionally, in August 2022 the Inflation Reduction Act of 2022 was signed into law, which appropriates significant federal funding for renewable energy initiatives and imposes a fee on GHG emissions from certain facilities in the oil and natural gas sector. Various provisions of the law are designed to accelerate the transition away from fossil fuels or otherwise could adversely impact the use of petroleum-based fuels. In January 2023, the Biden Administration and various federal agencies, including the EPA and Departments of Energy and Transportation, announced a "blueprint" for decarbonizing the transportation sector in the U.S. to meet the goal of net-zero GHG emissions economy-wide by 2050. The strategy includes promoting wider adoption of electric vehicles and greater use of sustainable fuels to decarbonize forms of transportation that require more energy-dense fuels, such as air transportation and long-haul shipping.</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an international level, the European Union ("E.U.") has committed to reducing net GHG emissions by at least 55% by 2030. E.U. member states have implemented a range of subsidies and incentives to achieve the EU’s climate change goals, including through the European Union Emissions Trading System (‘‘EU ETS’’) for industrial emissions. The EU ETS is expected to become progressively more stringent over time, such as by including by reducing the number of allowances to emit GHGs as well as broadening the industries subject to the restrictions. In other non-E.U. countries, regulations include the adoption of cap and trade regimes, carbon taxes, restrictive permitting, increased efficiency standards, and incentives or mandates for renewable energy.</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the ultimate impact of these or other future measures is difficult to accurately predict, additional legislation or regulations could impose significant additional costs on us, our suppliers, vendors and customers, or could adversely affect demand for our energy products. The potential increase in our operating costs could include additional costs to operate and maintain our facilities, such as installing new infrastructure or technology to respond to new mandates, or paying taxes related to our GHG emissions, among others. Furthermore, changes in regulatory policies or increased awareness and any adverse publicity in the global marketplace about potential impacts on climate change by us or other companies in our industry, which could result in a reduction in the demand for hydrocarbon products that are deemed to contribute to GHGs, harm our reputation and adversely impact our sales of fuel products. See Item 1A. – 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Regulations</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global organization with customers and operations around the world, we are subject to an often complicated, multi-jurisdictional matrix of laws and regulations that govern international trade, including laws relating to anti-corruption, anti-money-laundering, export controls, economic sanctions, anti-boycott rules, currency exchange controls and transfer pricing rules. These laws and regulations are administered by, among others, the U.S. Department of Justice, Department of State, SEC, Internal Revenue Service, U.S Department of Commerce and U.S. Department of the Treasury, as well as the counterparts of these agencies in foreign countries. As a result of the military conflict in Eastern Europe, the U.S., the E.U., the U.K. and other countries in which we operate have imposed sanctions on Russia and other individuals and entities with connections to the Russian state. These sanctions continue to evolve and have become significantly more stringent over time. Violations of these sanctions can result in significant penalties and civil and criminal liabilities.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 are also subject to a variety of other U.S. and foreign laws and regulations, relating to:</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and employment;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workplace and driver safety;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privacy and protection;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commodities trading, brokerage, derivatives and advisory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and payment card processing and payment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petroleum marketing;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human rights and modern slavery;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antitrust and competition;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regulatory reporting and licensing requirements.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Due to the complex and technical nature of many of these laws and regulations, inadvertent violations may occur. If we fail to comply with these laws or regulations for any reason, we would be required to correct or implement measures to prevent a recurrence of any violations, which could increase our operating costs. See the section entitled Item 1A, "Risk Factors" for additional information regarding the impacts of government regulation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World Fuel Services, we believe that our people's passion and expertise are what differentiates us and investing in our people is a top priority. Our comprehensive approach to serving our workforce includes our commitment to promoting a diverse and inclusive environment, as well as focusing on our employees' growth and development, health and safety, and overall well-being. The following charts provide information about our global workforce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61595</wp:posOffset>
            </wp:positionV>
            <wp:extent cx="5057775" cy="1680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5777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and Safety</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global energy management company, we are committed to doing the right thing in all that we do and we continually seek to protect the health and safety of our employees, contractors, customers, suppliers and the communities in which we operate. We are committed to playing a leading role in promoting best practices within the transportation industry and are closely involved in developing, setting, and maintaining health, safety and environment ("HSE") industry standards. We have established a set of "Rules to Live By" to help strengthen our existing Integrated Management System and drive appropriate safety behaviors and practices, which we believe are vital to preventing workplace incidents. These rules are designed to ensure the safety of our employees, contractors, customers, suppliers and communities around the world.</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developed what we believe to be a comprehensive process designed to identify, assess and manage HSE risks in our operations. We set targets for performance improvements and regularly measure, audit and report on our performance both internally and in accordance with applicable laws. We also expect our contractors to manage HSE matters in line with our policies and strive to maintain an open dialogue with our stakeholders to better align our policies with the priorities within the communities where we operate.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Equity and Inclusion</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place a high degree of focus on growth in position and career enhancement paths for our employees by providing professional development opportunities and cultivating a diverse talent pool. In this regard, we are committed to working on increasing transparency around our talent recruitment, development and retention efforts, as well as our diversity, equity and inclusion initiatives. We have developed a set of commitments for our business, including initiatives aimed at increasing the representation of minorities and military veterans throughout our organization, as well as the representation of women in senior management. These initiatives include providing unconscious bias training to our managers, mandating diverse interview panels in our recruiting process and actively participating in veteran programs that provide employment opportunities and educational support to military veterans and their families.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Development and Well-Being</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Investing in our employees is a top priority and we continually strive to provide an environment that promotes learning, growth and development to maximize our people's potential. We are committed to creating a learning culture that builds skills needed for the future and develops great leaders. We provide a variety of resources to further our employees' development, including online resources as well as in-person and virtual training programs to develop skills and gain knowledge that advances employees' careers.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committed to supporting the health and well-being of our employees and their families, as we believe that the key to successful business operations is a healthy and competent workforce. We have identified a strong connection between employee well-being and the safety of business operations. Accordingly, we are devoted to supporting employee well-being in all dimensions, which goes beyond their physical well-being and includes support for emotional, financial and social well-being. It is a holistic approach intended to provide support and resources that empower our employees and their families to embrace a healthy lifestyle. We have launched various programs designed to build a global culture that promotes and celebrates employee health and well-being in our locations around the world. The goal of these programs is to integrate employee health and well-being into the World Fuel Services culture through fun and educational events, webinars, activities and fitness challenges.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Citizenship</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fostering sustainable growth is about conducting our business in a manner that promotes a healthy environment and strengthens the local communities where we operate. At World Fuel Services, we and all of our employees are dedicated to being a good neighbor and charitable partner in the communities where we conduct our operations. We are committed to creating a positive impact in our communities, encouraging our employees to support the communities in which they live and in which we operate, and engaging with and supporting charities in all aspects of society.</w:t>
      </w:r>
    </w:p>
    <w:p>
      <w:pPr>
        <w:spacing w:after="0" w:line="97"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Some of the charities in which we have participated recently include: Disasters Emergency Committee; Electriciens sans frontières; Red Cross; Muscular Dystrophy Association (MDA); Jet Blue Swing for Good, which supports youth-oriented charities; and many more local and global institutions and organizations.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2022 10-K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2022 10 -K Report includes forward-looking statements regarding (i) the conditions in the aviation, land, and marine markets and their impact on our business,</w:t>
      </w:r>
    </w:p>
    <w:p>
      <w:pPr>
        <w:spacing w:after="0" w:line="2" w:lineRule="exact"/>
        <w:rPr>
          <w:sz w:val="20"/>
          <w:szCs w:val="20"/>
          <w:color w:val="auto"/>
        </w:rPr>
      </w:pPr>
    </w:p>
    <w:p>
      <w:pPr>
        <w:jc w:val="both"/>
        <w:ind w:firstLine="8"/>
        <w:spacing w:after="0" w:line="252" w:lineRule="auto"/>
        <w:tabs>
          <w:tab w:leader="none" w:pos="263"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strategies, the impact of fuel prices and our working capital, liquidity, and capital expenditure requirements, (iii) our expectations and estimates regarding tax, legal and accounting matters, including the impact on our financial statements, (iv) our expectations regarding the financial impact and other benefits of previous acquisitions, including estimates of future expenses and our ability to realize estimated synergies, (v) estimates regarding the financial impact of our derivative contracts, and (vi) our role in the transition to lower carbon alternatives and the impact of our services on such transition. These forward-looking statements are qualified in their entirety by cautionary statements and risk factor disclosures contained in our SEC filings.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the estimates and projections reflected in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forward-looking statements are reasonable, our expectations may prove to be incorrect. Our actual results may differ materially from the future results, performance or achievements expressed or implied by the forward-looking statements.</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90" w:lineRule="exact"/>
        <w:rPr>
          <w:sz w:val="20"/>
          <w:szCs w:val="20"/>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sudden changes in the market price of fuel or extremely high or low fuel prices that continue for an extended period of time;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effectively mitigate certain financial risks and other risks associated with derivatives and our physical fuel products;</w:t>
      </w:r>
    </w:p>
    <w:p>
      <w:pPr>
        <w:spacing w:after="0" w:line="117"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relationships with our employees and potential labor disputes associated with employees covered by collective bargaining agreements;</w:t>
      </w:r>
    </w:p>
    <w:p>
      <w:pPr>
        <w:spacing w:after="0" w:line="89"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governing our senior revolving credit facility ("Credit Facility") and our senior term loan ("Term Loan"), including our financial covenants;</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such as the current conflict in Eastern Europe;</w:t>
      </w:r>
    </w:p>
    <w:p>
      <w:pPr>
        <w:spacing w:after="0" w:line="89" w:lineRule="exact"/>
        <w:rPr>
          <w:rFonts w:ascii="Arial" w:cs="Arial" w:eastAsia="Arial" w:hAnsi="Arial"/>
          <w:sz w:val="18"/>
          <w:szCs w:val="18"/>
          <w:color w:val="auto"/>
        </w:rPr>
      </w:pPr>
    </w:p>
    <w:p>
      <w:pPr>
        <w:jc w:val="both"/>
        <w:ind w:left="580" w:hanging="329"/>
        <w:spacing w:after="0" w:line="256"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w:t>
      </w:r>
    </w:p>
    <w:p>
      <w:pPr>
        <w:spacing w:after="0" w:line="93"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than expected cash flows and revenues, which could impair our ability to realize the value of recorded intangible assets and goodwill;</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inflationary pressures and their impact on our customers or the global economy, including sudden or significant increases in interest rates or a global recession;</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leverage technology and operating systems and realize the anticipated benefits;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meet fuel and other product specifications agreed with our customers;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reputational harm from adverse publicity arising out of spills, environmental contamination or public perception about the impacts on climate change by us or other companies in our industry;</w:t>
      </w:r>
    </w:p>
    <w:p>
      <w:pPr>
        <w:spacing w:after="0" w:line="89"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uninsured or underinsured losses;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0" w:right="2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 as well as the impact of natural disasters, such as earthquakes, hurricanes and wildfires;</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or foreign tax laws, interpretations of such laws, changes in the mix of taxable income among different tax jurisdictions, or adverse results of tax audits, assessments, or disputes;</w:t>
      </w:r>
    </w:p>
    <w:p>
      <w:pPr>
        <w:spacing w:after="0" w:line="89"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U.K.'s exit from the European Union, known as Brexit, on our business, operations and financial condition;</w:t>
      </w:r>
    </w:p>
    <w:p>
      <w:pPr>
        <w:spacing w:after="0" w:line="117"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health developments and economic uncertainty following the COVID-19 pandemic;</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 and</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this 2022 10-K Report and those described from time to time in our other filings with the SEC.</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2022 10-K Report will be deemed to modify or supersede such forward-looking statements.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Exchange Act, as amended.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You should carefully consider each of the following risks and all the other information contained in this 2022 10-K Report in evaluating us and our common stock. Although the risks are organized by headings, and each risk is discussed separately, many are interrelated. Our business, financial condition, results of operations and cash flows could be materially and adversely affected by these risks, and, as a result, the trading price of our common stock could decline. We have in the past been adversely affected by certain of, and may in the future be affected by, these risks. You should not interpret the disclosure of any risk factor to imply that the risk has not already materialized.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&amp; Operational Risks</w:t>
      </w:r>
    </w:p>
    <w:p>
      <w:pPr>
        <w:spacing w:after="0" w:line="225" w:lineRule="exact"/>
        <w:rPr>
          <w:sz w:val="20"/>
          <w:szCs w:val="20"/>
          <w:color w:val="auto"/>
        </w:rPr>
      </w:pPr>
    </w:p>
    <w:p>
      <w:pPr>
        <w:ind w:right="680"/>
        <w:spacing w:after="0" w:line="278" w:lineRule="auto"/>
        <w:rPr>
          <w:sz w:val="20"/>
          <w:szCs w:val="20"/>
          <w:color w:val="auto"/>
        </w:rPr>
      </w:pPr>
      <w:r>
        <w:rPr>
          <w:rFonts w:ascii="Arial" w:cs="Arial" w:eastAsia="Arial" w:hAnsi="Arial"/>
          <w:sz w:val="17"/>
          <w:szCs w:val="17"/>
          <w:b w:val="1"/>
          <w:bCs w:val="1"/>
          <w:color w:val="auto"/>
        </w:rPr>
        <w:t>We extend credit to most of our customers in connection with their purchase of fuel and services from us, and our financial condition, results of operations and cash flows will be adversely affected if we are unable to collect accounts receivable.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in attracting customers has been partly due to our willingness to extend credit on an unsecured basis to customers instead of requiring prepayment, letters of credit or other forms of credit support. Even in cases where we do obtain credit enhancements, such as guarantees, offset rights, collateral or other forms of security, such rights may not be sufficient to ensure amounts owed to us are fully collectible. Furthermore, our credit risk is concentrated in the aviation, land and marine transportation industries, which exposes us to greater risk when there are global impacts to these industries, such as what occurred during the COVID-19 pandemic.</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exposure to credit losses depends primarily on the financial condition of our customers and other factors beyond our control. Such factors include decreased demand for travel and other transportation services, weakness in the world economy or in the industries we serve, significant changes in oil prices and political instability, among others. Sudden and unexpected negative changes in the financial condition of our customers, including insolvency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bankruptcy, could have a negative impact on our sales, make it more difficult to collect on receivables, and may cause us to incur bad debt expense at levels higher than we have historically experienced. For example, our provision for bad debt in our aviation segment was materially higher during 2020 due to the impact of the COVID-19 pandemic on the aviation industry.</w:t>
      </w:r>
    </w:p>
    <w:p>
      <w:pPr>
        <w:spacing w:after="0" w:line="9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efforts to manage our credit exposure and respond to changes in our customers' financial condition and other macroeconomic events may not be sufficient to mitigate these risks. Substantial credit losses could have a material adverse effect on our financial condition, results of operations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market price of fuel may have a material adverse effect on our business.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Fuel prices are volatile and can be impacted by many factors beyond our control, including: expectations about future supply and demand for fuel products; oil and gas production levels set and maintained by the Organization of Petroleum Exporting Countries ("OPEC") as well as non-OPEC countries; global economic and political conditions that impact or create uncertainty in the global energy markets, such as the ongoing military conflict in Eastern Europe, threatened or actual acts of terrorism, war or civil unrest; laws, regulations or taxes related to environmental matters, including those mandating or incentivizing alternative energy sources or otherwise addressing global climate change; energy conservation efforts and technological advances affecting energy consumption or supply; regulatory changes in commodities markets; and extreme weather and other natural disasters.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described above, we extend credit to many of our customers in connection with their purchase of fuel and services from us. During periods of high fuel prices, our customers may not be able to purchase the same volumes of fuel from us because of their financial credit limits with us. An inability to purchase fuel from us or other suppliers can have an adverse impact on their business, causing them to be unable to make payments owed to us for fuel they previously purchased on credit. In addition, high fuel prices can impact our own credit limits with our suppliers, preventing us from purchasing enough fuel to meet customer demand unless we provide additional credit support for fuel purchases, such as letters of credit, bank guarantees or prepayments, any of which could adversely impact our liquidity and increase our working capital costs.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our results of operations and overall profitability. This can occur due to many factors, such as reduced demand for our price risk management products and decreased sales to our customers involved in the oil exploration sector. Low fuel prices also facilitate increased competition by reducing financial barriers to entry and enabling existing, lower-capitalized competitors to conduct more business because of the lower working capital requirements.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also experience negative results in volatile market pricing environments experiencing severe disruption. For example, in the first six months of 2022, our aviation segment was significantly and adversely affected by severe backwardation, a market condition in which oil futures forward prices trade at lower levels than the current market price. Our enhanced efforts to limit our exposure to this type of market risk may not be fully effective in the future.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we maintain fuel inventories for competitive and logistical reasons. Significant variations in the market prices of products held in our inventories may require us to record inventory valuation charges. Our inventory is principally valued using the weighted average cost methodology and is stated at the lower of average cost or net realizable value. The hedging transactions we undertake to limit the financial effects of commodity price fluctuations may not be fully effective. Accordingly, if the market value of our inventory is less than our average cost and to the extent our hedges are not effective at mitigating fluctuations in prices, we may be required to record a write-down of inventory on hand and incur a non-cash charge or suffer losses as fuel is sold, which could adversely impact our earnings.</w:t>
      </w:r>
    </w:p>
    <w:p>
      <w:pPr>
        <w:spacing w:after="0" w:line="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color w:val="auto"/>
        </w:rPr>
        <w:t>Adverse conditions or events affecting the aviation, marine and land transportation industries may have a material adverse effect on our business.</w:t>
      </w:r>
    </w:p>
    <w:p>
      <w:pPr>
        <w:jc w:val="both"/>
        <w:spacing w:after="0" w:line="251" w:lineRule="auto"/>
        <w:rPr>
          <w:sz w:val="20"/>
          <w:szCs w:val="20"/>
          <w:color w:val="auto"/>
        </w:rPr>
      </w:pPr>
      <w:r>
        <w:rPr>
          <w:rFonts w:ascii="Arial" w:cs="Arial" w:eastAsia="Arial" w:hAnsi="Arial"/>
          <w:sz w:val="18"/>
          <w:szCs w:val="18"/>
          <w:color w:val="auto"/>
        </w:rPr>
        <w:t>Our business is focused on the marketing of energy and other related products and services primarily to the aviation, land and marine transportation industries, which are generally affected by economic cycles and other global events. Therefore, weak economic conditions generally have a negative impact on our customers' business which may, in turn, have an adverse effect on our business. Additionally, our business and that of our customers can be adversely impacted by political instability, terrorist activities, piracy, military action, transportation, terminal or pipeline capacity constraints, natural disasters and other weather-related events that disrupt shipping, flight operations, land transportation or the availability of fuel, which may negatively impact sales of our products and services. Certain of our customers are affected by variations in demand for business and leisure travel. Business travel can be impacted by increased use of conferencing and collaboration technology, increased remote work and cost-driven business travel limitations, while leisure travel demand can be impacted by reductions in consumer discretionary income and other economic factors. Additionally, political or governmental developments or other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global health concerns or crises in the countries in which we or our customers operate, could also result in further social, economic or labor instability. Further, personnel or other shortages can impact our customers’ ability to meet demand, which may in turn adversely affect their demand for our fuel products. Accordingly, the effects of any of the foregoing risks and uncertainties on us or our customers could have a material adverse effect on our business, results of operations and financial condition.</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may be adversely affected by consolidation in the aviation, land or marine transportation industries, which may reduce the number of customers that purchase our products and services. Larger shipping companies and airlines often have greater leverage and have a greater ability to buy directly from major oil companies and suppliers. Accordingly, this can negatively impact our value proposition to these types of customers and increases the risk of disintermediation.</w:t>
      </w:r>
    </w:p>
    <w:p>
      <w:pPr>
        <w:spacing w:after="0" w:line="74" w:lineRule="exact"/>
        <w:rPr>
          <w:sz w:val="20"/>
          <w:szCs w:val="20"/>
          <w:color w:val="auto"/>
        </w:rPr>
      </w:pPr>
    </w:p>
    <w:p>
      <w:pPr>
        <w:ind w:right="920"/>
        <w:spacing w:after="0" w:line="263" w:lineRule="auto"/>
        <w:rPr>
          <w:sz w:val="20"/>
          <w:szCs w:val="20"/>
          <w:color w:val="auto"/>
        </w:rPr>
      </w:pPr>
      <w:r>
        <w:rPr>
          <w:rFonts w:ascii="Arial" w:cs="Arial" w:eastAsia="Arial" w:hAnsi="Arial"/>
          <w:sz w:val="18"/>
          <w:szCs w:val="18"/>
          <w:b w:val="1"/>
          <w:bCs w:val="1"/>
          <w:color w:val="auto"/>
        </w:rPr>
        <w:t>Our physical operations have inherent risks that could negatively impact our business, financial condition and results of operations.</w:t>
      </w:r>
    </w:p>
    <w:p>
      <w:pPr>
        <w:spacing w:after="0"/>
        <w:rPr>
          <w:sz w:val="20"/>
          <w:szCs w:val="20"/>
          <w:color w:val="auto"/>
        </w:rPr>
      </w:pPr>
      <w:r>
        <w:rPr>
          <w:rFonts w:ascii="Arial" w:cs="Arial" w:eastAsia="Arial" w:hAnsi="Arial"/>
          <w:sz w:val="18"/>
          <w:szCs w:val="18"/>
          <w:color w:val="auto"/>
        </w:rPr>
        <w:t>Operating fuel storage and distribution terminals and transporting fuel products involve inherent risks, including:</w:t>
      </w:r>
    </w:p>
    <w:p>
      <w:pPr>
        <w:spacing w:after="0" w:line="117" w:lineRule="exact"/>
        <w:rPr>
          <w:sz w:val="20"/>
          <w:szCs w:val="20"/>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fires, collisions and other catastrophic disasters;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traffic accidents, injuries and loss of life;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spills, discharges, contaminations and other releases;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damage and destruction of property and equipment;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product and business interruption.</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of the foregoing could result in distribution difficulties and disruptions, environmental pollution, government-imposed fines or clean-up obligations, personal injury or wrongful death claims, or damage to our properties or the properties of others. The occurrence of any of these events could also damage our reputation, which could adversely affect our business, whether or not we are ultimately held financially liable for such event. While we keep business continuity plans to address these types of contingencies, our failure to timely or properly implement these plans could exacerbate the impact on the business. Certain losses may exceed our insurance coverage limits or be outside the scope of our coverage. If we are held liable for any material damages, and the liability is not adequately covered by insurance, our financial position and results of operations would likely be adversely affected.</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as we invest more heavily in physical assets in certain locations, our ability to quickly reposition our business in the event of a downturn in the economy of a particular geographic area becomes increasingly difficult. Accordingly, we may be forced to incur significant costs in maintaining or even exiting a physical location, which would have an adverse effect on our results of operations.</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Some of our workforce is unionized, and we may face labor disruptions and cost increases that adversely affect our business. </w:t>
      </w:r>
      <w:r>
        <w:rPr>
          <w:rFonts w:ascii="Arial" w:cs="Arial" w:eastAsia="Arial" w:hAnsi="Arial"/>
          <w:sz w:val="18"/>
          <w:szCs w:val="18"/>
          <w:color w:val="auto"/>
        </w:rPr>
        <w:t>Some of our employees, including certain of our drivers that transport and deliver fuel products, are represented by labor unions under collective bargaining agreements. Additional unionization of our workforce or any renegotiation of current collective bargaining agreements may result in terms that are less favorable to us. Any strike, work stoppage or other dispute with our unionized employees or those of third parties who provide us services or operate assets upon which we rely to distribute our products could have a material adverse effect on our results of operations and cash flows. Our customers may also experience strikes, labor negotiations, labor disputes and work stoppages that could reduce their demand for our products and services or their ability to pay for products and services already provided.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provide products or services to our customers as agreed, it could adversely affect our business.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depends on the availability and supply of fuel and fuel-related products, as well as the satisfactory performance of services by us or third parties on our behalf. If the fuel and other products we sell or the services we provide, whether directly or through a third party, fail to meet the requirements we have agreed to with customers or those mandated by law or regulation, whether due to contamination, arising in connection with our advisory services or otherwise, our relationship with our customers can be adversely affected and we may be subject to material claims and liabilities. Changes in product quality specifications or blending requirements could reduce demand, impact our throughput volume, require us to incur additional costs or require capital expenditures. We may also incur material liabilities if our products cause physical damage to a vessel or aircraft, bodily injury or result in the assertion of substantial claims of civil liability against us. In addition, adverse publicity about any allegations of contaminated products may negatively impact our business, regardless of whether such allegations are true.</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Although most of our agreements with suppliers provide that we have recourse against them for products that fail to meet contractual specifications, such recourse may be time-barred or otherwise insufficient to adequately cover the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liability we may incur and our ability to enforce such recourse may be limited or costly. For example, several of our supply agreements are with foreign entities, including foreign governments, and are governed by the laws of foreign jurisdictions. We may incur substantial costs in seeking to enforce our rights against a local supplier in a foreign jurisdiction and the ultimate outcome can be unpredictable. In certain markets, we also rely on a single or limited number of suppliers to sell us fuel or provide services on our behalf. We may have limited alternatives if such supplier fails to meet applicable standards or requirements. Any of the foregoing can result in material liabilities that may exceed any applicable insurance coverage or other form of recourse and ultimately, could have a material adverse effect on our business, financial condition, results of operations and cash flows.</w:t>
      </w:r>
    </w:p>
    <w:p>
      <w:pPr>
        <w:spacing w:after="0" w:line="7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color w:val="auto"/>
        </w:rPr>
        <w:t>We may be unable to successfully integrate our acquisitions or fully realize the anticipated benefits of our acquisitions and other strategic investments.</w:t>
      </w:r>
    </w:p>
    <w:p>
      <w:pPr>
        <w:jc w:val="both"/>
        <w:spacing w:after="0" w:line="256" w:lineRule="auto"/>
        <w:rPr>
          <w:sz w:val="20"/>
          <w:szCs w:val="20"/>
          <w:color w:val="auto"/>
        </w:rPr>
      </w:pPr>
      <w:r>
        <w:rPr>
          <w:rFonts w:ascii="Arial" w:cs="Arial" w:eastAsia="Arial" w:hAnsi="Arial"/>
          <w:sz w:val="18"/>
          <w:szCs w:val="18"/>
          <w:color w:val="auto"/>
        </w:rPr>
        <w:t>As part of our business strategy, we may pursue acquisition opportunities and strategic investments, as well as divest certain businesses to enable us to invest in our core business activities. In early 2022, we completed our largest acquisition to date, the acquisition of Flyers Energy Group, LLC, significantly increasing the scale and geographic footprint of our land segment in North America.</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integration of acquired businesses with our existing business is a complex, costly and time-consuming process. We have incurred, and expect to continue incurring, expenses related to the integration of businesses we acquire. The success of our inorganic growth strategy will depend, in part, on our ability to successfully combine our existing business with acquired businesses and realize the anticipated benefits from such acquisitions, including synergies, cost savings, earnings growth, and operational efficiencies.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Acquiring and integrating businesses may place a strain on our management, operational and financial resources, and expose us to additional risks and unexpected expenses, some of which we have experienced in the past and which we may experience in the future, including:</w:t>
      </w:r>
    </w:p>
    <w:p>
      <w:pPr>
        <w:spacing w:after="0" w:line="94" w:lineRule="exact"/>
        <w:rPr>
          <w:sz w:val="20"/>
          <w:szCs w:val="20"/>
          <w:color w:val="auto"/>
        </w:rPr>
      </w:pPr>
    </w:p>
    <w:p>
      <w:pPr>
        <w:ind w:left="580" w:hanging="329"/>
        <w:spacing w:after="0" w:line="261"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operating costs and difficulties in efficiently integrating the operations, financial reporting, IT systems, technology, and personnel of acquired businesses;</w:t>
      </w:r>
    </w:p>
    <w:p>
      <w:pPr>
        <w:spacing w:after="0" w:line="89"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managing acquired businesses while maintaining uniform standards, controls and risk management processes appropriate for a public company;</w:t>
      </w:r>
    </w:p>
    <w:p>
      <w:pPr>
        <w:spacing w:after="0" w:line="89"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using estimates and judgments when evaluating the various risks and opportunities of the acquired business that may ultimately prove to be incorrect;</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other business concerns;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impacts of changes in management on existing business relationships and other disruptions of the acquired business;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entry into markets in which we may have no or limited direct prior experience;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in retaining key employees, customers or suppliers of the acquired businesses;</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liquidity or increased indebtedness if we use a material portion of our available cash or borrowing capacity to fund acquisitions;</w:t>
      </w:r>
    </w:p>
    <w:p>
      <w:pPr>
        <w:spacing w:after="0" w:line="89" w:lineRule="exact"/>
        <w:rPr>
          <w:rFonts w:ascii="Arial" w:cs="Arial" w:eastAsia="Arial" w:hAnsi="Arial"/>
          <w:sz w:val="18"/>
          <w:szCs w:val="18"/>
          <w:color w:val="auto"/>
        </w:rPr>
      </w:pPr>
    </w:p>
    <w:p>
      <w:pPr>
        <w:ind w:left="580" w:right="20" w:hanging="329"/>
        <w:spacing w:after="0" w:line="261"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 of material liabilities, exposure to litigation, regulatory noncompliance or unknown liabilities associated with the acquired businesses; and</w:t>
      </w:r>
    </w:p>
    <w:p>
      <w:pPr>
        <w:spacing w:after="0" w:line="89"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indemnities, or security supporting such indemnities, from sellers in an acquisition or ongoing indemnity obligations to purchasers in a divestiture.</w:t>
      </w:r>
    </w:p>
    <w:p>
      <w:pPr>
        <w:spacing w:after="0" w:line="9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These risks may result in an adverse effect on our results of operations or financial condition or result in costs that outweigh the financial benefit of such opportunities. We may also undertake dilutive issuances of equity securities to fund the purchase or ongoing operations of the acquired business. This could adversely affect the market price of our common stock, inhibit our ability to pay dividends or otherwise restrict our operations.</w:t>
      </w:r>
    </w:p>
    <w:p>
      <w:pPr>
        <w:spacing w:after="0" w:line="7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color w:val="auto"/>
        </w:rPr>
        <w:t>Information technology failures and data security breaches, including as a result of cybersecurity attacks, could negatively impact our results of operations and financial condition, subject us to increased operating costs, and expose us to litigation.</w:t>
      </w:r>
    </w:p>
    <w:p>
      <w:pPr>
        <w:jc w:val="both"/>
        <w:spacing w:after="0" w:line="254" w:lineRule="auto"/>
        <w:rPr>
          <w:sz w:val="20"/>
          <w:szCs w:val="20"/>
          <w:color w:val="auto"/>
        </w:rPr>
      </w:pPr>
      <w:r>
        <w:rPr>
          <w:rFonts w:ascii="Arial" w:cs="Arial" w:eastAsia="Arial" w:hAnsi="Arial"/>
          <w:sz w:val="18"/>
          <w:szCs w:val="18"/>
          <w:color w:val="auto"/>
        </w:rPr>
        <w:t>We rely heavily on the proper functioning and availability of both internal and third-party information technology systems, including network infrastructure and cloud applications and services, to support a variety of business processes and activities across our global operations. Our technology systems and those of our third-party service providers are subject to various interruptions, including damage, disability or failures due to physical theft, power outages, telecommunication failures, programming or operational errors, natural disasters and other catastrophic</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events. These systems are also subject to cybersecurity attacks, such as hacking, malware, ransomware, denial-of-service attacks, computer viruses, misconduct by our employees or those of third-party providers, and other unauthorized access, release, corruption or loss of data. Given the nature of cyber attacks, some incidents can remain undetected for a period of time despite efforts to detect and respond to them in a timely manner. Furthermore, cyber attacks are becoming more sophisticated, including those carried out by state-sponsored actors, and increasingly target critical infrastructure. Additionally, cyber attacks can affect third-party networks outside of our control that are required to operate trading platforms, pipelines, and other infrastructure we rely on to conduct our business. For example, in 2021, Colonial Pipeline Company temporarily shut down its pipeline system following a ransomware attack on its systems. While this shutdown did not have a material adverse impact on us or our operations, future cyberattacks affecting pipelines or other critical fuel delivery infrastructure could significantly impact our ability to procure supply or deliver our fuel products to customers.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reliance on email transmissions over public networks also exposes us to risks associated with the failure of our employees, customers, business partners and other third parties to use appropriate controls to protect sensitive information, due to risks associated with social engineering (e.g., phishing and impersonation), fraud and email scams. External parties may attempt to fraudulently induce employees, customers, suppliers or other users of our systems to disclose sensitive information to gain access to our data or use electronic means to induce us to enter into fraudulent transactions.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due to the large number of transactions that run through our systems each day, significant system downtime or disruption could have a material impact on our, and in the case of our technology offerings, our customers', ability to conduct business, process and record transactions, make operational and financial decisions or damage our reputation with customers or suppliers, particularly in the event of billing errors or payment delays. Similarly, if ours or any of our cloud service providers' access to cloud-based platforms and services is disrupted for any reason and leads to disruptions in our critical systems, our operations and ability to manage our business could be adversely impacted. While we seek to obtain contractual protections in our agreements with these providers, we may not have sufficient recourse against these parties in the event they experience a significant cybersecurity attack or other security breach affecting our or our customers' data.</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cybersecurity and infrastructure protection technologies, disaster recovery plans and systems, employee training and vendor risk management that we use to mitigate cybersecurity threats may not be sufficient to defend us against all unauthorized attempts to access our information or impact our systems. As cybersecurity threats continue to evolve, we may be required to dedicate significant additional resources and incur substantial costs to modify or enhance our security measures or to investigate and remediate any vulnerabilities. Despite these efforts, we may be unable to fully anticipate or implement adequate preventive measures or mitigate potential harm. To our knowledge, we have not experienced any material losses relating to cybersecurity attacks. However, there can be no assurance that we will not suffer material losses in the future. We currently maintain insurance to protect against cybersecurity risks and incidents, but this insurance may not be sufficient to cover the financial, legal, business or reputational losses that may result from such incidents. Any of the adverse effects described above could damage our brand, competitiveness and ability to conduct our business, impact our credit and risk exposure decisions, cause us to lose customers or revenues, subject us to significant remediation costs, litigation or regulatory actions, fines and penalties, or otherwise have a material adverse effect on our cash flows, financial condition or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to government customers subject us to additional risks.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Sales to government customers have accounted for a material portion of our profitability in the recent past. Government sales can be materially impacted by factors such as administration policy changes, supply disruptions, border closures, road blockages, inventory shortages and other logistical difficulties that can arise when conducting business in areas with active military conflicts, natural disasters or other severe circumstances. Moreover, there is a risk of serious injury or loss of life for our employees or subcontractors operating in high-risk locations. We may therefore incur substantial operating costs as a result of, among other things, hostility-related product losses, utilizing alternate supply routes or increased security requirements, particularly where our facilities are likely to be subject to terrorist activity or extreme weather-related impacts.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complying with government contracting rules and regulations is complex and government customers routinely audit contractors to review performance, cost structure and compliance with applicable laws, regulations, and standards, as well as the adequacy of and compliance with internal control systems and policies. Any inadequacies in our systems and policies could result in payments being withheld, penalties and reduced future business. Improper or illegal activities, including those caused by our subcontractors, could also subject us to civil or criminal penalties or administrative sanctions, including contract termination, fines, forfeiture of fees, suspension of payment and suspension or debarment from doing business with government agencies, any of which could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materially adversely affect our reputation, business, financial condition or results of operations. See Part I. Item 1. – Business of this 2022 10-K Report for additional details regarding applicable laws and regulations.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Economic &amp; Market Risks</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color w:val="auto"/>
        </w:rPr>
        <w:t>Economic, political and other risks associated with international sales and operations could adversely affect our business and future operating results.</w:t>
      </w:r>
    </w:p>
    <w:p>
      <w:pPr>
        <w:spacing w:after="0" w:line="261" w:lineRule="auto"/>
        <w:rPr>
          <w:sz w:val="20"/>
          <w:szCs w:val="20"/>
          <w:color w:val="auto"/>
        </w:rPr>
      </w:pPr>
      <w:r>
        <w:rPr>
          <w:rFonts w:ascii="Arial" w:cs="Arial" w:eastAsia="Arial" w:hAnsi="Arial"/>
          <w:sz w:val="18"/>
          <w:szCs w:val="18"/>
          <w:color w:val="auto"/>
        </w:rPr>
        <w:t>Because we offer fuel products and services on a worldwide basis, our business is subject to risks associated with doing business internationally, such as:</w:t>
      </w:r>
    </w:p>
    <w:p>
      <w:pPr>
        <w:spacing w:after="0" w:line="90" w:lineRule="exact"/>
        <w:rPr>
          <w:sz w:val="20"/>
          <w:szCs w:val="20"/>
          <w:color w:val="auto"/>
        </w:rPr>
      </w:pPr>
    </w:p>
    <w:p>
      <w:pPr>
        <w:ind w:left="580" w:hanging="329"/>
        <w:spacing w:after="0" w:line="261"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protection measures and import, export and other licensing requirements, which could increase our costs or prevent us from doing certain business internationally;</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costs associated with hiring and retaining senior management for overseas operations;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 which may be costly and require significant time to implement;</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that restrict us from repatriating profits earned from our activities within certain foreign countries;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severe currency devaluations;</w:t>
      </w:r>
    </w:p>
    <w:p>
      <w:pPr>
        <w:spacing w:after="0" w:line="117" w:lineRule="exact"/>
        <w:rPr>
          <w:rFonts w:ascii="Arial" w:cs="Arial" w:eastAsia="Arial" w:hAnsi="Arial"/>
          <w:sz w:val="18"/>
          <w:szCs w:val="18"/>
          <w:color w:val="auto"/>
        </w:rPr>
      </w:pPr>
    </w:p>
    <w:p>
      <w:pPr>
        <w:ind w:left="580" w:hanging="329"/>
        <w:spacing w:after="0" w:line="261"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governmental actions that may result in expropriation, the deprivation of our contractual rights or the inability to obtain or retain authorizations required to conduct our business;</w:t>
      </w:r>
    </w:p>
    <w:p>
      <w:pPr>
        <w:spacing w:after="0" w:line="89"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risks, including changes in governments, corruption and uncertain regulatory environments;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terrorism, war, civil unrest, natural disasters and other severe weather-related events.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we have substantial operations in the U.K., particularly in our land segment, and the U.K.'s exit from the E.U. in January 2020 (commonly referred to as "Brexit") may adversely affect our business in the U.K. and relationships with our customers, suppliers and other stakeholders. These risks include disruptions in our supply chains and the free movement of goods, services and people between the U.K. and the E.U., staffing challenges, increased costs, legal uncertainties and potentially divergent national laws and regulations in areas such as tax, licensing and other regulatory rights and obligations. There can be no assurance that any or all of these events will not have a material adverse effect on our business operations, results of operations and financial condition.</w:t>
      </w:r>
    </w:p>
    <w:p>
      <w:pPr>
        <w:spacing w:after="0" w:line="78"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b w:val="1"/>
          <w:bCs w:val="1"/>
          <w:color w:val="auto"/>
        </w:rPr>
        <w:t>Our business depends on our ability to adequately finance our capital requirements and fund our investments, which, if not available to us, would impact our ability to conduct our operations.</w:t>
      </w:r>
    </w:p>
    <w:p>
      <w:pPr>
        <w:jc w:val="both"/>
        <w:spacing w:after="0" w:line="252" w:lineRule="auto"/>
        <w:rPr>
          <w:sz w:val="20"/>
          <w:szCs w:val="20"/>
          <w:color w:val="auto"/>
        </w:rPr>
      </w:pPr>
      <w:r>
        <w:rPr>
          <w:rFonts w:ascii="Arial" w:cs="Arial" w:eastAsia="Arial" w:hAnsi="Arial"/>
          <w:sz w:val="18"/>
          <w:szCs w:val="18"/>
          <w:color w:val="auto"/>
        </w:rPr>
        <w:t>We rely on credit arrangements with banks, suppliers and other parties as an important source of liquidity for capital requirements that are not satisfied by our operating cash flow. Future market volatility, inflation, and persistent weakness in global energy markets may adversely affect our ability to access capital and credit markets or to obtain funds at low interest rates or on other advantageous terms. If we are unable to obtain credit on acceptable terms or at all, perhaps due to a substantial tightening of the global credit markets, our liquidity, business, financial condition, and cash flows, as well as our future development and growth could be negatively impacted. In addition, if we are unable to obtain debt or other forms of financing and resort to raising capital through equity issuances, our existing shareholders would be diluted.</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also impacted by the availability of trade credit to fund our fuel purchases from suppliers. An actual or perceived decline in our liquidity or business could cause our suppliers to reduce our credit lines, seek credit support in the form of additional collateral, or otherwise materially modify their payment terms. Adverse changes in our payment terms from principal suppliers, including shortened payment cycles or requiring prepayment, could impact our liquidity, business, results of operations and cash flows.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our Credit Agreement imposes certain operating and financial covenants on us, which, among other things, restrict our ability to pay dividends or make certain other restricted payments, incur additional debt, create liens and sell a material amount of assets. Our failure or inability to comply with the requirements of these facilities, including meeting certain financial ratios or other covenants, could limit the availability under our Credit Facility or result in an event of default. An event of default, if not cured or waived, would permit acceleration of any outstanding indebtedness under these facilities, could trigger cross-defaults under other agreements to which we are a party (such as certain derivative contracts), and would impair our ability to obtain working capital advances and letters of credit, any of which could have a material adverse effect on our business, financial condition, results of operations and cash flows.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40"/>
        <w:spacing w:after="0" w:line="263" w:lineRule="auto"/>
        <w:rPr>
          <w:sz w:val="20"/>
          <w:szCs w:val="20"/>
          <w:color w:val="auto"/>
        </w:rPr>
      </w:pPr>
      <w:r>
        <w:rPr>
          <w:rFonts w:ascii="Arial" w:cs="Arial" w:eastAsia="Arial" w:hAnsi="Arial"/>
          <w:sz w:val="18"/>
          <w:szCs w:val="18"/>
          <w:b w:val="1"/>
          <w:bCs w:val="1"/>
          <w:color w:val="auto"/>
        </w:rPr>
        <w:t>Our business is subject to seasonal variability, which has caused our revenues and operating results to fluctuate and can adversely affect the market price of our shares.</w:t>
      </w:r>
    </w:p>
    <w:p>
      <w:pPr>
        <w:jc w:val="both"/>
        <w:spacing w:after="0" w:line="252" w:lineRule="auto"/>
        <w:rPr>
          <w:sz w:val="20"/>
          <w:szCs w:val="20"/>
          <w:color w:val="auto"/>
        </w:rPr>
      </w:pPr>
      <w:r>
        <w:rPr>
          <w:rFonts w:ascii="Arial" w:cs="Arial" w:eastAsia="Arial" w:hAnsi="Arial"/>
          <w:sz w:val="18"/>
          <w:szCs w:val="18"/>
          <w:color w:val="auto"/>
        </w:rPr>
        <w:t>Our operating results are subject to seasonal variability. Seasonality results from numerous factors, including demand changes related to seasonal travel and weather patterns. As such, our results for the second and third quarters of the year tend to be the strongest for our aviation segment and our results for the fourth and first quarters of the year tend to be the strongest for our land segment. However, extreme or unseasonable weather conditions can substantially reduce the demand for our products and services or significantly increase the prices of the fuel products we sell, which can in turn adversely impact our results of operations. For example, unseasonably warm winter weather in the U.S. and U.K. in the recent past has adversely impacted our results in the land segment.</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we cannot provide any assurances that the seasonal variability will continue in future periods. Accordingly, results for any one quarter may not necessarily be indicative of the results that may be achieved for such quarter the following year or for the full fiscal year. These seasonal fluctuations in our quarterly operating results can therefore adversely affect the market price of our shares.</w:t>
      </w:r>
    </w:p>
    <w:p>
      <w:pPr>
        <w:spacing w:after="0" w:line="72" w:lineRule="exact"/>
        <w:rPr>
          <w:sz w:val="20"/>
          <w:szCs w:val="20"/>
          <w:color w:val="auto"/>
        </w:rPr>
      </w:pPr>
    </w:p>
    <w:p>
      <w:pPr>
        <w:ind w:right="1020"/>
        <w:spacing w:after="0" w:line="263" w:lineRule="auto"/>
        <w:rPr>
          <w:sz w:val="20"/>
          <w:szCs w:val="20"/>
          <w:color w:val="auto"/>
        </w:rPr>
      </w:pPr>
      <w:r>
        <w:rPr>
          <w:rFonts w:ascii="Arial" w:cs="Arial" w:eastAsia="Arial" w:hAnsi="Arial"/>
          <w:sz w:val="18"/>
          <w:szCs w:val="18"/>
          <w:b w:val="1"/>
          <w:bCs w:val="1"/>
          <w:color w:val="auto"/>
        </w:rPr>
        <w:t>A material impairment of our goodwill or intangible assets could reduce our earnings or adversely impact our results of operations.</w:t>
      </w:r>
    </w:p>
    <w:p>
      <w:pPr>
        <w:jc w:val="both"/>
        <w:spacing w:after="0" w:line="252" w:lineRule="auto"/>
        <w:rPr>
          <w:sz w:val="20"/>
          <w:szCs w:val="20"/>
          <w:color w:val="auto"/>
        </w:rPr>
      </w:pPr>
      <w:r>
        <w:rPr>
          <w:rFonts w:ascii="Arial" w:cs="Arial" w:eastAsia="Arial" w:hAnsi="Arial"/>
          <w:sz w:val="18"/>
          <w:szCs w:val="18"/>
          <w:color w:val="auto"/>
        </w:rPr>
        <w:t>When we acquire a business, a substantial portion of the purchase price of the acquisition may be allocated to goodwill and other identifiable intangible assets. Factors that could affect whether goodwill or intangible assets may be impaired include a decline in our stock price or market capitalization, changes in our marketing or branding strategy, reduced estimates of future cash flows in our annual operating plan and slower growth rates in our industry. Our valuation methodology for assessing impairment requires us to make judgments and assumptions based on several factors including industry experience, the economic environment, and our projections of future operating performance. If our estimates and assumptions prove to be incorrect, we may be required to impair some or all of the carrying amount of goodwill and intangible assets within one or more of our reporting units.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past, we have recorded impairment charges in connection with actions such as exiting certain markets or lines of business. Due to continual changes in market and general business conditions, we cannot predict whether, and to what extent, our goodwill and long-lived intangible assets may be impaired in future periods. Our operating results may be negatively affected by both the impairment and the underlying business trends that triggered the impairment. See Note 6. Goodwill and Identifiable Intangible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inflation and higher interest rates may adversely affect our business and financial condition.</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being relatively moderate in recent years, inflation in the United States and other jurisdictions in which we do business increased significantly in late 2021 into 2022, driven in part by supply chain disruptions, labor shortages and increased commodity prices. A significant or prolonged period of high inflation, particularly when combined with rising interest rates due to actions taken by governments to attempt to control inflation, could adversely impact our results if costs, including employee compensation driven by competitive job market conditions, were to increase at a rate greater than the increase in the revenues we generate. Higher interest rates also typically increase the interest expense associated with our credit arrangements with banks and other parties that serve as important sources of liquidity for us, which can therefore negatively impact our results of operations for a particular period. For additional information on the effects of inflation on our business, see Item 7. Management’s Discussion and Analysis of Financial Condition and Results of Operations.</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We face intense competition and, if we are not able to effectively compete in our markets, our revenues and profits may decrease. </w:t>
      </w:r>
      <w:r>
        <w:rPr>
          <w:rFonts w:ascii="Arial" w:cs="Arial" w:eastAsia="Arial" w:hAnsi="Arial"/>
          <w:sz w:val="18"/>
          <w:szCs w:val="18"/>
          <w:color w:val="auto"/>
        </w:rPr>
        <w:t>Competitive pressures in our markets could adversely affect our competitive position, leading to a possible loss of market share or a reduction in prices, either of which can result in lower revenues and profits. We have numerous competitors, ranging from large multinational corporations, which have significantly greater capital resources than we do, to relatively small and specialized firms that compete with us in a particular line of business. Industry developments, such as fuel price transparency, procurement technology tools, increased regulation and increasing customer sophistication may, over time, reduce demand for our services and thereby exacerbate the risks associated with competition. In addition, we rely on a single or limited number of suppliers for the provision of fuel and related products and services in certain markets. These parties may have significant negotiating leverage over us, and if they are unable or unwilling to supply us on commercially reasonable terms, our business would be adversely affected.</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competing with resellers, we also compete with the major oil producers that market fuel and other energy products directly to large commercial airlines, shipping companies and commercial and industrial users. In recent years, a lower fuel price environment caused many major oil companies to remain in or re-enter the downstream markets. Our business could be adversely affected and subject to the risk of disintermediation if our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suppliers choose to increase their direct marketing to our customers to compete with us or provide less advantageous price and credit terms to us than to our other competitors.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&amp; Regulatory Risks</w:t>
      </w:r>
    </w:p>
    <w:p>
      <w:pPr>
        <w:spacing w:after="0" w:line="225"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b w:val="1"/>
          <w:bCs w:val="1"/>
          <w:color w:val="auto"/>
        </w:rPr>
        <w:t>Climate change and the market and regulatory responses relating to GHG emissions could have a significant impact on our business operations and financial results.</w:t>
      </w:r>
    </w:p>
    <w:p>
      <w:pPr>
        <w:jc w:val="both"/>
        <w:spacing w:after="0" w:line="252" w:lineRule="auto"/>
        <w:rPr>
          <w:sz w:val="20"/>
          <w:szCs w:val="20"/>
          <w:color w:val="auto"/>
        </w:rPr>
      </w:pPr>
      <w:r>
        <w:rPr>
          <w:rFonts w:ascii="Arial" w:cs="Arial" w:eastAsia="Arial" w:hAnsi="Arial"/>
          <w:sz w:val="18"/>
          <w:szCs w:val="18"/>
          <w:color w:val="auto"/>
        </w:rPr>
        <w:t>Climate change continues to attract considerable public and scientific attention in the U.S. and in foreign countries. As a result, numerous proposals have been adopted and will likely continue to be made at various levels of governments globally to monitor and limit GHG emissions, reduce the use of hydrocarbon-based fuels or require substantial additional and costly disclosure relating to emissions. These include the adoption of cap -and -trade regimes, carbon taxes, trade tariffs, minimum renewable usage requirements, restrictive permitting, increased efficiency standards, and incentives or mandates for renewable energy. In 2015, various countries adopted the Paris Agreement, which seeks to reduce GHG emissions and calls for nations to undertake efforts with respect to global temperatures and GHG emissions by submitting emission reduction goals every five years after 2020.</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U.S., various federal, state and local laws and regulations have been enacted relating to GHG emissions. However, the direction of future U.S. climate change regulations is difficult to predict given the potential for policy changes under different Presidential administrations and Congressional leadership. President Biden has signed executive orders recommitting the U.S. to the Paris Agreement and calling for the federal government to begin formulating emissions reduction goals and increasing the emphasis on climate-related risk across governmental agencies and economic sectors.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in August 2022 the Inflation Reduction Act of 2022 was signed into law, which appropriates significant federal funding for renewable energy initiatives and, for the first time, imposes a fee on GHG emissions from certain facilities in the oil and natural gas sector. The emissions fee and renewable and low carbon energy funding provisions of the law could accelerate the transition away from fossil fuels or otherwise adversely impact the use of petroleum-based motor fuels, which could in turn have an indirect adverse effect on our business and results of operations. Under the Biden Administration, it is anticipated that efforts by the EPA or other federal agencies to restrict GHG emissions will continue. It is unclear the extent to which any new environmental laws or regulations, or any repeal of existing environmental laws or regulations, will impact our business or that of our customers.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There have also been significant governmental incentives and consumer pressures to increase the use of alternative fuels in the U.S. and throughout the world. Automotive, industrial and power generation manufacturers are developing more fuel-efficient engines, hybrid engines and alternative clean power systems. Several automobile manufacturers have announced goals to substantially increase the proportion of their new vehicle sales from battery electric, fuel cell and plug-in hybrid vehicles. Further, in August 2022, the California Air Resources Board finalized its Advanced Clean Cars II (ACC II) program, including requiring an increasing percentage of new passenger vehicles sold in the state to be zero emission vehicles for the 2026-2035 model years, ending with a 100% sales target in the 2035 model year. Additional U.S. jurisdictions could adopt similar requirements. The more prevalent these vehicles become as a result of governmental incentives or regulations, technological advances, consumer demand, improved pricing or otherwise, the greater the potential negative impact on pricing and demand for our fuel products and accordingly, our profitability.</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 changes in regulatory policies or any adverse publicity in the global marketplace about our potential impact on climate change or the impact of other companies in our industry could also lead to a reduction in the demand for products that are deemed to contribute to GHGs, harm our reputation and adversely impact our sales of fuel products. Finally, the potential physical impacts of climate change on our operations are highly uncertain and vary amongst the geographic areas in which we operate. These may include changes in rainfall and storm patterns and intensities, hurricanes, changing sea levels, and changing temperatures that may impact the seasonality of our business, such as our heating oil business in the U.K. The occurrence of any of the foregoing factors could increase our costs and the prices we charge our customers, reduce the demand for our products, and therefore adversely affect our business, financial condition, results of operations and cash flows.</w:t>
      </w:r>
    </w:p>
    <w:p>
      <w:pPr>
        <w:spacing w:after="0" w:line="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color w:val="auto"/>
        </w:rPr>
        <w:t>Changes in U.S. or foreign tax laws or adverse outcomes from governmental challenges to our tax position could adversely affect our business and future operating results.</w:t>
      </w:r>
    </w:p>
    <w:p>
      <w:pPr>
        <w:jc w:val="both"/>
        <w:spacing w:after="0" w:line="253" w:lineRule="auto"/>
        <w:rPr>
          <w:sz w:val="20"/>
          <w:szCs w:val="20"/>
          <w:color w:val="auto"/>
        </w:rPr>
      </w:pPr>
      <w:r>
        <w:rPr>
          <w:rFonts w:ascii="Arial" w:cs="Arial" w:eastAsia="Arial" w:hAnsi="Arial"/>
          <w:sz w:val="18"/>
          <w:szCs w:val="18"/>
          <w:color w:val="auto"/>
        </w:rPr>
        <w:t>As a global company, we are subject to various U.S. and foreign taxes, including income taxes and taxes imposed on the purchase and sale of aviation, marine and land fuel products, such as sales, excise, value-added tax ("VAT"), mineral oil, energy, environmental and other taxes. We are also subject to a variety of tax collection obligations including obligations to withhold or collect these types of taxes or other taxes or other requirements that may result in liability for third party obligations. We may recognize additional tax expense and be subject to additional tax</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liabilities, including other liabilities for tax collection obligations due to changes in laws, regulations, administrative practices, and interpretations related to tax. Our results of operations and cash flows could be adversely affected by additional carbon or other taxes imposed on us prospectively or retroactively or additional taxes and penalties resulting from the failure to comply with any collection obligations or failure to provide information about our customers, suppliers, and other third parties for tax reporting purposes to various government agencies. In some cases, we also may not have sufficient notice to enable us to timely build systems and adopt sufficient processes to timely comply with new reporting or collection obligations.</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operating results and cash flows can be adversely affected by changes in our tax expense and the effective tax rate because of a change in the mix of earnings in countries with differing statutory tax rates or our overall profitability, changes in tax legislation, our failure to comply with tax regulations or the applicability of special or extraterritorial tax regimes. Our effective tax rate is subject to significant variation due to numerous factors, including variability in our pre-tax and taxable income and loss and the mix of jurisdictions to which they relate, intercompany transactions, and the applicability of tax concessions. For example, we have benefited from an income tax concession in Singapore since 2008, which reduces the income tax rate on qualified sales and derivative gains and losses. We recently renewed the concession for an additional five-year period beginning January 1, 2023. The concession remains conditioned upon our meeting certain employment and investment thresholds which, if not met, may eliminate the benefit beginning with the first year in which the conditions are not satisfied. Our effective tax rate can be more or less volatile based on the amount of pre-tax income or loss. For example, the impact of discrete items and non-deductible expenses on our effective tax rate is greater when our pre-tax income is lower.</w:t>
      </w:r>
    </w:p>
    <w:p>
      <w:pPr>
        <w:spacing w:after="0" w:line="10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Furthermore, significant judgment is required in determining our worldwide provision for income taxes and other tax liabilities. Our tax expense includes estimates of additional tax that may be incurred for tax exposures and reflects various estimates and assumptions, including assessments of future earnings that could affect the realizability of our net deferred tax assets.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Tax rates in the various jurisdictions in which we and our subsidiaries are organized and conduct operations may also change significantly because of political or economic factors beyond our control. Ongoing developments regarding the projects by the Organisation for Economic Co-operation and Development ("OECD") including global minimum tax and other initiatives, could adversely affect our worldwide effective tax rate. Countries including the U.K. have begun the process to introduce the OECD model rules on a global minimum tax and other OECD initiatives into their tax regimes; South Korea enacted minimum tax rules that will be effective for our 2024 year. The extent to which countries in which we operate adopt and implement these rules and actions could have a material adverse impact on our income tax expense, effective tax rate, financial condition, and results of operations and cash flows. We are continuing to review and evaluate the potential impact of these rules as additional guidance and clarification becomes available.</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regularly audited by various domestic and foreign tax authorities and are involved in various inquiries, audits, challenges and litigation in a number of countries, including Brazil, Denmark, South Korea, and the U.S., where the amounts under controversy may be material. We are in the process of addressing and responding to inquiries in various jurisdictions and challenging a number of tax assessments in several administrative and legal proceedings, each of which is at various stages in the process. In some jurisdictions, these challenges require the posting of collateral or payment of the contested amount, which may affect our flexibility in operating our business or our liquidity.</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believe our tax estimates are reasonable, the final determination of tax audits and any related litigation could be materially different than what is reflected in our income tax provisions and accruals. If these challenges are ultimately determined unfavorably to us, these proceedings may have a material adverse effect on our business, financial condition, results of operations and cash flows. Furthermore, any failure to comply with applicable laws and regulations or appropriately resolve these challenges could subject us to administrative, civil or criminal penalties, including fines, penalties, disgorgement, injunctions and damage to our reputation. See Notes 10. Income Taxes and 11. Commitments and Contingencies for additional details regarding certain tax matters.</w:t>
      </w:r>
    </w:p>
    <w:p>
      <w:pPr>
        <w:spacing w:after="0" w:line="7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color w:val="auto"/>
        </w:rPr>
        <w:t>Increasing attention to environmental, social and governance issues, including those related to climate change and sustainability, may increase our costs and impose difficult and expensive compliance requirements.</w:t>
      </w:r>
    </w:p>
    <w:p>
      <w:pPr>
        <w:jc w:val="both"/>
        <w:spacing w:after="0" w:line="253" w:lineRule="auto"/>
        <w:rPr>
          <w:sz w:val="20"/>
          <w:szCs w:val="20"/>
          <w:color w:val="auto"/>
        </w:rPr>
      </w:pPr>
      <w:r>
        <w:rPr>
          <w:rFonts w:ascii="Arial" w:cs="Arial" w:eastAsia="Arial" w:hAnsi="Arial"/>
          <w:sz w:val="18"/>
          <w:szCs w:val="18"/>
          <w:color w:val="auto"/>
        </w:rPr>
        <w:t>Customers, consumers, investors, and other stakeholders are increasingly focusing on environmental, social and governance (“ESG”) matters, including climate, water use and other sustainability concerns. Furthermore, numerous institutional investors and financial institutions have indicated a focus on matters affecting the environment, which may result in reduced investments in, or financing available to, industries that emit GHG emissions. Many of these groups believe that climate change will significantly influence companies' long-term prospects and have developed ESG standards and guidelines to measure companies' performance.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along with many of our customers and suppliers, are seeking to reduce carbon emissions throughout our supply chains. The achievement of initiatives we may undertake relating to the reduction of GHG emissions or other ESG matters, however, may increase our costs, particularly if they require significant changes to our operations, infrastructure or businesses. If our ESG initiatives fail to satisfy our investors, customers, suppliers, or other stakeholders, our reputation, ability to sell products and services to customers, our ability to attract or retain employees, and our attractiveness as an investment or business partner could be negatively impacted.</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various governmental authorities, as well as voluntary sustainability initiatives and organizations, have promulgated different environmental and social responsibility laws, regulations, policies, and initiatives, which are under active development, can be unpredictable and conflicting, and may change rapidly in future periods. Unfavorable ratings under these evolving standards or benchmarks could adversely impact our reputation, business, stock price or access to capital. Non-compliance with any applicable laws, regulations or standards may also result in potential cost increases, litigation, fines, penalties, sales restrictions or loss of customers.</w:t>
      </w:r>
    </w:p>
    <w:p>
      <w:pPr>
        <w:spacing w:after="0" w:line="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color w:val="auto"/>
        </w:rPr>
        <w:t>Our business is subject to extensive laws and regulations, including environmental protection, health and safety, that can result in material costs and liabilities.</w:t>
      </w:r>
    </w:p>
    <w:p>
      <w:pPr>
        <w:jc w:val="both"/>
        <w:spacing w:after="0" w:line="251" w:lineRule="auto"/>
        <w:rPr>
          <w:sz w:val="20"/>
          <w:szCs w:val="20"/>
          <w:color w:val="auto"/>
        </w:rPr>
      </w:pPr>
      <w:r>
        <w:rPr>
          <w:rFonts w:ascii="Arial" w:cs="Arial" w:eastAsia="Arial" w:hAnsi="Arial"/>
          <w:sz w:val="18"/>
          <w:szCs w:val="18"/>
          <w:color w:val="auto"/>
        </w:rPr>
        <w:t>We are required to comply with extensive and complex laws and other regulations at the international, federal, state/provincial and local government levels in the countries in which we operate. See Part I. Item 1. – Business for additional information about laws and regulations applicable to our business. Laws and regulations relating to environmental protection and occupational safety and health, can be particularly complex and can impose strict liability on us for remediation of spills and releases of oil and hazardous substances without regard to whether we were negligent or at fault. Violations of these laws and regulations, or any future environmental law or regulation, could result in significant liability, including administrative, civil or criminal penalties, fines, injunctions, or the suspension or termination of our operations at an affected area. We may also be held responsible for remediation costs for natural resource damages as well as third-party damages. In our marine segment, we utilize fuel delivery barges and store refined products adjacent to water, thereby potentially subjecting us to strict, joint, and potentially unlimited liability for removal costs and other consequences of where a spill is into navigable waters, along shorelines or in the exclusive economic zone of the U.S. Any of these occurrences and any resulting negative media coverage could have a material adverse effect on our stock price and on our business, financial condition, results of operations and cash flows.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increasingly stringent U.S. and foreign environmental laws and regulations have resulted and will likely continue to increase our operating costs. For example, compliance with existing and future laws that regulate the delivery of fuel by barge, truck, vessel, pipeline or railcar; or fuel storage terminals or underground storage tanks that we own, lease or operate may require significant capital expenditures and increased operating and maintenance costs, particularly as we acquire businesses with more physical assets. In addition, continuing changes in environmental laws and regulations may also require capital expenditures by our customers or otherwise increase our customers' operating costs, which could in turn, reduce the demand for our products and services or impact the pricing or availability of the products we sell. Although the ultimate impact of any regulations is difficult to predict accurately, the occurrence of any of the foregoing could have an adverse effect on our business or on the businesses of our customers.</w:t>
      </w:r>
    </w:p>
    <w:p>
      <w:pPr>
        <w:spacing w:after="0" w:line="7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The data that we collect may be vulnerable to breach, loss or misuse, and our handling of such data may be impacted by changes in data privacy and protection laws and regulations, which could increase operational costs or result in regulatory penalties or litigation.</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various businesses we operate, we have access to sensitive, confidential or personal data from our employees, customers (both corporate and individual consumers), suppliers and other third parties, some of which may be subject to privacy, security or residency laws, regulations and customer-imposed controls. In the ordinary course of business, we collect, retain, process, and transmit such data across national boundaries. Despite our efforts to properly handle and protect this information in compliance with such requirements, our facilities and systems and those of our third-party service providers may be vulnerable to security breaches, theft, misplaced or lost data, and programming, procedural or human errors that could potentially lead to such information being compromised or handled improperly.</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has been increased public attention regarding the use of personal data and security of data transfers, accompanied by legislation and regulations intended to strengthen data protection, information security and consumer and personal privacy. The evolving nature of privacy laws in the U.S., the European Union ("E.U."), Australia, Brazil and other countries where we have operations and customers, could impact our processing of this data, including requiring us to make costly changes to our IT systems to properly handle such data. For example, the E.U.'s General Data Protection Regulation imposes strict rules on handling personal data related to the E.U. and imposes significant sanctions for violations. We have substantial operations in the E.U. and are therefore subject to</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heightened standards. Similarly, the California Consumer Privacy Act, grants certain rights to California residents with respect to their personal data and requires that companies take or refrain from taking certain actions. As the interpretation and enforcement of these and other future data privacy, security or residency laws, regulations and industry standards evolve, it may create a range of new compliance obligations, which could cause us to change our business practices, with the possibility for significant financial penalties for noncompliance that could have an adverse effect on our financial condition and results of operations.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cannot yet determine the full impact such laws, regulations, and requirements may have on our business, our failure to adequately comply with them could lead to substantial fines, penalties, third-party liability, remediation costs, potential cancellation of existing contracts and the inability to compete for future business. Any significant breach of data privacy-related regulations or related customer requirements could have a material adverse effect on our business and reputation, as well as our financial condition, results of operations and cash flows.</w:t>
      </w:r>
    </w:p>
    <w:p>
      <w:pPr>
        <w:spacing w:after="0" w:line="7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color w:val="auto"/>
        </w:rPr>
        <w:t>Our international operations subject us to international trade control, anti-money laundering and anti-corruption laws that can impose substantial compliance costs and expose us to civil and/or criminal penalties.</w:t>
      </w:r>
    </w:p>
    <w:p>
      <w:pPr>
        <w:jc w:val="both"/>
        <w:spacing w:after="0" w:line="254" w:lineRule="auto"/>
        <w:rPr>
          <w:sz w:val="20"/>
          <w:szCs w:val="20"/>
          <w:color w:val="auto"/>
        </w:rPr>
      </w:pPr>
      <w:r>
        <w:rPr>
          <w:rFonts w:ascii="Arial" w:cs="Arial" w:eastAsia="Arial" w:hAnsi="Arial"/>
          <w:sz w:val="18"/>
          <w:szCs w:val="18"/>
          <w:color w:val="auto"/>
        </w:rPr>
        <w:t>Our global operations are subject to applicable anti-corruption laws, such as the U.S. Foreign Corrupt Practices Act and the U.K. Bribery Act 2010, anti-money laundering laws, international trade controls, and competition laws. Anti-corruption laws generally prohibit us from providing anything of value to foreign officials for the purposes of improperly influencing official decisions or improperly obtaining or retaining business and may also apply to commercial bribery.</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business, we operate in countries with a high degree of corruption and frequently interact with state-owned enterprises and government officials. This may increase the risk of improper payments being demanded of, offered by, or made by one of our employees or a party acting on our behalf. The risk of enforcement has also grown in recent years as more of the countries in which we operate have passed anti-corruption laws and prioritized enforcement of those laws which can result in significant fines and penalties.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International trade controls, including economic sanctions such as those administered by the U.S. Treasury's Office of Foreign Assets Control ("OFAC") or the U.K.'s HM Treasury, export controls and anti-boycott regulations, restrict our business dealings with certain countries and individuals, are complex, may conflict with each other, are continually changing and may be adopted quickly. For example, as a result of the military conflict in Eastern Europe, the U.S., the E.U., the U.K. and other countries in which we operate have imposed numerous sanctions on Russia and certain other individuals and entities with connections to the Russian state. Russia has responded in kind, and the continuation of the conflict may result in additional sanctions being enacted by the U.S., other North Atlantic Treaty Organization member states, or other countries.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 restrictions may be enacted, amended, enforced or interpreted in a manner that materially impacts our operations. From time to time, certain of our subsidiaries have limited business dealings in countries subject to comprehensive OFAC administered sanctions. While such activities currently represent an immaterial amount of our consolidated revenue and income and are undertaken pursuant to general and/or specific licenses issued by OFAC or as otherwise permitted by applicable sanctions regulations, these activities, as well as rapidly changing sanctions regimes across the globe, may expose us to a heightened risk of violating trade control regulations.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established policies and procedures designed to assist with our compliance with these laws and regulations. Such policies and procedures may not always prevent us, our employees or parties acting on our behalf from violating these laws and regulations. Violations may expose us to criminal or civil penalties, or other adverse consequences including the denial of export privileges, injunctions, asset seizures, debarment from government contracts, and/or revocations or restrictions of licenses. In addition, the costs associated with responding to a government investigation and remediating any violations can be substantial. Furthermore, violations could trigger an event of default under our Credit Agreement, which if not waived, could result in the acceleration of any outstanding indebtedness, cause cross-defaults under other agreements to which we are a party, and impair our ability to obtain working capital advances or letters of credit. Accordingly, violations could adversely affect, among other things, our reputation, business, financial condition, results of operations and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b w:val="1"/>
          <w:bCs w:val="1"/>
          <w:color w:val="auto"/>
        </w:rPr>
        <w:t>A pandemic, epidemic, or other outbreak of infectious disease may adversely affect our business, results of operations and financial condition.</w:t>
      </w:r>
    </w:p>
    <w:p>
      <w:pPr>
        <w:jc w:val="both"/>
        <w:spacing w:after="0" w:line="256" w:lineRule="auto"/>
        <w:rPr>
          <w:sz w:val="20"/>
          <w:szCs w:val="20"/>
          <w:color w:val="auto"/>
        </w:rPr>
      </w:pPr>
      <w:r>
        <w:rPr>
          <w:rFonts w:ascii="Arial" w:cs="Arial" w:eastAsia="Arial" w:hAnsi="Arial"/>
          <w:sz w:val="18"/>
          <w:szCs w:val="18"/>
          <w:color w:val="auto"/>
        </w:rPr>
        <w:t>Public health crises, epidemics, and pandemics, such as the COVID-19 pandemic, have impacted our operations directly and may in the future impact us directly, or may disrupt the operations of our business partners, suppliers and customers in ways that could have an adverse effect on our business, results of operations and financial</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condition. Beginning in 2020, the COVID-19 pandemic negatively impacted the global economy, disrupted global supply chains and created uncertainty and volatility in financial markets. Our business operations and activities have since normalized to near pre-pandemic levels, however, we continue to monitor our business and those of our business partners, suppliers and customers for future disruptions relating to COVID-19 or other infectious disease outbreaks.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the extent that a pandemic, epidemic or other outbreak of infectious disease adversely affects our business, results of operations and financial condition, it may also have the effect of exacerbating many of the other risks discussed in this 2022 10-K Report or any of our other periodic reports, which could have a material adverse effect on us and our results of operations.</w:t>
      </w:r>
    </w:p>
    <w:p>
      <w:pPr>
        <w:spacing w:after="0" w:line="7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color w:val="auto"/>
        </w:rPr>
        <w:t>Our derivative transactions with customers, suppliers, merchants and financial institutions expose us to price and credit risks, which could have a material adverse effect on our business.</w:t>
      </w:r>
    </w:p>
    <w:p>
      <w:pPr>
        <w:jc w:val="both"/>
        <w:spacing w:after="0" w:line="252" w:lineRule="auto"/>
        <w:rPr>
          <w:sz w:val="20"/>
          <w:szCs w:val="20"/>
          <w:color w:val="auto"/>
        </w:rPr>
      </w:pPr>
      <w:r>
        <w:rPr>
          <w:rFonts w:ascii="Arial" w:cs="Arial" w:eastAsia="Arial" w:hAnsi="Arial"/>
          <w:sz w:val="18"/>
          <w:szCs w:val="18"/>
          <w:color w:val="auto"/>
        </w:rPr>
        <w:t>As part of our price risk management services, we offer customers various pricing structures for the purchase of energy products, including derivatives products designed to hedge exposure to fluctuations in energy prices. In the ordinary course of business, we enter into fixed forward contracts with some of our counterparties under which we agree to sell or purchase certain volumes of energy products at fixed prices. In addition, we may act as a counterparty in over-the-counter swap transactions with some of our customers where the customer may be required to pay us in connection with changes in the price of the underlying energy product. Further, we may use derivatives to hedge price risks associated with our fuel inventories and purchase and sale commitments. We typically hedge our price risk in any of the foregoing types of transactions by entering into derivative instruments with large energy companies, trading houses and financial institutions.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we have not required a customer to post collateral in connection with a fixed forward contract or swap transaction and there is an outstanding mark-to-market liability owing, we will have effectively extended unsecured credit to that customer and such amounts could be substantial. Based on the volatility of energy prices, our counterparties may not be willing or able to fulfill their obligations to us under their fixed forward contracts or swap transactions. In such cases, we would be exposed to potential losses or costs associated with any resulting default. For example, in the event the spot market price of fuel at the time of delivery is substantially less than the fixed price of the contract with the customer, a customer could default on its purchase obligation to us and purchase the fuel at a lower "spot" market price from another supplier. Meanwhile, we may have entered into a corresponding commitment with a supplier to offer our customer specified fixed pricing or terms and would be obligated to perform our fixed price purchase obligations to such supplier. Similarly, the counterparties with whom we may hedge our price risk exposure may not be willing or able to fulfill their obligations to us under their swap transactions.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are unable to recover losses from a defaulting counterparty, we could sustain substantial losses that would likely have a material adverse effect on our business, financial condition, results of operations and cash flows. Additionally, our hedging activities also result in additional costs and can require cash deposits for margin calls. If there is a sudden a significant change in fuel prices, the amount of cash necessary to cover margin calls can be material and impact our liquidity.</w:t>
      </w:r>
    </w:p>
    <w:p>
      <w:pPr>
        <w:spacing w:after="0" w:line="74"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b w:val="1"/>
          <w:bCs w:val="1"/>
          <w:color w:val="auto"/>
        </w:rPr>
        <w:t>We are exposed to various risks in connection with our use of derivatives, which could have a material adverse effect on our results of operations.</w:t>
      </w:r>
    </w:p>
    <w:p>
      <w:pPr>
        <w:jc w:val="both"/>
        <w:spacing w:after="0" w:line="254" w:lineRule="auto"/>
        <w:rPr>
          <w:sz w:val="20"/>
          <w:szCs w:val="20"/>
          <w:color w:val="auto"/>
        </w:rPr>
      </w:pPr>
      <w:r>
        <w:rPr>
          <w:rFonts w:ascii="Arial" w:cs="Arial" w:eastAsia="Arial" w:hAnsi="Arial"/>
          <w:sz w:val="18"/>
          <w:szCs w:val="18"/>
          <w:color w:val="auto"/>
        </w:rPr>
        <w:t>We enter into financial derivative contracts to mitigate the risk of market price fluctuations in energy products, to offer our customers energy pricing alternatives to meet their needs, to manage price exposures associated with our inventories, and to mitigate the risk of fluctuations in foreign currency exchange rates. Despite our efforts to mitigate risks associated with these transactions, we remain subject to substantial energy price and exchange rate risks.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efforts to hedge our exposure to fluctuations in energy prices and exchange rates may also be ineffective when the prices of historically correlated commodities diverge from their historical correlations. For example, we hedge jet fuel prices with derivatives tied to other petroleum products that have historically been correlated to aviation jet fuel (e.g., heating oil in the U.S. or gasoil in Europe or Asia). If the price of aviation jet fuel at a specific location diverges from historical correlations, our attempts to mitigate price risk associated with our aviation business may not be effective. Moreover, there may be times where the change in the price of jet fuel at a specific location is disrupted (e.g., hurricanes) and is not correlated to the underlying hedges when compared to historical prices. We may, as a component of our overall business strategy, increase or decrease from time to time our use of such derivative financial instruments in the future.</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also enter into proprietary derivative transactions that are not intended to hedge our own risk but are instead intended to make a profit by capitalizing on arbitrage opportunities associated with basis, time, quality or geographic spreads related to the energy products we sell. Proprietary derivative transactions, by their nature, expose us to changes in the underlying commodity prices of the proprietary positions taken. Although we have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established limits on such exposure, any adverse changes could result in losses which can be further exacerbated by volatility in the financial and other markets. In addition, our employees may fail to comply with our policies and procedures with respect to hedging or proprietary trading, such as engaging in unauthorized trading activity, failing to hedge a specific price risk or failing to comply with our internal limits on exposure or any applicable statutory or regulatory requirements. Furthermore, the enforceability of our derivative transactions may depend on our compliance with applicable statutory, commodity and other regulatory requirements, which if violated could lead to our derivative transaction being voided, as well as penalties and fines. The impact of any of the foregoing could have a material adverse effect on our business, financial condition, results of operations and cash flows.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many of our derivative transactions are not designated as hedges for accounting purposes. Therefore, changes in the fair market value of these derivatives are reflected as a component of revenue or cost of revenue (based on the underlying transaction type) in our consolidated statements of income and comprehensive income. Since the fair market value of these derivatives is marked to market at the end of each quarter, changes in the value of our derivative instruments because of gains or losses may cause our earnings to fluctuate from period to period.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properties consist primarily of administrative offices and inventory storage facilities, none of which are individually material. We lease our corporate headquarters in Miami, Florida as well as administrative office space in London, Singapore and other strategic locations throughout the world.</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February 17, 2023, the majority of our principal properties are leased on commercially reasonable terms and we do not anticipate that we will experience difficulty in renewing or replacing any leases upon expiration in any material respect. Our properties are often utilized by one or more of our business segments and we consider all of our properties and facilities to be suitable and adequate for our current needs.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inquiries, audits, challenges and litigation in a number of countries, including, in particular, Brazil, Denmark, South Korea and the U.S. where the amounts under controversy may be material. See Notes 11. Commitments and Contingencies and 10. Income Taxes for additional details regarding certain tax matters.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 See Note 11. Commitments and Contingencies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20"/>
        <w:spacing w:after="0" w:line="274" w:lineRule="auto"/>
        <w:rPr>
          <w:sz w:val="20"/>
          <w:szCs w:val="20"/>
          <w:color w:val="auto"/>
        </w:rPr>
      </w:pPr>
      <w:r>
        <w:rPr>
          <w:rFonts w:ascii="Arial" w:cs="Arial" w:eastAsia="Arial" w:hAnsi="Arial"/>
          <w:sz w:val="22"/>
          <w:szCs w:val="22"/>
          <w:b w:val="1"/>
          <w:bCs w:val="1"/>
          <w:color w:val="auto"/>
        </w:rPr>
        <w:t>Item 5. Market for Registrant’s Common Equity, Related Shareholder Matters and Issuer Purchases of Equity Securities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common stock is traded on the New York Stock Exchange ("NYSE") under the symbol INT. As of December 30, 2022, the closing price of our stock on the NYSE was $27.33.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17, 2023, there were 74 shareholders of record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This graph compares the total shareholder return on our common stock with the total return on the Russell 2000 Index and the S&amp;P 500 Energy Index for the five</w:t>
      </w:r>
      <w:r>
        <w:rPr>
          <w:rFonts w:ascii="MS PGothic" w:cs="MS PGothic" w:eastAsia="MS PGothic" w:hAnsi="MS PGothic"/>
          <w:sz w:val="18"/>
          <w:szCs w:val="18"/>
          <w:color w:val="auto"/>
        </w:rPr>
        <w:t>‑</w:t>
      </w:r>
      <w:r>
        <w:rPr>
          <w:rFonts w:ascii="Arial" w:cs="Arial" w:eastAsia="Arial" w:hAnsi="Arial"/>
          <w:sz w:val="18"/>
          <w:szCs w:val="18"/>
          <w:color w:val="auto"/>
        </w:rPr>
        <w:t>year period from December 31, 2017 through December 31, 2022. The cumulative return includes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5863590" cy="4869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3590" cy="486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2020, the Board approved a stock repurchase program authorizing $200.0 million in common stock repurchases (the "2020 Repurchase Program"). Our repurchase program does not require a minimum number of shares of common stock to be purchased, has no expiration date, and repurchases may be suspended or discontinued at any time. As of December 31, 2022, approximately $ 147.1 million remains available for purchase under the 2020 Repurchase Program. The timing and amount of shares of common stock to be repurchased under the 2020 Repurchase Program will depend on market conditions, share price, securities law and other legal requirements and factors.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did not repurchase any shares during the fourth quarter of 2022. For information on repurchases of common stock for the first three quarters of 2022, see the applicable Quarterly Reports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appearing within Part IV. Item 15. Notes to the Consolidated Financial Statements in this 2022 10</w:t>
      </w:r>
      <w:r>
        <w:rPr>
          <w:rFonts w:ascii="MS PGothic" w:cs="MS PGothic" w:eastAsia="MS PGothic" w:hAnsi="MS PGothic"/>
          <w:sz w:val="18"/>
          <w:szCs w:val="18"/>
          <w:color w:val="auto"/>
        </w:rPr>
        <w:t>‑</w:t>
      </w:r>
      <w:r>
        <w:rPr>
          <w:rFonts w:ascii="Arial" w:cs="Arial" w:eastAsia="Arial" w:hAnsi="Arial"/>
          <w:sz w:val="18"/>
          <w:szCs w:val="18"/>
          <w:color w:val="auto"/>
        </w:rPr>
        <w:t>K Report. The following discussion may contain forward-looking statements, and our actual results may differ materially from the results suggested by these forward-looking statements. Some factors that may cause our results to differ materially from the results and events anticipated or implied by such forward-looking statements are described in Item 1A – Risk Factors and under Forward-Looking Statements.</w:t>
      </w:r>
    </w:p>
    <w:p>
      <w:pPr>
        <w:spacing w:after="0" w:line="11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elected to omit discussion on the earliest of the three years covered by the Consolidated Financial Statements presented in this 2022 10</w:t>
      </w:r>
      <w:r>
        <w:rPr>
          <w:rFonts w:ascii="MS PGothic" w:cs="MS PGothic" w:eastAsia="MS PGothic" w:hAnsi="MS PGothic"/>
          <w:sz w:val="18"/>
          <w:szCs w:val="18"/>
          <w:color w:val="auto"/>
        </w:rPr>
        <w:t>‑</w:t>
      </w:r>
      <w:r>
        <w:rPr>
          <w:rFonts w:ascii="Arial" w:cs="Arial" w:eastAsia="Arial" w:hAnsi="Arial"/>
          <w:sz w:val="18"/>
          <w:szCs w:val="18"/>
          <w:color w:val="auto"/>
        </w:rPr>
        <w:t>K Report. Refer to Item 7. Management’s Discussion and Analysis of Financial Condition and Results of Operations located in our Form 10-K for the fiscal year ended December 31, 2021 (herein incorporated by reference), filed with the SEC on February 25, 2022, for management's discussion of the fiscal year ended December 31,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principally engaged in the distribution of fuel and related products and services in the aviation, land, and marine transportation industries. Our intention is to become a leading global energy management company offering a full suite of energy advisory, management and fulfillment services, technology solutions, payment management solutions, as well as sustainability products and services across the energy product spectrum. For additional discussion on our businesses, climate change and the associated risks, see Part I, Item 1. – Business and Item 1A – Risk Factors within this 2022 10-K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operate in three reportable segments consisting of aviation, land, and marine, where we offer fuel and related products and services to customers in these transportation industries.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Part I, Item 1. – Business and Note 14. Business Segments, Geographic Information, and Major Customers for additional information about our business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aviation segment has benefited from growth in our fuel and related services offerings, as well as our enhanced logistics capabilities and the geographic expansion of our aviation fueling operations into additional international airport locations. As part of our growth strategy, we have also increased the level of inventory that we hold in order to meet the needs of our customers. While we generally enter into financial derivative contracts to mitigate price risk exposure associated with our inventory, depending on market pricing dynamics, we may experience negative impacts on our results, particularly in a market pricing environment experiencing severe backwardation, such as in the first half of 2022, where oil futures forward prices traded at significantly lower levels than the current market price. Our results of operations in our aviation segment have also been significantly affected in recent years by the effects of the COVID-19 pandemic, as well as the withdrawal of the troops from Afghanistan by the U.S. and NATO that concluded in the third quarter of 2021. However, the relaxation of global travel restrictions has contributed to a substantial recovery in global aviation volumes as compared to pre-pandemic levels.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Segment</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our land segment is well-positioned to continue growing market share, both organically and through leveraging the capabilities of our acquisitions, including Flyers which we acquired in January 2022, serving to further enhance our business to deliver value-added solutions to our land fuel customers. See Note 3. Acquisitions and Divestitures for additional information.</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also expanded our product and service offerings to include energy advisory services, sustainability solutions, as well as supply fulfillment for natural gas and power. We continue to focus on supporting the energy transition through various initiatives and expanding our sustainability offerings, including renewable fuel products, and carbon management and renewable energy solutions through World Kinect, our global energy management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brand. We are continuing to invest in talent in this area, which we believe will help accelerate growth in these activities.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Finally, our land segment has also benefited from sales to NATO in Afghanistan in recent years, however, such activity materially declined and ultimately concluded in 2021 in connection with the withdrawal of the U.S. and NATO troops.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Marine Segment</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Due to the generally spot nature of sales in our marine business, we have traditionally benefited from elevated fuel prices and volatility, supply uncertainty, and a constrained credit environment. Over the last several years, we have spent a considerable amount of time reorganizing our business to drive internal efficiencies so that we can generate relatively moderate levels of earnings in stable markets and yet remain poised to provide additional value in volatile and credit constrained markets. In 2022, our marine segment delivered exceptional results due to the market conditions arising from the dramatic increase in global oil prices and higher interest rates, as well as the disruption of traditional supply patterns and related price volatility. However, with lower global oil prices and reduced market volatility forecasted for 2023, we expect our marine segment's performance to be materially lower than the extraordinary results produced in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After being relatively moderate in recent years, inflation in the United States and other jurisdictions in which we do business increased significantly in late 2021 into 2022, primarily driven by supply chain disruptions, labor shortages and increased commodity prices, which generally resulted in higher costs in 2022. However, to the extent that a rising cost environment impacts our results, there are typically offsetting benefits either inherent in certain parts of our business or that may result from proactive measures we take to reduce the impact of inflation on our net operating results. These benefits can include higher commodity prices that typically result in a constrained credit environment, often creating favorable market conditions that increase demand for our services, as well as our ability to renegotiate prices due to many of our sales contracts being 12 months or less in duration. Additionally, we take measures to mitigate the impact of increases in fuel prices through comprehensive hedging programs and the use of financial derivative contracts.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these reasons, the increased cost environment, caused in part by inflation, has not had a material impact on our historical results of operations for the periods presented in this report. However, a significant or prolonged period of high inflation, particularly when combined with rising interest rates due to actions taken by governments to attempt to control inflation, could adversely impact our results if costs, including employee compensation driven by competitive job market conditions, were to increase at a rate greater than the increase in the revenues we generate. Higher interest rates also typically increase the interest expense associated with our credit arrangements with banks and other parties that serve as important sources of liquidity for us, which can therefore negatively impact our results of operations for a particular period.</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See “We extend credit to most of our customers in connection with their purchase of fuel and services from us, and our financial condition, results of operations and cash flows will be adversely affected if we are unable to collect accounts receivable,” “Changes in the market price of fuel may have a material adverse effect on our business,” “Our business depends on our ability to adequately finance our capital requirements and fund our investments, which, if not available to us, would impact our ability to conduct our operations,” "Significant inflation and higher interest rates may adversely affect our business and financial condition," and “Our derivative transactions with customers, suppliers, merchants and financial institutions expose us to price and credit risks, which could have a material adverse effect on our business” in Item 1A. – Risk Factors within this 2022 10-K Report.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2022 Compared to Year Ended 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consolidated results of operations for the periods indicated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7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59,043.1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31,337.0</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57,954.1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30,548.8</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r>
      <w:tr>
        <w:trPr>
          <w:trHeight w:val="210"/>
        </w:trPr>
        <w:tc>
          <w:tcPr>
            <w:tcW w:w="7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308.7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247.6</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Fuel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Our consolidated revenue for the year ended December 31, 2022 was $59.0 billion, an increase of $27.7 billion, or 88%,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year ended December 31, 2021, due to higher fuel prices and increased volumes in the aviation, land, and marine segments, respectively, as discussed further below.</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consolidated gross profit for the year ended December 31, 2022 was $1.1 billion, an increase of $300.9 million, or 38%,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2021, driven by increased gross profit of $174.9 million and $155.7 million in the land and marine segments, respectively, partially offset by a decrease of $29.7 million in the aviation segment, as discussed further below.</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Consolidated total operating expenses for the year ended December 31, 2022 were $815.8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$170.2 million, or 26%, compared to the year ended December 31, 2021. The increase in operating expenses was partially attributable to increased compensation and employee benefit costs, the addition of Flyers' operating expenses of $66.3 million, as well as higher general and administrative costs as business activity continued to normalize. These increases were partially offset by a decrease in asset impairment and restructuring charges compared to the year ended December 31, 2021, principally in our land segment.</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Non-Operating Income (Expenses), net</w:t>
      </w:r>
      <w:r>
        <w:rPr>
          <w:rFonts w:ascii="Arial" w:cs="Arial" w:eastAsia="Arial" w:hAnsi="Arial"/>
          <w:sz w:val="18"/>
          <w:szCs w:val="18"/>
          <w:color w:val="auto"/>
        </w:rPr>
        <w:t>. For the year ended December 31, 2022, we had net non-operating expense of $ 128.1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non-operating expense of $42.5 million for the year ended December 31, 2021. The increase of $85.6 million was primarily attributable to an increase in interest expense, driven by incremental borrowings related to the Flyers acquisition, higher interest rates, and an increase in fees associated with sales of accounts receivable under our Receivables Purchase Agreements ("RPAs"). In addition, during the year ended December 31, 2022 we recognized a loss related to the contingent consideration associated with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 of our Multi Service payment solutions business ("MSTS"), as discussed in Note 3. Acquisitions and Divestitures, and a non-operating legal settlement as described in Note 11. Commitments and Contingencies.</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year ended December 31, 2022, our income tax provision was $29.2 million and our effective income tax rate was</w:t>
      </w:r>
      <w:r>
        <w:rPr>
          <w:rFonts w:ascii="Arial" w:cs="Arial" w:eastAsia="Arial" w:hAnsi="Arial"/>
          <w:sz w:val="18"/>
          <w:szCs w:val="18"/>
          <w:i w:val="1"/>
          <w:iCs w:val="1"/>
          <w:color w:val="auto"/>
        </w:rPr>
        <w:t xml:space="preserve"> </w:t>
      </w:r>
      <w:r>
        <w:rPr>
          <w:rFonts w:ascii="Arial" w:cs="Arial" w:eastAsia="Arial" w:hAnsi="Arial"/>
          <w:sz w:val="18"/>
          <w:szCs w:val="18"/>
          <w:color w:val="auto"/>
        </w:rPr>
        <w:t>20%, as compared to an income tax provision of $25.8 million and an effective income tax rate of 26% for the year ended December 31, 2021. The increase of $ 3.4 million was primarily attributable to an increase in income before taxes, partially offset by additional discrete tax benefits as compared to the year ended December 31, 2021. See Note 10. Income Taxes for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Segment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aviation segment results of operations for the periods indicated (in millions, except price per gallon):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60" w:type="dxa"/>
            <w:vAlign w:val="bottom"/>
          </w:tcPr>
          <w:p>
            <w:pPr>
              <w:spacing w:after="0"/>
              <w:rPr>
                <w:sz w:val="20"/>
                <w:szCs w:val="20"/>
                <w:color w:val="auto"/>
              </w:rPr>
            </w:pPr>
          </w:p>
        </w:tc>
        <w:tc>
          <w:tcPr>
            <w:tcW w:w="4200" w:type="dxa"/>
            <w:vAlign w:val="bottom"/>
            <w:gridSpan w:val="6"/>
          </w:tcPr>
          <w:p>
            <w:pPr>
              <w:ind w:left="600"/>
              <w:spacing w:after="0"/>
              <w:rPr>
                <w:sz w:val="20"/>
                <w:szCs w:val="20"/>
                <w:color w:val="auto"/>
              </w:rPr>
            </w:pPr>
            <w:r>
              <w:rPr>
                <w:rFonts w:ascii="Arial" w:cs="Arial" w:eastAsia="Arial" w:hAnsi="Arial"/>
                <w:sz w:val="18"/>
                <w:szCs w:val="18"/>
                <w:b w:val="1"/>
                <w:bCs w:val="1"/>
                <w:color w:val="auto"/>
              </w:rPr>
              <w:t>For the Year Ended December 31,</w:t>
            </w: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26,799.9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13,975.5</w:t>
            </w:r>
          </w:p>
        </w:tc>
      </w:tr>
      <w:tr>
        <w:trPr>
          <w:trHeight w:val="94"/>
        </w:trPr>
        <w:tc>
          <w:tcPr>
            <w:tcW w:w="5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75"/>
        </w:trPr>
        <w:tc>
          <w:tcPr>
            <w:tcW w:w="5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Aviation segment volumes (gallons)</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7,127.6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5,857.5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1,270.2</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 average price per gallon</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bl>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Revenues in our aviation segment were $26.8 billion for the year ended December 31, 2022, an increase of $14.0 billion, or 109%, compared to the year ended December 31, 2021. The increase in revenue was driven by higher average prices and increased volumes. Average jet fuel price per gallon sold increased by $1.53, or 73%, in the year ended December 31, 2022 compared to the year ended December 31, 2021 as a result of the rise in global oil prices. Total aviation volumes increased by 1.3 billion, or 22%, to 7.1 billion gallons in the year ended December 31, 2022 compared to the year ended December 31, 2021 as demand for air travel continued to recover from the impact of the pandemic, particularly among international passenger airlines.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aviation segment gross profit for the year ended December 31, 2022 was $357.2 million, a decrease of $29.7 million, or 8%, compared to the year ended December 31, 2021. The decrease in gross profit was primarily due to inventory losses driven by extreme backwardation experienced principally during the second quarter of 2022, together with the reduction in our government-related activity in Afghanistan, which concluded with the military withdrawal during the third quarter of 2021, partially offset by increased fuel volume</w:t>
      </w:r>
      <w:r>
        <w:rPr>
          <w:rFonts w:ascii="Arial" w:cs="Arial" w:eastAsia="Arial" w:hAnsi="Arial"/>
          <w:sz w:val="18"/>
          <w:szCs w:val="18"/>
          <w:color w:val="auto"/>
          <w:strike w:val="1"/>
        </w:rPr>
        <w:t>s</w:t>
      </w:r>
      <w:r>
        <w:rPr>
          <w:rFonts w:ascii="Arial" w:cs="Arial" w:eastAsia="Arial" w:hAnsi="Arial"/>
          <w:sz w:val="18"/>
          <w:szCs w:val="18"/>
          <w:color w:val="auto"/>
        </w:rPr>
        <w:t xml:space="preserve"> and higher profit contribution from service offerings as a result of the continued recovery in demand for air travel.</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aviation segment income from operations for the year ended December 31, 2022 was $99.5 million, a decrease of $63.9 million, or 39%, compared to the year ended December 31, 2021. In addition to the decrease in gross profit discussed above, income from operations was also impacted by a $34.2 million increase in operating expenses. The increase in operating expenses was driven principally by higher compensation and employee benefit costs as well as higher general and administrative costs, primarily travel and marketing expenses, as business activity continued to normalize.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Segment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land segment results of operations for the periods indicated (in millions, except price per gallon):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60" w:type="dxa"/>
            <w:vAlign w:val="bottom"/>
          </w:tcPr>
          <w:p>
            <w:pPr>
              <w:spacing w:after="0"/>
              <w:rPr>
                <w:sz w:val="20"/>
                <w:szCs w:val="20"/>
                <w:color w:val="auto"/>
              </w:rPr>
            </w:pPr>
          </w:p>
        </w:tc>
        <w:tc>
          <w:tcPr>
            <w:tcW w:w="4200" w:type="dxa"/>
            <w:vAlign w:val="bottom"/>
            <w:gridSpan w:val="6"/>
          </w:tcPr>
          <w:p>
            <w:pPr>
              <w:ind w:left="600"/>
              <w:spacing w:after="0"/>
              <w:rPr>
                <w:sz w:val="20"/>
                <w:szCs w:val="20"/>
                <w:color w:val="auto"/>
              </w:rPr>
            </w:pPr>
            <w:r>
              <w:rPr>
                <w:rFonts w:ascii="Arial" w:cs="Arial" w:eastAsia="Arial" w:hAnsi="Arial"/>
                <w:sz w:val="18"/>
                <w:szCs w:val="18"/>
                <w:b w:val="1"/>
                <w:bCs w:val="1"/>
                <w:color w:val="auto"/>
              </w:rPr>
              <w:t>For the Year Ended December 31,</w:t>
            </w: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19,283.7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8,856.9</w:t>
            </w:r>
          </w:p>
        </w:tc>
      </w:tr>
      <w:tr>
        <w:trPr>
          <w:trHeight w:val="95"/>
        </w:trPr>
        <w:tc>
          <w:tcPr>
            <w:tcW w:w="5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74"/>
        </w:trPr>
        <w:tc>
          <w:tcPr>
            <w:tcW w:w="5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Land segment volumes (gallons) </w:t>
            </w:r>
            <w:r>
              <w:rPr>
                <w:rFonts w:ascii="Arial" w:cs="Arial" w:eastAsia="Arial" w:hAnsi="Arial"/>
                <w:sz w:val="23"/>
                <w:szCs w:val="23"/>
                <w:color w:val="auto"/>
                <w:vertAlign w:val="superscript"/>
              </w:rPr>
              <w:t>(1)</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6,166.2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5,254.1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912.1</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 average price per gallon</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bl>
    <w:p>
      <w:pPr>
        <w:spacing w:after="0" w:line="202" w:lineRule="exact"/>
        <w:rPr>
          <w:sz w:val="20"/>
          <w:szCs w:val="20"/>
          <w:color w:val="auto"/>
        </w:rPr>
      </w:pPr>
    </w:p>
    <w:p>
      <w:pPr>
        <w:ind w:left="340" w:hanging="332"/>
        <w:spacing w:after="0" w:line="220"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gallons and gallon equivalents of British Thermal Units (BTU) for our natural gas sales and Kilowatt Hours (kWh) for our World Kinect power business.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Revenues in our land segment were $19.3 billion for the year ended December 31, 2022, an increase of $8.9 billion, or 85%, compared to the year ended December 31, 2021. The increase in revenue was principally driven by higher average prices and the acquisition of Flyers. The average price per gallon or gallon equivalent sold increased by 58% in the year ended December 31, 2022 compared to the year ended December 31, 2021. In addition, total volumes increased by 0.9 billion, or 17%, to 6.2 billion gallon or gallon equivalents in the year ended December 31, 2022 compared to the year ended December 31, 2021, primarily due to the acquisition of Flyers and the increased activity in our natural gas and power businesses.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land segment gross profit for the year ended December 31, 2022 was $475.9 million, an increase of $174.9 million, or 58%, compared to the year ended December 31, 2021. The increase in gross profit was primarily attributable to Flyers gross profit of $137.8 million in the year ended December 31, 2022 as well as stronger performance across our businesses, principally in North America and our European power business. These increases were partially offset by the reduction in our government-related activity in Afghanistan.</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land segment income from operations for the year ended December 31, 2022 was $125.6 million, an increase of $81.0 million, or 182%, compared to the year ended December 31, 2021. The increase in gross profit discussed above was partially offset by an increase in operating expenses, driven by the acquisition of Flyers, as well as higher compensation and employee benefit costs and general and administrative costs as described under Consolidated Results of Operations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Segment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marine segment results of operations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60" w:type="dxa"/>
            <w:vAlign w:val="bottom"/>
          </w:tcPr>
          <w:p>
            <w:pPr>
              <w:spacing w:after="0"/>
              <w:rPr>
                <w:sz w:val="20"/>
                <w:szCs w:val="20"/>
                <w:color w:val="auto"/>
              </w:rPr>
            </w:pPr>
          </w:p>
        </w:tc>
        <w:tc>
          <w:tcPr>
            <w:tcW w:w="33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12,959.6</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4,873.8</w:t>
            </w:r>
          </w:p>
        </w:tc>
      </w:tr>
      <w:tr>
        <w:trPr>
          <w:trHeight w:val="94"/>
        </w:trPr>
        <w:tc>
          <w:tcPr>
            <w:tcW w:w="5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75"/>
        </w:trPr>
        <w:tc>
          <w:tcPr>
            <w:tcW w:w="5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Marine segment volumes (metric tons)</w:t>
            </w:r>
          </w:p>
        </w:tc>
        <w:tc>
          <w:tcPr>
            <w:tcW w:w="1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 average price per metric ton</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679.17</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240.85</w:t>
            </w: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 our marine segment were $13.0 billion for the year ended December 31, 2022, an increase of $4.9 billion, or 60%, compared to the year ended December 31, 2021. The increase in revenue was principally driven by a 55% increase in the average price per metric ton of bunker fuel sold in the year ended December 31, 2022 compared to the year ended December 31, 2021. In addition, total volumes increased by 0.6 million metric</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tons, or 3%, to 19.1 million metric tons in the year ended December 31, 2022 compared to the year ended December 31, 2021.</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marine segment gross profit for the year ended December 31, 2022 was $ 256.0 million, an increase of $155.7 million, or 155%, compared to the year ended December 31, 2021. The increase in gross profit was primarily attributable to the impact of higher bunker fuel prices and rising interest rates, leading to an increasingly constrained credit environment, as well as higher market volatility.</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marine segment income from operations for the year ended December 31, 2022 was $ 155.5 million, an increase of $134.8 million, or 652%, compared to the year ended December 31, 2021, principally due to the increase in gross profit, partially offset by a $20.9 million increase in operating expenses driven largely by higher incentive compensation as well as higher general and administrative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Liquidity to fund working capital, as well as make strategic investments to further our growth strategy, is a significant priority for us. Our views concerning liquidity are based on currently available information and if circumstances change significantly, the future availability of trade credit or other sources of financing may be reduced, and our liquidity would be adversely affected accordingly.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Sources of Liquidity and Factors Impacting Our Liquidity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liquidity, consisting principally of cash and availability under our Credit Facility, fluctuates based on a number of factors, including the timing of receipts from our customers and payments to our suppliers, changes in fuel prices, as well as our financial performance.</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rely on credit arrangements with banks, suppliers and other parties as an important source of liquidity for capital requirements not satisfied by our operating cash flow. Future market volatility, generally, and any persistent weakness in global energy markets may adversely affect our ability to access capital and credit markets or to obtain funds at reasonable interest rates or on other advantageous terms. In addition, since our business is impacted by the availability of trade credit to fund fuel purchases, an actual or perceived decline in our liquidity or business generally could cause our suppliers to reduce our credit lines, seek credit support in the form of additional collateral or otherwise materially modify our payment terms.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times of high fuel prices, our customers may not be able to purchase as much fuel from us because of their credit limits with us and the resulting adverse impact on their business could cause them to be unable to make payments owed to us for fuel purchased on credit. Furthermore, when fuel prices increase our working capital requirements increase and our own credit limits could prevent us from purchasing enough fuel from our suppliers to meet our customers’ demands, or we could be required to prepay for fuel purchases, any of which would adversely impact our liquidity.</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our results of operations and overall profitability. This can occur due to many factors, such as reduced demand for our price risk management products and decreased sales to our customers involved in the oil exploration sector. Low fuel prices also facilitate increased competition by reducing financial barriers to entry and enabling existing, lower-capitalized competitors to conduct more business as a result of lower working capital requirements.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the information currently available, we believe that our cash and cash equivalents as of December 31, 2022 and available funds from our Credit Facility, as described below, together with cash flows generated by operations, are sufficient to fund our working capital and capital expenditure requirements for at least the next twelve months.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Credit Facility and Term Loan. </w:t>
      </w:r>
      <w:r>
        <w:rPr>
          <w:rFonts w:ascii="Arial" w:cs="Arial" w:eastAsia="Arial" w:hAnsi="Arial"/>
          <w:sz w:val="18"/>
          <w:szCs w:val="18"/>
          <w:color w:val="auto"/>
        </w:rPr>
        <w:t>On April 1, 2022, we entered into Amendment No. 8 to the Fourth Amended and Restated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as further amended by Amendment No. 9 dated July 12, 2022 (as amended, the "Credit Agreement"), to: (i) increase the revolving credit facility provided under the Credit Agreement ("Credit Facility") to $1.5 billion and provide a term loan of $500.0 million ("Term Loan"), thereby replacing the then-existing term loan and increasing the total facility to $2.0 billion; (ii) modify the pricing of the loans, including the reference rates for various currencies to reflect the discontinuation of LIBOR; (iii) extend the maturity to April 1, 2027; and (iv) modify certain financial and other covenants to provide greater operating flexibility. Our availability under our Credit Facility is limited by, among other things, our consolidated total leverage ratio, which is defined in the Credit Agreement and is based, in part, on our consolidated earnings before interest, taxes, depreciation and amortization, and share-based compensation, with such adjustments as specified therein, for the four immediately preceding fiscal quarters.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Credit Agreement generally limits the total amount of indebtedness we may incur to a consolidated total leverage ratio of not more than 4.75 to 1.</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foregoing, as well as other covenants and restrictions contained in our Credit Agreement, our availability under the Credit Facility may fluctuate from period to period. In addition, our failure to comply with the covenants contained in our Credit Agreement could result in an event of default. An event of default, if not cured or waived, would permit acceleration of any outstanding indebtedness under the Credit Facility and our Term Loan,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See Note 7. Debt, Interest Income, Expense, and Other Finance Costs for additional information.</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Other Credit Lines. </w:t>
      </w:r>
      <w:r>
        <w:rPr>
          <w:rFonts w:ascii="Arial" w:cs="Arial" w:eastAsia="Arial" w:hAnsi="Arial"/>
          <w:sz w:val="18"/>
          <w:szCs w:val="18"/>
          <w:color w:val="auto"/>
        </w:rPr>
        <w:t>Additionally, we have other uncommitted credit lines primarily for the issuance of letters of credit, bank guarantees and</w:t>
      </w:r>
      <w:r>
        <w:rPr>
          <w:rFonts w:ascii="Arial" w:cs="Arial" w:eastAsia="Arial" w:hAnsi="Arial"/>
          <w:sz w:val="18"/>
          <w:szCs w:val="18"/>
          <w:i w:val="1"/>
          <w:iCs w:val="1"/>
          <w:color w:val="auto"/>
        </w:rPr>
        <w:t xml:space="preserve"> </w:t>
      </w:r>
      <w:r>
        <w:rPr>
          <w:rFonts w:ascii="Arial" w:cs="Arial" w:eastAsia="Arial" w:hAnsi="Arial"/>
          <w:sz w:val="18"/>
          <w:szCs w:val="18"/>
          <w:color w:val="auto"/>
        </w:rPr>
        <w:t>bankers’ acceptances. These credit lines are renewable on an annual basis and are subject to fees at market rates. As of December 31, 2022 and 2021, our outstanding letters of credit and bank guarantees under these credit lines totaled $523.1 million and $404.0 million, respectively.</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Receivables Purchase Agreements. </w:t>
      </w:r>
      <w:r>
        <w:rPr>
          <w:rFonts w:ascii="Arial" w:cs="Arial" w:eastAsia="Arial" w:hAnsi="Arial"/>
          <w:sz w:val="18"/>
          <w:szCs w:val="18"/>
          <w:color w:val="auto"/>
        </w:rPr>
        <w:t>We also have accounts receivable programs under RPAs that allow us to sell a specified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accounts receivable and receive cash consideration equal to the total balance, less an associated fee, which varies based on the outstanding accounts receivable at any given time. The RPAs provide the constituent banks with the ability to add or remove customers from these programs in their discretion based on, among other things, the level of risk exposure the bank is willing to accept with respect to any particular customer. The fees the banks charge us to purchase the receivables from these customers can also be impacted for these reasons. See Note 2. Accounts Receivable for additional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See Item 1A. – Risk Factors in Part 1 within this 2022 10-K Report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Uses of Liquidity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is primarily used to fund working capital to support our operations as well as for strategic acquisitions and investments, such as the acquisition of Flyers discussed below.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our contractual obligations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Long-Term</w:t>
            </w:r>
          </w:p>
        </w:tc>
        <w:tc>
          <w:tcPr>
            <w:tcW w:w="36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60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Debt and interest obligations </w:t>
            </w:r>
            <w:r>
              <w:rPr>
                <w:rFonts w:ascii="Arial" w:cs="Arial" w:eastAsia="Arial" w:hAnsi="Arial"/>
                <w:sz w:val="23"/>
                <w:szCs w:val="23"/>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w:t>
            </w:r>
          </w:p>
        </w:tc>
      </w:tr>
      <w:tr>
        <w:trPr>
          <w:trHeight w:val="230"/>
        </w:trPr>
        <w:tc>
          <w:tcPr>
            <w:tcW w:w="6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247.8</w:t>
            </w:r>
          </w:p>
        </w:tc>
      </w:tr>
      <w:tr>
        <w:trPr>
          <w:trHeight w:val="230"/>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Finance lease obligations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6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Derivatives obligations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325.2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490.2</w:t>
            </w:r>
          </w:p>
        </w:tc>
      </w:tr>
      <w:tr>
        <w:trPr>
          <w:trHeight w:val="229"/>
        </w:trPr>
        <w:tc>
          <w:tcPr>
            <w:tcW w:w="6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 commitment obligations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obligations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20" w:lineRule="auto"/>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Debt and interest obligations include principal and interest payments on fixed-rate and variable-rate, fixed-term debt based on their maturity dates. See Note 7. Debt, Interest Income, Expense, and Other Finance Costs for additional information.</w:t>
      </w:r>
    </w:p>
    <w:p>
      <w:pPr>
        <w:spacing w:after="0" w:line="107"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See Note 13. Leases for additional information.</w:t>
      </w:r>
    </w:p>
    <w:p>
      <w:pPr>
        <w:spacing w:after="0" w:line="107" w:lineRule="exact"/>
        <w:rPr>
          <w:rFonts w:ascii="Arial" w:cs="Arial" w:eastAsia="Arial" w:hAnsi="Arial"/>
          <w:sz w:val="23"/>
          <w:szCs w:val="23"/>
          <w:color w:val="auto"/>
          <w:vertAlign w:val="superscript"/>
        </w:rPr>
      </w:pPr>
    </w:p>
    <w:p>
      <w:pPr>
        <w:jc w:val="both"/>
        <w:ind w:left="340" w:hanging="332"/>
        <w:spacing w:after="0" w:line="234" w:lineRule="auto"/>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As part of our risk management program, we enter into derivative instruments intended to mitigate risks associated with changes in commodity prices, foreign currency exchange rates, and interest rates. Our obligations associated with these derivative instruments fluctuate based on changes in the fair value of the derivatives. See Note 4. Derivative Instruments and Note 5. Fair Value Measurements for additional information.</w:t>
      </w:r>
    </w:p>
    <w:p>
      <w:pPr>
        <w:spacing w:after="0" w:line="108" w:lineRule="exact"/>
        <w:rPr>
          <w:rFonts w:ascii="Arial" w:cs="Arial" w:eastAsia="Arial" w:hAnsi="Arial"/>
          <w:sz w:val="23"/>
          <w:szCs w:val="23"/>
          <w:color w:val="auto"/>
          <w:vertAlign w:val="superscript"/>
        </w:rPr>
      </w:pPr>
    </w:p>
    <w:p>
      <w:pPr>
        <w:jc w:val="both"/>
        <w:ind w:left="340" w:hanging="332"/>
        <w:spacing w:after="0" w:line="229" w:lineRule="auto"/>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We have fixed purchase commitments associated with our risk management program, as well as a purchase contract, that runs through 2026, under which we agreed to purchase annually between 1.9 million barrels and 2.0 million barrels of aviation fuel at future market prices. See Note 11. Commitments and Contingencies for additional information.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Future material cash requirements and off-balance sheet arrangements, in addition to the contractual obligations in the table above, include the following:</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Acquisition of Flyers. </w:t>
      </w:r>
      <w:r>
        <w:rPr>
          <w:rFonts w:ascii="Arial" w:cs="Arial" w:eastAsia="Arial" w:hAnsi="Arial"/>
          <w:sz w:val="18"/>
          <w:szCs w:val="18"/>
          <w:color w:val="auto"/>
        </w:rPr>
        <w:t>During the year ended December 31, 2022, we closed the acquisition of Flyers as discussed in Note 3.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Divestitures. As of December 31, 2022, $100.0 million of the $795.0 million total purchase consideration remains payable to the seller, with one-half to be released on each of the first and second anniversary of the closing of the acquisition. On January 3, 2023, $ 50.0 million of the remaining purchase consideration was paid to the seller, with the remaining $50.0 million expected to be settled on January 3, 2024.</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During the year ended December 31, 2022, we incurred capital expenditures in the ordinary course of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$78.6 million. In 2023, we expect our capital expenditures to be generally consistent with the year ended December 31, 2022.</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Unrecognized Income Tax Liabilities. </w:t>
      </w:r>
      <w:r>
        <w:rPr>
          <w:rFonts w:ascii="Arial" w:cs="Arial" w:eastAsia="Arial" w:hAnsi="Arial"/>
          <w:sz w:val="18"/>
          <w:szCs w:val="18"/>
          <w:color w:val="auto"/>
        </w:rPr>
        <w:t>As of December 31, 2022, we have recorded gross liabilities for unrecognized income tax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("Unrecognized Tax Liabilities"), including penalties and interest, of $93.5 million. The timing of any settlement of our Unrecognized Tax Liabilities with the respective taxing authority cannot be reasonably estimated.</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these letters of credit expire within one year from their issuance and expired letters of credit are renewed as needed. As of December 31, 2022, we had issued letters of credit and bank guarantees totaling $561.4 million under our Credit Facility and other uncommitted credit lines.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other surety-related bonds. The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surety bonds posted relate to our aviation and land segments. We had outstanding bonds that were executed in order to satisfy various security requirements of $59.7 million as of December 31,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reflects the major categories of cash flows (in millions). For additional details, please see the Consolidated Statements of Cash Flows.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6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200" w:type="dxa"/>
            <w:vAlign w:val="bottom"/>
          </w:tcPr>
          <w:p>
            <w:pPr>
              <w:jc w:val="center"/>
              <w:ind w:left="470"/>
              <w:spacing w:after="0"/>
              <w:rPr>
                <w:sz w:val="20"/>
                <w:szCs w:val="20"/>
                <w:color w:val="auto"/>
              </w:rPr>
            </w:pPr>
            <w:r>
              <w:rPr>
                <w:rFonts w:ascii="Arial" w:cs="Arial" w:eastAsia="Arial" w:hAnsi="Arial"/>
                <w:sz w:val="18"/>
                <w:szCs w:val="18"/>
                <w:color w:val="auto"/>
                <w:w w:val="98"/>
              </w:rPr>
              <w:t>(724.9)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237.3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r>
    </w:tbl>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year ended December 31, 2022, net cash provided by operating activities was $138.5 million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of $173.2 million for the year ended December 31, 2021. The $34.7 million decrease in operating cash flows was principally due to the impact of the overall increase in volumes, higher average fuel prices as well as higher interest rates that increased our interest payments in 2022. The increased prices and volumes compared to the prior year negatively impacted our inventory costs, increased both our accounts receivable and our accounts payable, and also drove an increase in our derivative-related activity and transaction tax payments. These negative impacts on our operating cash flow were partially offset by an increase in net income (see “Results of Operations” for further details of the drivers impacting our net income) adjusted for noncash items (primarily related to unrealized derivative activity and depreciation) of $252.6 million and an increase in sales of accounts receivable under our RPA programs (as discussed under “Sources of Liquidity and Factors Impacting Our Liquidity” above).</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year ended December 31, 2022, net cash used in investing activities was $724.9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$58.3 million for the year ended December 31, 2021. The net cash used in investing activities for the year ended December 31, 2022 was primarily driven by $643.9 million net cash paid for the acquisition of businesses, principally Flyers, as discussed in Note 3. Acquisitions and Divestitures, and $78.6 million for capital expenditures. Net cash used in investing activities for the year ended December 31, 2021 was primarily driven by $ 39.2 million for capital expenditures and $37.1 million cash paid for the acquisition of a business in the land segment in the fourth quarter of 2021, as discussed in Note 3. Acquisitions and Divestitures, partially offset by net cash proceeds of $25.0 million from the collection of a note receivable related to the sale of MSTS.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year ended December 31, 2022, net cash provided by financing activities was $ 237.3 million,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used of $113.6 million for the year ended December 31, 2021. Net cash provided by financing activities for the year ended December 31, 2022 was primarily attributable to net borrowings of $333.6 million, primarily driven by incremental borrowings under our Credit Facility related to the acquisition of Flyers and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increased working capital requirements, partially offset by $48.7 million in purchases of our common stock and dividend payments of $31.0 million. Net cash used in financing activities of $ 113.6 million for the year ended December 31, 2021 was primarily driven by common stock repurchases of $50.5 million, dividend payments on our common stock of $28.7 million, and net repayments of debt under our Credit Facility of $23.9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Management's discussion and analysis of our financial condition and results of operations are based upon our Consolidated Financial Statements included in this 2022 10</w:t>
      </w:r>
      <w:r>
        <w:rPr>
          <w:rFonts w:ascii="MS PGothic" w:cs="MS PGothic" w:eastAsia="MS PGothic" w:hAnsi="MS PGothic"/>
          <w:sz w:val="18"/>
          <w:szCs w:val="18"/>
          <w:color w:val="auto"/>
        </w:rPr>
        <w:t>‑</w:t>
      </w:r>
      <w:r>
        <w:rPr>
          <w:rFonts w:ascii="Arial" w:cs="Arial" w:eastAsia="Arial" w:hAnsi="Arial"/>
          <w:sz w:val="18"/>
          <w:szCs w:val="18"/>
          <w:color w:val="auto"/>
        </w:rPr>
        <w:t>K Report, which has been prepared in accordance with U.S. GAAP.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associated costs of sales, allowance for credit losses, goodwill and long-lived assets, certain accrued liabilities, and income taxes.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identified the areas described below as critical to our business operations and the understanding of our results of operations given the uncertainties associated with the assumptions underlying each estimate. For a detailed discussion on the application of these and other significant accounting policies, see Note 1. Basis of Presentation, New Accounting Standards, and Significant Accounting Policies.</w:t>
      </w:r>
    </w:p>
    <w:p>
      <w:pPr>
        <w:spacing w:after="0" w:line="90"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408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Judgments and Uncertainties</w:t>
            </w:r>
          </w:p>
        </w:tc>
        <w:tc>
          <w:tcPr>
            <w:tcW w:w="350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Effect if Actual Results Differ from</w:t>
            </w:r>
          </w:p>
        </w:tc>
        <w:tc>
          <w:tcPr>
            <w:tcW w:w="0" w:type="dxa"/>
            <w:vAlign w:val="bottom"/>
          </w:tcPr>
          <w:p>
            <w:pPr>
              <w:spacing w:after="0"/>
              <w:rPr>
                <w:sz w:val="1"/>
                <w:szCs w:val="1"/>
                <w:color w:val="auto"/>
              </w:rPr>
            </w:pPr>
          </w:p>
        </w:tc>
      </w:tr>
      <w:tr>
        <w:trPr>
          <w:trHeight w:val="243"/>
        </w:trPr>
        <w:tc>
          <w:tcPr>
            <w:tcW w:w="1980" w:type="dxa"/>
            <w:vAlign w:val="bottom"/>
            <w:vMerge w:val="continue"/>
          </w:tcPr>
          <w:p>
            <w:pPr>
              <w:spacing w:after="0"/>
              <w:rPr>
                <w:sz w:val="21"/>
                <w:szCs w:val="21"/>
                <w:color w:val="auto"/>
              </w:rPr>
            </w:pPr>
          </w:p>
        </w:tc>
        <w:tc>
          <w:tcPr>
            <w:tcW w:w="4080" w:type="dxa"/>
            <w:vAlign w:val="bottom"/>
            <w:vMerge w:val="continue"/>
          </w:tcPr>
          <w:p>
            <w:pPr>
              <w:spacing w:after="0"/>
              <w:rPr>
                <w:sz w:val="21"/>
                <w:szCs w:val="21"/>
                <w:color w:val="auto"/>
              </w:rPr>
            </w:pPr>
          </w:p>
        </w:tc>
        <w:tc>
          <w:tcPr>
            <w:tcW w:w="350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Assumptions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Impairment Assessments of Goodwill, Long-Lived Assets, and Equity Investments</w:t>
      </w:r>
    </w:p>
    <w:p>
      <w:pPr>
        <w:sectPr>
          <w:pgSz w:w="11900" w:h="16838" w:orient="portrait"/>
          <w:cols w:equalWidth="0" w:num="1">
            <w:col w:w="11240"/>
          </w:cols>
          <w:pgMar w:left="320" w:top="140" w:right="339" w:bottom="1440" w:gutter="0" w:footer="0" w:header="0"/>
        </w:sectPr>
      </w:pPr>
    </w:p>
    <w:p>
      <w:pPr>
        <w:spacing w:after="0" w:line="32" w:lineRule="exact"/>
        <w:rPr>
          <w:sz w:val="20"/>
          <w:szCs w:val="20"/>
          <w:color w:val="auto"/>
        </w:rPr>
      </w:pPr>
    </w:p>
    <w:p>
      <w:pPr>
        <w:ind w:left="20" w:right="220"/>
        <w:spacing w:after="0" w:line="231" w:lineRule="auto"/>
        <w:rPr>
          <w:sz w:val="20"/>
          <w:szCs w:val="20"/>
          <w:color w:val="auto"/>
        </w:rPr>
      </w:pPr>
      <w:r>
        <w:rPr>
          <w:rFonts w:ascii="Arial" w:cs="Arial" w:eastAsia="Arial" w:hAnsi="Arial"/>
          <w:sz w:val="17"/>
          <w:szCs w:val="17"/>
          <w:i w:val="1"/>
          <w:iCs w:val="1"/>
          <w:color w:val="auto"/>
        </w:rPr>
        <w:t>We evaluate goodwill for impairment at least annually, and whenever events or</w:t>
      </w:r>
    </w:p>
    <w:p>
      <w:pPr>
        <w:spacing w:after="0" w:line="1" w:lineRule="exact"/>
        <w:rPr>
          <w:sz w:val="20"/>
          <w:szCs w:val="20"/>
          <w:color w:val="auto"/>
        </w:rPr>
      </w:pPr>
    </w:p>
    <w:p>
      <w:pPr>
        <w:ind w:left="20"/>
        <w:spacing w:after="0" w:line="208" w:lineRule="auto"/>
        <w:rPr>
          <w:sz w:val="20"/>
          <w:szCs w:val="20"/>
          <w:color w:val="auto"/>
        </w:rPr>
      </w:pPr>
      <w:r>
        <w:rPr>
          <w:rFonts w:ascii="Arial" w:cs="Arial" w:eastAsia="Arial" w:hAnsi="Arial"/>
          <w:sz w:val="18"/>
          <w:szCs w:val="18"/>
          <w:i w:val="1"/>
          <w:iCs w:val="1"/>
          <w:color w:val="auto"/>
        </w:rPr>
        <w:t>changes in circumstances indicate it is more likely than not that the fair value of a reporting unit is less than its carrying</w:t>
      </w:r>
    </w:p>
    <w:p>
      <w:pPr>
        <w:spacing w:after="0" w:line="2" w:lineRule="exact"/>
        <w:rPr>
          <w:sz w:val="20"/>
          <w:szCs w:val="20"/>
          <w:color w:val="auto"/>
        </w:rPr>
      </w:pPr>
    </w:p>
    <w:p>
      <w:pPr>
        <w:ind w:left="20"/>
        <w:spacing w:after="0" w:line="221" w:lineRule="auto"/>
        <w:rPr>
          <w:sz w:val="20"/>
          <w:szCs w:val="20"/>
          <w:color w:val="auto"/>
        </w:rPr>
      </w:pPr>
      <w:r>
        <w:rPr>
          <w:rFonts w:ascii="Arial" w:cs="Arial" w:eastAsia="Arial" w:hAnsi="Arial"/>
          <w:sz w:val="17"/>
          <w:szCs w:val="17"/>
          <w:i w:val="1"/>
          <w:iCs w:val="1"/>
          <w:color w:val="auto"/>
        </w:rPr>
        <w:t>amount. We periodically evaluate whether the carrying value of long-lived assets (property and equipment, identifiable</w:t>
      </w:r>
    </w:p>
    <w:p>
      <w:pPr>
        <w:ind w:left="20" w:right="40"/>
        <w:spacing w:after="0" w:line="208" w:lineRule="auto"/>
        <w:rPr>
          <w:sz w:val="20"/>
          <w:szCs w:val="20"/>
          <w:color w:val="auto"/>
        </w:rPr>
      </w:pPr>
      <w:r>
        <w:rPr>
          <w:rFonts w:ascii="Arial" w:cs="Arial" w:eastAsia="Arial" w:hAnsi="Arial"/>
          <w:sz w:val="18"/>
          <w:szCs w:val="18"/>
          <w:i w:val="1"/>
          <w:iCs w:val="1"/>
          <w:color w:val="auto"/>
        </w:rPr>
        <w:t>intangible assets, and leases) and equity investments have been impaired when circumstances indicate the carrying value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of those assets may not be recoverable.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480"/>
        <w:spacing w:after="0" w:line="223" w:lineRule="auto"/>
        <w:rPr>
          <w:sz w:val="20"/>
          <w:szCs w:val="20"/>
          <w:color w:val="auto"/>
        </w:rPr>
      </w:pPr>
      <w:r>
        <w:rPr>
          <w:rFonts w:ascii="Arial" w:cs="Arial" w:eastAsia="Arial" w:hAnsi="Arial"/>
          <w:sz w:val="17"/>
          <w:szCs w:val="17"/>
          <w:color w:val="auto"/>
        </w:rPr>
        <w:t>These assessments require us to make accounting estimates that require</w:t>
      </w:r>
    </w:p>
    <w:p>
      <w:pPr>
        <w:spacing w:after="0" w:line="1" w:lineRule="exact"/>
        <w:rPr>
          <w:sz w:val="20"/>
          <w:szCs w:val="20"/>
          <w:color w:val="auto"/>
        </w:rPr>
      </w:pPr>
    </w:p>
    <w:p>
      <w:pPr>
        <w:ind w:right="120"/>
        <w:spacing w:after="0" w:line="221" w:lineRule="auto"/>
        <w:rPr>
          <w:sz w:val="20"/>
          <w:szCs w:val="20"/>
          <w:color w:val="auto"/>
        </w:rPr>
      </w:pPr>
      <w:r>
        <w:rPr>
          <w:rFonts w:ascii="Arial" w:cs="Arial" w:eastAsia="Arial" w:hAnsi="Arial"/>
          <w:sz w:val="17"/>
          <w:szCs w:val="17"/>
          <w:color w:val="auto"/>
        </w:rPr>
        <w:t>consideration of forecasted financial information. Significant judgment is involved in performing these estimates as they are</w:t>
      </w:r>
    </w:p>
    <w:p>
      <w:pPr>
        <w:spacing w:after="0" w:line="221" w:lineRule="auto"/>
        <w:rPr>
          <w:sz w:val="20"/>
          <w:szCs w:val="20"/>
          <w:color w:val="auto"/>
        </w:rPr>
      </w:pPr>
      <w:r>
        <w:rPr>
          <w:rFonts w:ascii="Arial" w:cs="Arial" w:eastAsia="Arial" w:hAnsi="Arial"/>
          <w:sz w:val="17"/>
          <w:szCs w:val="17"/>
          <w:color w:val="auto"/>
        </w:rPr>
        <w:t>developed based on forecasted assumptions. As of December 31, 2022, the assumptions used, particularly the expected growth rates,</w:t>
      </w:r>
    </w:p>
    <w:p>
      <w:pPr>
        <w:ind w:right="140"/>
        <w:spacing w:after="0" w:line="208" w:lineRule="auto"/>
        <w:rPr>
          <w:sz w:val="20"/>
          <w:szCs w:val="20"/>
          <w:color w:val="auto"/>
        </w:rPr>
      </w:pPr>
      <w:r>
        <w:rPr>
          <w:rFonts w:ascii="Arial" w:cs="Arial" w:eastAsia="Arial" w:hAnsi="Arial"/>
          <w:sz w:val="18"/>
          <w:szCs w:val="18"/>
          <w:color w:val="auto"/>
        </w:rPr>
        <w:t>the profitability embedded in the projected cash flow provided by our legacy and newly acquired businesses, the discount rate and</w:t>
      </w:r>
    </w:p>
    <w:p>
      <w:pPr>
        <w:spacing w:after="0" w:line="2" w:lineRule="exact"/>
        <w:rPr>
          <w:sz w:val="20"/>
          <w:szCs w:val="20"/>
          <w:color w:val="auto"/>
        </w:rPr>
      </w:pPr>
    </w:p>
    <w:p>
      <w:pPr>
        <w:ind w:right="80"/>
        <w:spacing w:after="0" w:line="208" w:lineRule="auto"/>
        <w:rPr>
          <w:sz w:val="20"/>
          <w:szCs w:val="20"/>
          <w:color w:val="auto"/>
        </w:rPr>
      </w:pPr>
      <w:r>
        <w:rPr>
          <w:rFonts w:ascii="Arial" w:cs="Arial" w:eastAsia="Arial" w:hAnsi="Arial"/>
          <w:sz w:val="18"/>
          <w:szCs w:val="18"/>
          <w:color w:val="auto"/>
        </w:rPr>
        <w:t>the market-based multiples, were defined on available information considering current market volatility and geopolitical risks.</w:t>
      </w:r>
    </w:p>
    <w:p>
      <w:pPr>
        <w:spacing w:after="0" w:line="2" w:lineRule="exact"/>
        <w:rPr>
          <w:sz w:val="20"/>
          <w:szCs w:val="20"/>
          <w:color w:val="auto"/>
        </w:rPr>
      </w:pPr>
    </w:p>
    <w:p>
      <w:pPr>
        <w:ind w:right="80"/>
        <w:spacing w:after="0" w:line="208" w:lineRule="auto"/>
        <w:rPr>
          <w:sz w:val="20"/>
          <w:szCs w:val="20"/>
          <w:color w:val="auto"/>
        </w:rPr>
      </w:pPr>
      <w:r>
        <w:rPr>
          <w:rFonts w:ascii="Arial" w:cs="Arial" w:eastAsia="Arial" w:hAnsi="Arial"/>
          <w:sz w:val="18"/>
          <w:szCs w:val="18"/>
          <w:color w:val="auto"/>
        </w:rPr>
        <w:t>Management also considered the volatility in the company's market capitalization and evaluated the potential impact that this</w:t>
      </w:r>
    </w:p>
    <w:p>
      <w:pPr>
        <w:spacing w:after="0" w:line="2"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volatility may have had on the estimated fair value of our reporting units.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220"/>
        <w:spacing w:after="0" w:line="223" w:lineRule="auto"/>
        <w:rPr>
          <w:sz w:val="20"/>
          <w:szCs w:val="20"/>
          <w:color w:val="auto"/>
        </w:rPr>
      </w:pPr>
      <w:r>
        <w:rPr>
          <w:rFonts w:ascii="Arial" w:cs="Arial" w:eastAsia="Arial" w:hAnsi="Arial"/>
          <w:sz w:val="17"/>
          <w:szCs w:val="17"/>
          <w:color w:val="auto"/>
        </w:rPr>
        <w:t>Based on the assessments performed, and supported by the available information as of</w:t>
      </w:r>
    </w:p>
    <w:p>
      <w:pPr>
        <w:spacing w:after="0" w:line="1" w:lineRule="exact"/>
        <w:rPr>
          <w:sz w:val="20"/>
          <w:szCs w:val="20"/>
          <w:color w:val="auto"/>
        </w:rPr>
      </w:pPr>
    </w:p>
    <w:p>
      <w:pPr>
        <w:ind w:right="80"/>
        <w:spacing w:after="0" w:line="221" w:lineRule="auto"/>
        <w:rPr>
          <w:sz w:val="20"/>
          <w:szCs w:val="20"/>
          <w:color w:val="auto"/>
        </w:rPr>
      </w:pPr>
      <w:r>
        <w:rPr>
          <w:rFonts w:ascii="Arial" w:cs="Arial" w:eastAsia="Arial" w:hAnsi="Arial"/>
          <w:sz w:val="17"/>
          <w:szCs w:val="17"/>
          <w:color w:val="auto"/>
        </w:rPr>
        <w:t>December 31, 2022, we concluded that the carrying value of our long-lived assets and equity investments were recoverable and that</w:t>
      </w:r>
    </w:p>
    <w:p>
      <w:pPr>
        <w:ind w:right="100"/>
        <w:spacing w:after="0" w:line="221" w:lineRule="auto"/>
        <w:rPr>
          <w:sz w:val="20"/>
          <w:szCs w:val="20"/>
          <w:color w:val="auto"/>
        </w:rPr>
      </w:pPr>
      <w:r>
        <w:rPr>
          <w:rFonts w:ascii="Arial" w:cs="Arial" w:eastAsia="Arial" w:hAnsi="Arial"/>
          <w:sz w:val="17"/>
          <w:szCs w:val="17"/>
          <w:color w:val="auto"/>
        </w:rPr>
        <w:t>the fair value of our land and aviation reporting units were not less than their respective carrying values. If our results differ</w:t>
      </w:r>
    </w:p>
    <w:p>
      <w:pPr>
        <w:ind w:right="80"/>
        <w:spacing w:after="0" w:line="241" w:lineRule="auto"/>
        <w:rPr>
          <w:sz w:val="20"/>
          <w:szCs w:val="20"/>
          <w:color w:val="auto"/>
        </w:rPr>
      </w:pPr>
      <w:r>
        <w:rPr>
          <w:rFonts w:ascii="Arial" w:cs="Arial" w:eastAsia="Arial" w:hAnsi="Arial"/>
          <w:sz w:val="17"/>
          <w:szCs w:val="17"/>
          <w:color w:val="auto"/>
        </w:rPr>
        <w:t>significantly from our assumptions, such impact could potentially result in impairments.</w:t>
      </w:r>
    </w:p>
    <w:p>
      <w:pPr>
        <w:spacing w:after="0" w:line="1818" w:lineRule="exact"/>
        <w:rPr>
          <w:sz w:val="20"/>
          <w:szCs w:val="20"/>
          <w:color w:val="auto"/>
        </w:rPr>
      </w:pPr>
    </w:p>
    <w:p>
      <w:pPr>
        <w:sectPr>
          <w:pgSz w:w="11900" w:h="16838" w:orient="portrait"/>
          <w:cols w:equalWidth="0" w:num="3">
            <w:col w:w="3360" w:space="320"/>
            <w:col w:w="3620" w:space="240"/>
            <w:col w:w="3700"/>
          </w:cols>
          <w:pgMar w:left="320" w:top="140" w:right="339" w:bottom="144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Accounts Receivable and Allowance for Credit Losses</w:t>
      </w:r>
    </w:p>
    <w:p>
      <w:pPr>
        <w:sectPr>
          <w:pgSz w:w="11900" w:h="16838" w:orient="portrait"/>
          <w:cols w:equalWidth="0" w:num="1">
            <w:col w:w="11240"/>
          </w:cols>
          <w:pgMar w:left="320" w:top="140" w:right="339" w:bottom="1440" w:gutter="0" w:footer="0" w:header="0"/>
          <w:type w:val="continuous"/>
        </w:sectPr>
      </w:pPr>
    </w:p>
    <w:p>
      <w:pPr>
        <w:spacing w:after="0" w:line="32" w:lineRule="exact"/>
        <w:rPr>
          <w:sz w:val="20"/>
          <w:szCs w:val="20"/>
          <w:color w:val="auto"/>
        </w:rPr>
      </w:pPr>
    </w:p>
    <w:p>
      <w:pPr>
        <w:ind w:left="20" w:right="420"/>
        <w:spacing w:after="0" w:line="231" w:lineRule="auto"/>
        <w:rPr>
          <w:sz w:val="20"/>
          <w:szCs w:val="20"/>
          <w:color w:val="auto"/>
        </w:rPr>
      </w:pPr>
      <w:r>
        <w:rPr>
          <w:rFonts w:ascii="Arial" w:cs="Arial" w:eastAsia="Arial" w:hAnsi="Arial"/>
          <w:sz w:val="17"/>
          <w:szCs w:val="17"/>
          <w:i w:val="1"/>
          <w:iCs w:val="1"/>
          <w:color w:val="auto"/>
        </w:rPr>
        <w:t>We maintain a provision for estimated credit losses based upon our historical</w:t>
      </w:r>
    </w:p>
    <w:p>
      <w:pPr>
        <w:spacing w:after="0" w:line="1" w:lineRule="exact"/>
        <w:rPr>
          <w:sz w:val="20"/>
          <w:szCs w:val="20"/>
          <w:color w:val="auto"/>
        </w:rPr>
      </w:pPr>
    </w:p>
    <w:p>
      <w:pPr>
        <w:ind w:left="20"/>
        <w:spacing w:after="0" w:line="221" w:lineRule="auto"/>
        <w:rPr>
          <w:sz w:val="20"/>
          <w:szCs w:val="20"/>
          <w:color w:val="auto"/>
        </w:rPr>
      </w:pPr>
      <w:r>
        <w:rPr>
          <w:rFonts w:ascii="Arial" w:cs="Arial" w:eastAsia="Arial" w:hAnsi="Arial"/>
          <w:sz w:val="17"/>
          <w:szCs w:val="17"/>
          <w:i w:val="1"/>
          <w:iCs w:val="1"/>
          <w:color w:val="auto"/>
        </w:rPr>
        <w:t>experience with our customers, any specific customer collection issues that we have identified from current financial information</w:t>
      </w:r>
    </w:p>
    <w:p>
      <w:pPr>
        <w:ind w:left="20" w:right="300"/>
        <w:spacing w:after="0" w:line="219" w:lineRule="auto"/>
        <w:rPr>
          <w:sz w:val="20"/>
          <w:szCs w:val="20"/>
          <w:color w:val="auto"/>
        </w:rPr>
      </w:pPr>
      <w:r>
        <w:rPr>
          <w:rFonts w:ascii="Arial" w:cs="Arial" w:eastAsia="Arial" w:hAnsi="Arial"/>
          <w:sz w:val="18"/>
          <w:szCs w:val="18"/>
          <w:i w:val="1"/>
          <w:iCs w:val="1"/>
          <w:color w:val="auto"/>
        </w:rPr>
        <w:t>and business prospects, as well as forward-looking information from market sources.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We consider historical payment trends of our customers together with internal and external</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information about the economic outlook, geopolitical risks and macroeconomic events, which may not fully capture the current or</w:t>
      </w:r>
    </w:p>
    <w:p>
      <w:pPr>
        <w:ind w:right="360"/>
        <w:spacing w:after="0" w:line="227" w:lineRule="auto"/>
        <w:rPr>
          <w:sz w:val="20"/>
          <w:szCs w:val="20"/>
          <w:color w:val="auto"/>
        </w:rPr>
      </w:pPr>
      <w:r>
        <w:rPr>
          <w:rFonts w:ascii="Arial" w:cs="Arial" w:eastAsia="Arial" w:hAnsi="Arial"/>
          <w:sz w:val="18"/>
          <w:szCs w:val="18"/>
          <w:color w:val="auto"/>
        </w:rPr>
        <w:t>future creditworthiness of our customers, particularly in difficult economic periods.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160"/>
        <w:spacing w:after="0" w:line="223" w:lineRule="auto"/>
        <w:rPr>
          <w:sz w:val="20"/>
          <w:szCs w:val="20"/>
          <w:color w:val="auto"/>
        </w:rPr>
      </w:pPr>
      <w:r>
        <w:rPr>
          <w:rFonts w:ascii="Arial" w:cs="Arial" w:eastAsia="Arial" w:hAnsi="Arial"/>
          <w:sz w:val="17"/>
          <w:szCs w:val="17"/>
          <w:color w:val="auto"/>
        </w:rPr>
        <w:t>As a result of the challenges inherent in estimating which customers are less likely to</w:t>
      </w:r>
    </w:p>
    <w:p>
      <w:pPr>
        <w:spacing w:after="0" w:line="1"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remit amounts owed to us, our provision for estimated credit losses may not always be sufficient. Any write-off of accounts receivable</w:t>
      </w:r>
    </w:p>
    <w:p>
      <w:pPr>
        <w:ind w:right="360"/>
        <w:spacing w:after="0" w:line="219" w:lineRule="auto"/>
        <w:rPr>
          <w:sz w:val="20"/>
          <w:szCs w:val="20"/>
          <w:color w:val="auto"/>
        </w:rPr>
      </w:pPr>
      <w:r>
        <w:rPr>
          <w:rFonts w:ascii="Arial" w:cs="Arial" w:eastAsia="Arial" w:hAnsi="Arial"/>
          <w:sz w:val="18"/>
          <w:szCs w:val="18"/>
          <w:color w:val="auto"/>
        </w:rPr>
        <w:t>in excess of our provision for credit losses could adversely affect our results of operations and cash flow.</w:t>
      </w:r>
    </w:p>
    <w:p>
      <w:pPr>
        <w:spacing w:after="0" w:line="200" w:lineRule="exact"/>
        <w:rPr>
          <w:sz w:val="20"/>
          <w:szCs w:val="20"/>
          <w:color w:val="auto"/>
        </w:rPr>
      </w:pPr>
    </w:p>
    <w:p>
      <w:pPr>
        <w:sectPr>
          <w:pgSz w:w="11900" w:h="16838" w:orient="portrait"/>
          <w:cols w:equalWidth="0" w:num="3">
            <w:col w:w="3500" w:space="180"/>
            <w:col w:w="3620" w:space="240"/>
            <w:col w:w="3700"/>
          </w:cols>
          <w:pgMar w:left="320" w:top="140"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920"/>
        <w:spacing w:after="0"/>
        <w:rPr>
          <w:sz w:val="20"/>
          <w:szCs w:val="20"/>
          <w:color w:val="auto"/>
        </w:rPr>
      </w:pPr>
      <w:r>
        <w:rPr>
          <w:rFonts w:ascii="Arial" w:cs="Arial" w:eastAsia="Arial" w:hAnsi="Arial"/>
          <w:sz w:val="17"/>
          <w:szCs w:val="17"/>
          <w:b w:val="1"/>
          <w:bCs w:val="1"/>
          <w:color w:val="auto"/>
        </w:rPr>
        <w:t>Effect if Actual Results Differ from</w:t>
      </w:r>
    </w:p>
    <w:p>
      <w:pPr>
        <w:spacing w:after="0" w:line="2" w:lineRule="exact"/>
        <w:rPr>
          <w:sz w:val="20"/>
          <w:szCs w:val="20"/>
          <w:color w:val="auto"/>
        </w:rPr>
      </w:pPr>
    </w:p>
    <w:p>
      <w:pPr>
        <w:ind w:left="1280"/>
        <w:spacing w:after="0"/>
        <w:tabs>
          <w:tab w:leader="none" w:pos="4240" w:val="left"/>
          <w:tab w:leader="none" w:pos="8780" w:val="left"/>
        </w:tabs>
        <w:rPr>
          <w:sz w:val="20"/>
          <w:szCs w:val="20"/>
          <w:color w:val="auto"/>
        </w:rPr>
      </w:pP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Judgments and Uncertainties</w:t>
      </w:r>
      <w:r>
        <w:rPr>
          <w:sz w:val="20"/>
          <w:szCs w:val="20"/>
          <w:color w:val="auto"/>
        </w:rPr>
        <w:tab/>
      </w:r>
      <w:r>
        <w:rPr>
          <w:rFonts w:ascii="Arial" w:cs="Arial" w:eastAsia="Arial" w:hAnsi="Arial"/>
          <w:sz w:val="17"/>
          <w:szCs w:val="17"/>
          <w:b w:val="1"/>
          <w:bCs w:val="1"/>
          <w:color w:val="auto"/>
        </w:rPr>
        <w:t>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Business Combinations</w:t>
      </w:r>
    </w:p>
    <w:p>
      <w:pPr>
        <w:sectPr>
          <w:pgSz w:w="11900" w:h="16838" w:orient="portrait"/>
          <w:cols w:equalWidth="0" w:num="1">
            <w:col w:w="11220"/>
          </w:cols>
          <w:pgMar w:left="320" w:top="140" w:right="359" w:bottom="1440" w:gutter="0" w:footer="0" w:header="0"/>
        </w:sectPr>
      </w:pPr>
    </w:p>
    <w:p>
      <w:pPr>
        <w:spacing w:after="0" w:line="32" w:lineRule="exact"/>
        <w:rPr>
          <w:sz w:val="20"/>
          <w:szCs w:val="20"/>
          <w:color w:val="auto"/>
        </w:rPr>
      </w:pPr>
    </w:p>
    <w:p>
      <w:pPr>
        <w:ind w:left="20"/>
        <w:spacing w:after="0" w:line="251" w:lineRule="auto"/>
        <w:rPr>
          <w:sz w:val="20"/>
          <w:szCs w:val="20"/>
          <w:color w:val="auto"/>
        </w:rPr>
      </w:pPr>
      <w:r>
        <w:rPr>
          <w:rFonts w:ascii="Arial" w:cs="Arial" w:eastAsia="Arial" w:hAnsi="Arial"/>
          <w:sz w:val="17"/>
          <w:szCs w:val="17"/>
          <w:i w:val="1"/>
          <w:iCs w:val="1"/>
          <w:color w:val="auto"/>
        </w:rPr>
        <w:t>A business combination occurs when an entity obtains control of a "business." To conclude if the definition of a business is met, we assess whether or not substantially all of the fair value of the gross assets acquired is concentrated in a single</w:t>
      </w:r>
    </w:p>
    <w:p>
      <w:pPr>
        <w:spacing w:after="0" w:line="1" w:lineRule="exact"/>
        <w:rPr>
          <w:sz w:val="20"/>
          <w:szCs w:val="20"/>
          <w:color w:val="auto"/>
        </w:rPr>
      </w:pPr>
    </w:p>
    <w:p>
      <w:pPr>
        <w:ind w:left="20" w:right="140"/>
        <w:spacing w:after="0" w:line="226" w:lineRule="auto"/>
        <w:rPr>
          <w:sz w:val="20"/>
          <w:szCs w:val="20"/>
          <w:color w:val="auto"/>
        </w:rPr>
      </w:pPr>
      <w:r>
        <w:rPr>
          <w:rFonts w:ascii="Arial" w:cs="Arial" w:eastAsia="Arial" w:hAnsi="Arial"/>
          <w:sz w:val="18"/>
          <w:szCs w:val="18"/>
          <w:i w:val="1"/>
          <w:iCs w:val="1"/>
          <w:color w:val="auto"/>
        </w:rPr>
        <w:t>identifiable asset or a group of similar identifiable assets, which requires the use</w:t>
      </w:r>
    </w:p>
    <w:p>
      <w:pPr>
        <w:spacing w:after="0" w:line="2" w:lineRule="exact"/>
        <w:rPr>
          <w:sz w:val="20"/>
          <w:szCs w:val="20"/>
          <w:color w:val="auto"/>
        </w:rPr>
      </w:pPr>
    </w:p>
    <w:p>
      <w:pPr>
        <w:ind w:left="20" w:right="40"/>
        <w:spacing w:after="0" w:line="236" w:lineRule="auto"/>
        <w:rPr>
          <w:sz w:val="20"/>
          <w:szCs w:val="20"/>
          <w:color w:val="auto"/>
        </w:rPr>
      </w:pPr>
      <w:r>
        <w:rPr>
          <w:rFonts w:ascii="Arial" w:cs="Arial" w:eastAsia="Arial" w:hAnsi="Arial"/>
          <w:sz w:val="18"/>
          <w:szCs w:val="18"/>
          <w:i w:val="1"/>
          <w:iCs w:val="1"/>
          <w:color w:val="auto"/>
        </w:rPr>
        <w:t>of significant judgment to determine the fair value. The determination of whether the acquired activities and assets constitute a business is critical because the accounting for a business combination differs significantly from that of an asset acquisition. Business combinations are accounted for using a fair value model. In contrast, asset acquisitions are accounted for using a cost accumulation and allocation model.</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Revenue Recognition</w:t>
      </w:r>
    </w:p>
    <w:p>
      <w:pPr>
        <w:spacing w:after="0" w:line="32" w:lineRule="exact"/>
        <w:rPr>
          <w:sz w:val="20"/>
          <w:szCs w:val="20"/>
          <w:color w:val="auto"/>
        </w:rPr>
      </w:pPr>
    </w:p>
    <w:p>
      <w:pPr>
        <w:ind w:left="20" w:right="120"/>
        <w:spacing w:after="0" w:line="218" w:lineRule="auto"/>
        <w:rPr>
          <w:sz w:val="20"/>
          <w:szCs w:val="20"/>
          <w:color w:val="auto"/>
        </w:rPr>
      </w:pPr>
      <w:r>
        <w:rPr>
          <w:rFonts w:ascii="Arial" w:cs="Arial" w:eastAsia="Arial" w:hAnsi="Arial"/>
          <w:sz w:val="18"/>
          <w:szCs w:val="18"/>
          <w:i w:val="1"/>
          <w:iCs w:val="1"/>
          <w:color w:val="auto"/>
        </w:rPr>
        <w:t>The majority of our consolidated revenues are generated through the sale of fuel and</w:t>
      </w:r>
    </w:p>
    <w:p>
      <w:pPr>
        <w:spacing w:after="0" w:line="1" w:lineRule="exact"/>
        <w:rPr>
          <w:sz w:val="20"/>
          <w:szCs w:val="20"/>
          <w:color w:val="auto"/>
        </w:rPr>
      </w:pPr>
    </w:p>
    <w:p>
      <w:pPr>
        <w:ind w:left="20"/>
        <w:spacing w:after="0" w:line="221" w:lineRule="auto"/>
        <w:rPr>
          <w:sz w:val="20"/>
          <w:szCs w:val="20"/>
          <w:color w:val="auto"/>
        </w:rPr>
      </w:pPr>
      <w:r>
        <w:rPr>
          <w:rFonts w:ascii="Arial" w:cs="Arial" w:eastAsia="Arial" w:hAnsi="Arial"/>
          <w:sz w:val="17"/>
          <w:szCs w:val="17"/>
          <w:i w:val="1"/>
          <w:iCs w:val="1"/>
          <w:color w:val="auto"/>
        </w:rPr>
        <w:t>fuel-related products. We generally recognize fuel sales on a gross basis as we have control of the products before they are</w:t>
      </w:r>
    </w:p>
    <w:p>
      <w:pPr>
        <w:ind w:left="20"/>
        <w:spacing w:after="0"/>
        <w:rPr>
          <w:sz w:val="20"/>
          <w:szCs w:val="20"/>
          <w:color w:val="auto"/>
        </w:rPr>
      </w:pPr>
      <w:r>
        <w:rPr>
          <w:rFonts w:ascii="Arial" w:cs="Arial" w:eastAsia="Arial" w:hAnsi="Arial"/>
          <w:sz w:val="18"/>
          <w:szCs w:val="18"/>
          <w:i w:val="1"/>
          <w:iCs w:val="1"/>
          <w:color w:val="auto"/>
        </w:rPr>
        <w:t>delivered to our customers.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200"/>
        <w:spacing w:after="0" w:line="223" w:lineRule="auto"/>
        <w:rPr>
          <w:sz w:val="20"/>
          <w:szCs w:val="20"/>
          <w:color w:val="auto"/>
        </w:rPr>
      </w:pPr>
      <w:r>
        <w:rPr>
          <w:rFonts w:ascii="Arial" w:cs="Arial" w:eastAsia="Arial" w:hAnsi="Arial"/>
          <w:sz w:val="17"/>
          <w:szCs w:val="17"/>
          <w:color w:val="auto"/>
        </w:rPr>
        <w:t>Significant judgment is involved in the determination of fair values in the context of</w:t>
      </w:r>
    </w:p>
    <w:p>
      <w:pPr>
        <w:spacing w:after="0" w:line="1"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acquisitions, such as the acquisition of Flyers during the year ended December 31, 2022, as fair values are generally developed based on</w:t>
      </w:r>
    </w:p>
    <w:p>
      <w:pPr>
        <w:spacing w:after="0" w:line="2" w:lineRule="exact"/>
        <w:rPr>
          <w:sz w:val="20"/>
          <w:szCs w:val="20"/>
          <w:color w:val="auto"/>
        </w:rPr>
      </w:pPr>
    </w:p>
    <w:p>
      <w:pPr>
        <w:ind w:right="200"/>
        <w:spacing w:after="0" w:line="208" w:lineRule="auto"/>
        <w:rPr>
          <w:sz w:val="20"/>
          <w:szCs w:val="20"/>
          <w:color w:val="auto"/>
        </w:rPr>
      </w:pPr>
      <w:r>
        <w:rPr>
          <w:rFonts w:ascii="Arial" w:cs="Arial" w:eastAsia="Arial" w:hAnsi="Arial"/>
          <w:sz w:val="18"/>
          <w:szCs w:val="18"/>
          <w:color w:val="auto"/>
        </w:rPr>
        <w:t>forecasted assumptions. The assumptions and inputs incorporated within the fair value estimates are subject to considerable</w:t>
      </w:r>
    </w:p>
    <w:p>
      <w:pPr>
        <w:spacing w:after="0" w:line="2" w:lineRule="exact"/>
        <w:rPr>
          <w:sz w:val="20"/>
          <w:szCs w:val="20"/>
          <w:color w:val="auto"/>
        </w:rPr>
      </w:pPr>
    </w:p>
    <w:p>
      <w:pPr>
        <w:jc w:val="both"/>
        <w:ind w:right="280"/>
        <w:spacing w:after="0" w:line="208" w:lineRule="auto"/>
        <w:rPr>
          <w:sz w:val="20"/>
          <w:szCs w:val="20"/>
          <w:color w:val="auto"/>
        </w:rPr>
      </w:pPr>
      <w:r>
        <w:rPr>
          <w:rFonts w:ascii="Arial" w:cs="Arial" w:eastAsia="Arial" w:hAnsi="Arial"/>
          <w:sz w:val="18"/>
          <w:szCs w:val="18"/>
          <w:color w:val="auto"/>
        </w:rPr>
        <w:t>management judgement and are based on industry, market, and economic conditions prevalent at the time of the acquisition.</w:t>
      </w:r>
    </w:p>
    <w:p>
      <w:pPr>
        <w:spacing w:after="0" w:line="2" w:lineRule="exact"/>
        <w:rPr>
          <w:sz w:val="20"/>
          <w:szCs w:val="20"/>
          <w:color w:val="auto"/>
        </w:rPr>
      </w:pPr>
    </w:p>
    <w:p>
      <w:pPr>
        <w:ind w:right="560"/>
        <w:spacing w:after="0" w:line="208" w:lineRule="auto"/>
        <w:rPr>
          <w:sz w:val="20"/>
          <w:szCs w:val="20"/>
          <w:color w:val="auto"/>
        </w:rPr>
      </w:pPr>
      <w:r>
        <w:rPr>
          <w:rFonts w:ascii="Arial" w:cs="Arial" w:eastAsia="Arial" w:hAnsi="Arial"/>
          <w:sz w:val="18"/>
          <w:szCs w:val="18"/>
          <w:color w:val="auto"/>
        </w:rPr>
        <w:t>Significant inputs incorporated in the determination of fair values, including customer relationships valued using an</w:t>
      </w:r>
    </w:p>
    <w:p>
      <w:pPr>
        <w:spacing w:after="0" w:line="2" w:lineRule="exact"/>
        <w:rPr>
          <w:sz w:val="20"/>
          <w:szCs w:val="20"/>
          <w:color w:val="auto"/>
        </w:rPr>
      </w:pPr>
    </w:p>
    <w:p>
      <w:pPr>
        <w:jc w:val="both"/>
        <w:ind w:right="220"/>
        <w:spacing w:after="0" w:line="208" w:lineRule="auto"/>
        <w:rPr>
          <w:sz w:val="20"/>
          <w:szCs w:val="20"/>
          <w:color w:val="auto"/>
        </w:rPr>
      </w:pPr>
      <w:r>
        <w:rPr>
          <w:rFonts w:ascii="Arial" w:cs="Arial" w:eastAsia="Arial" w:hAnsi="Arial"/>
          <w:sz w:val="18"/>
          <w:szCs w:val="18"/>
          <w:color w:val="auto"/>
        </w:rPr>
        <w:t>income approach, include the discount rate determined using a market-based weighted average cost of capital, expected growth</w:t>
      </w:r>
    </w:p>
    <w:p>
      <w:pPr>
        <w:spacing w:after="0" w:line="2"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rates, and profitability and risks embedded in the newly acquired activities, including customer attrition rates.</w:t>
      </w:r>
    </w:p>
    <w:p>
      <w:pPr>
        <w:spacing w:after="0" w:line="200" w:lineRule="exact"/>
        <w:rPr>
          <w:sz w:val="20"/>
          <w:szCs w:val="20"/>
          <w:color w:val="auto"/>
        </w:rPr>
      </w:pPr>
    </w:p>
    <w:p>
      <w:pPr>
        <w:spacing w:after="0" w:line="286" w:lineRule="exact"/>
        <w:rPr>
          <w:sz w:val="20"/>
          <w:szCs w:val="20"/>
          <w:color w:val="auto"/>
        </w:rPr>
      </w:pPr>
    </w:p>
    <w:p>
      <w:pPr>
        <w:ind w:right="560"/>
        <w:spacing w:after="0" w:line="223" w:lineRule="auto"/>
        <w:rPr>
          <w:sz w:val="20"/>
          <w:szCs w:val="20"/>
          <w:color w:val="auto"/>
        </w:rPr>
      </w:pPr>
      <w:r>
        <w:rPr>
          <w:rFonts w:ascii="Arial" w:cs="Arial" w:eastAsia="Arial" w:hAnsi="Arial"/>
          <w:sz w:val="17"/>
          <w:szCs w:val="17"/>
          <w:color w:val="auto"/>
        </w:rPr>
        <w:t>In drawing this conclusion, we consider various factors, including inventory risk</w:t>
      </w:r>
    </w:p>
    <w:p>
      <w:pPr>
        <w:spacing w:after="0" w:line="1"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management, latitude in establishing the sales price, discretion in the supplier selection and that we are normally the primary obligor</w:t>
      </w:r>
    </w:p>
    <w:p>
      <w:pPr>
        <w:spacing w:after="0"/>
        <w:rPr>
          <w:sz w:val="20"/>
          <w:szCs w:val="20"/>
          <w:color w:val="auto"/>
        </w:rPr>
      </w:pPr>
      <w:r>
        <w:rPr>
          <w:rFonts w:ascii="Arial" w:cs="Arial" w:eastAsia="Arial" w:hAnsi="Arial"/>
          <w:sz w:val="18"/>
          <w:szCs w:val="18"/>
          <w:color w:val="auto"/>
        </w:rPr>
        <w:t>in our sales arrangements.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assumptions used to estimate fair values are materially different, future earnings through depreciation and amortization expense could be impacted. In addition, if forecasts supporting the valuation of the long-lived assets, including intangibles, or goodwill are not achieved, impairments could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Our determination of whether to recognize revenue on a gross or net basis can materially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impact the amount of revenue we report.</w:t>
      </w:r>
    </w:p>
    <w:p>
      <w:pPr>
        <w:spacing w:after="0" w:line="779" w:lineRule="exact"/>
        <w:rPr>
          <w:sz w:val="20"/>
          <w:szCs w:val="20"/>
          <w:color w:val="auto"/>
        </w:rPr>
      </w:pPr>
    </w:p>
    <w:p>
      <w:pPr>
        <w:sectPr>
          <w:pgSz w:w="11900" w:h="16838" w:orient="portrait"/>
          <w:cols w:equalWidth="0" w:num="3">
            <w:col w:w="3500" w:space="180"/>
            <w:col w:w="3680" w:space="180"/>
            <w:col w:w="3680"/>
          </w:cols>
          <w:pgMar w:left="320" w:top="140" w:right="359" w:bottom="1440" w:gutter="0" w:footer="0" w:header="0"/>
          <w:type w:val="continuous"/>
        </w:sectPr>
      </w:pPr>
    </w:p>
    <w:p>
      <w:pPr>
        <w:ind w:left="20" w:right="420"/>
        <w:spacing w:after="0" w:line="231" w:lineRule="auto"/>
        <w:rPr>
          <w:sz w:val="20"/>
          <w:szCs w:val="20"/>
          <w:color w:val="auto"/>
        </w:rPr>
      </w:pPr>
      <w:r>
        <w:rPr>
          <w:rFonts w:ascii="Arial" w:cs="Arial" w:eastAsia="Arial" w:hAnsi="Arial"/>
          <w:sz w:val="17"/>
          <w:szCs w:val="17"/>
          <w:i w:val="1"/>
          <w:iCs w:val="1"/>
          <w:color w:val="auto"/>
        </w:rPr>
        <w:t>We estimate total income tax expense based on statutory tax rates and tax</w:t>
      </w:r>
    </w:p>
    <w:p>
      <w:pPr>
        <w:spacing w:after="0" w:line="1" w:lineRule="exact"/>
        <w:rPr>
          <w:sz w:val="20"/>
          <w:szCs w:val="20"/>
          <w:color w:val="auto"/>
        </w:rPr>
      </w:pPr>
    </w:p>
    <w:p>
      <w:pPr>
        <w:ind w:left="20" w:right="140"/>
        <w:spacing w:after="0" w:line="208" w:lineRule="auto"/>
        <w:rPr>
          <w:sz w:val="20"/>
          <w:szCs w:val="20"/>
          <w:color w:val="auto"/>
        </w:rPr>
      </w:pPr>
      <w:r>
        <w:rPr>
          <w:rFonts w:ascii="Arial" w:cs="Arial" w:eastAsia="Arial" w:hAnsi="Arial"/>
          <w:sz w:val="18"/>
          <w:szCs w:val="18"/>
          <w:i w:val="1"/>
          <w:iCs w:val="1"/>
          <w:color w:val="auto"/>
        </w:rPr>
        <w:t>planning opportunities available to us in various jurisdictions in which we operate. Deferred income taxes are recognized for</w:t>
      </w:r>
    </w:p>
    <w:p>
      <w:pPr>
        <w:spacing w:after="0" w:line="2" w:lineRule="exact"/>
        <w:rPr>
          <w:sz w:val="20"/>
          <w:szCs w:val="20"/>
          <w:color w:val="auto"/>
        </w:rPr>
      </w:pPr>
    </w:p>
    <w:p>
      <w:pPr>
        <w:ind w:left="20"/>
        <w:spacing w:after="0" w:line="221" w:lineRule="auto"/>
        <w:rPr>
          <w:sz w:val="20"/>
          <w:szCs w:val="20"/>
          <w:color w:val="auto"/>
        </w:rPr>
      </w:pPr>
      <w:r>
        <w:rPr>
          <w:rFonts w:ascii="Arial" w:cs="Arial" w:eastAsia="Arial" w:hAnsi="Arial"/>
          <w:sz w:val="17"/>
          <w:szCs w:val="17"/>
          <w:i w:val="1"/>
          <w:iCs w:val="1"/>
          <w:color w:val="auto"/>
        </w:rPr>
        <w:t>the future tax effects of temporary differences between financial and income tax reporting using tax rates in effect for the</w:t>
      </w:r>
    </w:p>
    <w:p>
      <w:pPr>
        <w:ind w:left="20"/>
        <w:spacing w:after="0" w:line="221" w:lineRule="auto"/>
        <w:rPr>
          <w:sz w:val="20"/>
          <w:szCs w:val="20"/>
          <w:color w:val="auto"/>
        </w:rPr>
      </w:pPr>
      <w:r>
        <w:rPr>
          <w:rFonts w:ascii="Arial" w:cs="Arial" w:eastAsia="Arial" w:hAnsi="Arial"/>
          <w:sz w:val="17"/>
          <w:szCs w:val="17"/>
          <w:i w:val="1"/>
          <w:iCs w:val="1"/>
          <w:color w:val="auto"/>
        </w:rPr>
        <w:t>years in which the differences are expected to reverse. Valuation allowances are recorded when it is likely a tax benefit will</w:t>
      </w:r>
    </w:p>
    <w:p>
      <w:pPr>
        <w:ind w:left="20"/>
        <w:spacing w:after="0" w:line="208" w:lineRule="auto"/>
        <w:rPr>
          <w:sz w:val="20"/>
          <w:szCs w:val="20"/>
          <w:color w:val="auto"/>
        </w:rPr>
      </w:pPr>
      <w:r>
        <w:rPr>
          <w:rFonts w:ascii="Arial" w:cs="Arial" w:eastAsia="Arial" w:hAnsi="Arial"/>
          <w:sz w:val="18"/>
          <w:szCs w:val="18"/>
          <w:i w:val="1"/>
          <w:iCs w:val="1"/>
          <w:color w:val="auto"/>
        </w:rPr>
        <w:t>not be realized for a deferred tax asset. We record unrecognized tax benefit liabilities for known or anticipated tax issues based</w:t>
      </w:r>
    </w:p>
    <w:p>
      <w:pPr>
        <w:spacing w:after="0" w:line="2" w:lineRule="exact"/>
        <w:rPr>
          <w:sz w:val="20"/>
          <w:szCs w:val="20"/>
          <w:color w:val="auto"/>
        </w:rPr>
      </w:pPr>
    </w:p>
    <w:p>
      <w:pPr>
        <w:ind w:left="20" w:right="120"/>
        <w:spacing w:after="0" w:line="241" w:lineRule="auto"/>
        <w:rPr>
          <w:sz w:val="20"/>
          <w:szCs w:val="20"/>
          <w:color w:val="auto"/>
        </w:rPr>
      </w:pPr>
      <w:r>
        <w:rPr>
          <w:rFonts w:ascii="Arial" w:cs="Arial" w:eastAsia="Arial" w:hAnsi="Arial"/>
          <w:sz w:val="17"/>
          <w:szCs w:val="17"/>
          <w:i w:val="1"/>
          <w:iCs w:val="1"/>
          <w:color w:val="auto"/>
        </w:rPr>
        <w:t>on our analysis of whether, and the extent to which, additional taxes will be due.</w:t>
      </w:r>
    </w:p>
    <w:p>
      <w:pPr>
        <w:spacing w:after="0" w:line="20" w:lineRule="exact"/>
        <w:rPr>
          <w:sz w:val="20"/>
          <w:szCs w:val="20"/>
          <w:color w:val="auto"/>
        </w:rPr>
      </w:pPr>
      <w:r>
        <w:rPr>
          <w:sz w:val="20"/>
          <w:szCs w:val="20"/>
          <w:color w:val="auto"/>
        </w:rPr>
        <w:br w:type="column"/>
      </w:r>
    </w:p>
    <w:p>
      <w:pPr>
        <w:ind w:right="60"/>
        <w:spacing w:after="0" w:line="223" w:lineRule="auto"/>
        <w:rPr>
          <w:sz w:val="20"/>
          <w:szCs w:val="20"/>
          <w:color w:val="auto"/>
        </w:rPr>
      </w:pPr>
      <w:r>
        <w:rPr>
          <w:rFonts w:ascii="Arial" w:cs="Arial" w:eastAsia="Arial" w:hAnsi="Arial"/>
          <w:sz w:val="17"/>
          <w:szCs w:val="17"/>
          <w:color w:val="auto"/>
        </w:rPr>
        <w:t>Changes in tax laws and rates could affect recorded deferred tax assets and liabilities in</w:t>
      </w:r>
    </w:p>
    <w:p>
      <w:pPr>
        <w:spacing w:after="0" w:line="1" w:lineRule="exact"/>
        <w:rPr>
          <w:sz w:val="20"/>
          <w:szCs w:val="20"/>
          <w:color w:val="auto"/>
        </w:rPr>
      </w:pPr>
    </w:p>
    <w:p>
      <w:pPr>
        <w:ind w:right="120"/>
        <w:spacing w:after="0" w:line="208" w:lineRule="auto"/>
        <w:rPr>
          <w:sz w:val="20"/>
          <w:szCs w:val="20"/>
          <w:color w:val="auto"/>
        </w:rPr>
      </w:pPr>
      <w:r>
        <w:rPr>
          <w:rFonts w:ascii="Arial" w:cs="Arial" w:eastAsia="Arial" w:hAnsi="Arial"/>
          <w:sz w:val="18"/>
          <w:szCs w:val="18"/>
          <w:color w:val="auto"/>
        </w:rPr>
        <w:t>the future. Changes in projected future earnings could affect the recorded valuation allowances in the future. Our calculations</w:t>
      </w:r>
    </w:p>
    <w:p>
      <w:pPr>
        <w:spacing w:after="0" w:line="2"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related to income taxes contain uncertainties due to judgment used to calculate tax liabilities in the application of complex tax</w:t>
      </w:r>
    </w:p>
    <w:p>
      <w:pPr>
        <w:jc w:val="both"/>
        <w:spacing w:after="0" w:line="208" w:lineRule="auto"/>
        <w:rPr>
          <w:sz w:val="20"/>
          <w:szCs w:val="20"/>
          <w:color w:val="auto"/>
        </w:rPr>
      </w:pPr>
      <w:r>
        <w:rPr>
          <w:rFonts w:ascii="Arial" w:cs="Arial" w:eastAsia="Arial" w:hAnsi="Arial"/>
          <w:sz w:val="18"/>
          <w:szCs w:val="18"/>
          <w:color w:val="auto"/>
        </w:rPr>
        <w:t>regulations across the tax jurisdictions where we operate. Our analysis of unrecognized tax benefits contains uncertainties based on</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judgment used to apply the more likely than not recognition and measurement thresholds.</w:t>
      </w:r>
    </w:p>
    <w:p>
      <w:pPr>
        <w:spacing w:after="0" w:line="20" w:lineRule="exact"/>
        <w:rPr>
          <w:sz w:val="20"/>
          <w:szCs w:val="20"/>
          <w:color w:val="auto"/>
        </w:rPr>
      </w:pPr>
      <w:r>
        <w:rPr>
          <w:sz w:val="20"/>
          <w:szCs w:val="20"/>
          <w:color w:val="auto"/>
        </w:rPr>
        <w:br w:type="column"/>
      </w:r>
    </w:p>
    <w:p>
      <w:pPr>
        <w:spacing w:after="0" w:line="223" w:lineRule="auto"/>
        <w:rPr>
          <w:sz w:val="20"/>
          <w:szCs w:val="20"/>
          <w:color w:val="auto"/>
        </w:rPr>
      </w:pPr>
      <w:r>
        <w:rPr>
          <w:rFonts w:ascii="Arial" w:cs="Arial" w:eastAsia="Arial" w:hAnsi="Arial"/>
          <w:sz w:val="17"/>
          <w:szCs w:val="17"/>
          <w:color w:val="auto"/>
        </w:rPr>
        <w:t>Due to the complexity of some of these uncertainties, the ultimate resolution of our tax</w:t>
      </w:r>
    </w:p>
    <w:p>
      <w:pPr>
        <w:spacing w:after="0" w:line="1"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related balances or valuation allowances may result in a payment that is materially different from the current estimate of the tax liabilities.</w:t>
      </w:r>
    </w:p>
    <w:p>
      <w:pPr>
        <w:ind w:right="20"/>
        <w:spacing w:after="0" w:line="221" w:lineRule="auto"/>
        <w:rPr>
          <w:sz w:val="20"/>
          <w:szCs w:val="20"/>
          <w:color w:val="auto"/>
        </w:rPr>
      </w:pPr>
      <w:r>
        <w:rPr>
          <w:rFonts w:ascii="Arial" w:cs="Arial" w:eastAsia="Arial" w:hAnsi="Arial"/>
          <w:sz w:val="17"/>
          <w:szCs w:val="17"/>
          <w:color w:val="auto"/>
        </w:rPr>
        <w:t>To the extent we prevail in matters for which unrecognized tax benefit liabilities have been established, or are required to pay amounts in</w:t>
      </w:r>
    </w:p>
    <w:p>
      <w:pPr>
        <w:ind w:right="360"/>
        <w:spacing w:after="0" w:line="221" w:lineRule="auto"/>
        <w:rPr>
          <w:sz w:val="20"/>
          <w:szCs w:val="20"/>
          <w:color w:val="auto"/>
        </w:rPr>
      </w:pPr>
      <w:r>
        <w:rPr>
          <w:rFonts w:ascii="Arial" w:cs="Arial" w:eastAsia="Arial" w:hAnsi="Arial"/>
          <w:sz w:val="17"/>
          <w:szCs w:val="17"/>
          <w:color w:val="auto"/>
        </w:rPr>
        <w:t>excess of our recorded unrecognized tax benefit liabilities, our effective tax rate in a given financial statement period could be</w:t>
      </w:r>
    </w:p>
    <w:p>
      <w:pPr>
        <w:spacing w:after="0"/>
        <w:rPr>
          <w:sz w:val="20"/>
          <w:szCs w:val="20"/>
          <w:color w:val="auto"/>
        </w:rPr>
      </w:pPr>
      <w:r>
        <w:rPr>
          <w:rFonts w:ascii="Arial" w:cs="Arial" w:eastAsia="Arial" w:hAnsi="Arial"/>
          <w:sz w:val="18"/>
          <w:szCs w:val="18"/>
          <w:color w:val="auto"/>
        </w:rPr>
        <w:t>materially affected.</w:t>
      </w:r>
    </w:p>
    <w:p>
      <w:pPr>
        <w:spacing w:after="0" w:line="925" w:lineRule="exact"/>
        <w:rPr>
          <w:sz w:val="20"/>
          <w:szCs w:val="20"/>
          <w:color w:val="auto"/>
        </w:rPr>
      </w:pPr>
    </w:p>
    <w:p>
      <w:pPr>
        <w:sectPr>
          <w:pgSz w:w="11900" w:h="16838" w:orient="portrait"/>
          <w:cols w:equalWidth="0" w:num="3">
            <w:col w:w="3480" w:space="200"/>
            <w:col w:w="3620" w:space="240"/>
            <w:col w:w="3680"/>
          </w:cols>
          <w:pgMar w:left="320" w:top="140" w:right="35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408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Judgments and Uncertainties</w:t>
            </w:r>
          </w:p>
        </w:tc>
        <w:tc>
          <w:tcPr>
            <w:tcW w:w="350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Effect if Actual Results Differ from</w:t>
            </w:r>
          </w:p>
        </w:tc>
        <w:tc>
          <w:tcPr>
            <w:tcW w:w="0" w:type="dxa"/>
            <w:vAlign w:val="bottom"/>
          </w:tcPr>
          <w:p>
            <w:pPr>
              <w:spacing w:after="0"/>
              <w:rPr>
                <w:sz w:val="1"/>
                <w:szCs w:val="1"/>
                <w:color w:val="auto"/>
              </w:rPr>
            </w:pPr>
          </w:p>
        </w:tc>
      </w:tr>
      <w:tr>
        <w:trPr>
          <w:trHeight w:val="243"/>
        </w:trPr>
        <w:tc>
          <w:tcPr>
            <w:tcW w:w="1980" w:type="dxa"/>
            <w:vAlign w:val="bottom"/>
            <w:vMerge w:val="continue"/>
          </w:tcPr>
          <w:p>
            <w:pPr>
              <w:spacing w:after="0"/>
              <w:rPr>
                <w:sz w:val="21"/>
                <w:szCs w:val="21"/>
                <w:color w:val="auto"/>
              </w:rPr>
            </w:pPr>
          </w:p>
        </w:tc>
        <w:tc>
          <w:tcPr>
            <w:tcW w:w="4080" w:type="dxa"/>
            <w:vAlign w:val="bottom"/>
            <w:vMerge w:val="continue"/>
          </w:tcPr>
          <w:p>
            <w:pPr>
              <w:spacing w:after="0"/>
              <w:rPr>
                <w:sz w:val="21"/>
                <w:szCs w:val="21"/>
                <w:color w:val="auto"/>
              </w:rPr>
            </w:pPr>
          </w:p>
        </w:tc>
        <w:tc>
          <w:tcPr>
            <w:tcW w:w="350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Assumptions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Derivatives</w:t>
      </w:r>
    </w:p>
    <w:p>
      <w:pPr>
        <w:sectPr>
          <w:pgSz w:w="11900" w:h="16838" w:orient="portrait"/>
          <w:cols w:equalWidth="0" w:num="1">
            <w:col w:w="11240"/>
          </w:cols>
          <w:pgMar w:left="320" w:top="140" w:right="339" w:bottom="1440" w:gutter="0" w:footer="0" w:header="0"/>
        </w:sectPr>
      </w:pPr>
    </w:p>
    <w:p>
      <w:pPr>
        <w:spacing w:after="0" w:line="32" w:lineRule="exact"/>
        <w:rPr>
          <w:sz w:val="20"/>
          <w:szCs w:val="20"/>
          <w:color w:val="auto"/>
        </w:rPr>
      </w:pPr>
    </w:p>
    <w:p>
      <w:pPr>
        <w:ind w:left="20" w:right="80"/>
        <w:spacing w:after="0" w:line="231" w:lineRule="auto"/>
        <w:rPr>
          <w:sz w:val="20"/>
          <w:szCs w:val="20"/>
          <w:color w:val="auto"/>
        </w:rPr>
      </w:pPr>
      <w:r>
        <w:rPr>
          <w:rFonts w:ascii="Arial" w:cs="Arial" w:eastAsia="Arial" w:hAnsi="Arial"/>
          <w:sz w:val="17"/>
          <w:szCs w:val="17"/>
          <w:i w:val="1"/>
          <w:iCs w:val="1"/>
          <w:color w:val="auto"/>
        </w:rPr>
        <w:t>We enter into financial derivative contracts to mitigate our risk of fuel market price</w:t>
      </w:r>
    </w:p>
    <w:p>
      <w:pPr>
        <w:spacing w:after="0" w:line="1" w:lineRule="exact"/>
        <w:rPr>
          <w:sz w:val="20"/>
          <w:szCs w:val="20"/>
          <w:color w:val="auto"/>
        </w:rPr>
      </w:pPr>
    </w:p>
    <w:p>
      <w:pPr>
        <w:ind w:left="20"/>
        <w:spacing w:after="0" w:line="208" w:lineRule="auto"/>
        <w:rPr>
          <w:sz w:val="20"/>
          <w:szCs w:val="20"/>
          <w:color w:val="auto"/>
        </w:rPr>
      </w:pPr>
      <w:r>
        <w:rPr>
          <w:rFonts w:ascii="Arial" w:cs="Arial" w:eastAsia="Arial" w:hAnsi="Arial"/>
          <w:sz w:val="18"/>
          <w:szCs w:val="18"/>
          <w:i w:val="1"/>
          <w:iCs w:val="1"/>
          <w:color w:val="auto"/>
        </w:rPr>
        <w:t>fluctuations in aviation, land, and marine as well as changes in interest and foreign currency exchange rates and also to offer</w:t>
      </w:r>
    </w:p>
    <w:p>
      <w:pPr>
        <w:spacing w:after="0" w:line="2" w:lineRule="exact"/>
        <w:rPr>
          <w:sz w:val="20"/>
          <w:szCs w:val="20"/>
          <w:color w:val="auto"/>
        </w:rPr>
      </w:pPr>
    </w:p>
    <w:p>
      <w:pPr>
        <w:jc w:val="both"/>
        <w:ind w:left="20" w:right="140"/>
        <w:spacing w:after="0" w:line="208" w:lineRule="auto"/>
        <w:rPr>
          <w:sz w:val="20"/>
          <w:szCs w:val="20"/>
          <w:color w:val="auto"/>
        </w:rPr>
      </w:pPr>
      <w:r>
        <w:rPr>
          <w:rFonts w:ascii="Arial" w:cs="Arial" w:eastAsia="Arial" w:hAnsi="Arial"/>
          <w:sz w:val="18"/>
          <w:szCs w:val="18"/>
          <w:i w:val="1"/>
          <w:iCs w:val="1"/>
          <w:color w:val="auto"/>
        </w:rPr>
        <w:t>our customers fuel pricing alternatives to meet their needs. These instruments may be designated as cash flow or fair value</w:t>
      </w:r>
    </w:p>
    <w:p>
      <w:pPr>
        <w:spacing w:after="0" w:line="2" w:lineRule="exact"/>
        <w:rPr>
          <w:sz w:val="20"/>
          <w:szCs w:val="20"/>
          <w:color w:val="auto"/>
        </w:rPr>
      </w:pPr>
    </w:p>
    <w:p>
      <w:pPr>
        <w:ind w:left="20" w:right="60"/>
        <w:spacing w:after="0" w:line="221" w:lineRule="auto"/>
        <w:rPr>
          <w:sz w:val="20"/>
          <w:szCs w:val="20"/>
          <w:color w:val="auto"/>
        </w:rPr>
      </w:pPr>
      <w:r>
        <w:rPr>
          <w:rFonts w:ascii="Arial" w:cs="Arial" w:eastAsia="Arial" w:hAnsi="Arial"/>
          <w:sz w:val="17"/>
          <w:szCs w:val="17"/>
          <w:i w:val="1"/>
          <w:iCs w:val="1"/>
          <w:color w:val="auto"/>
        </w:rPr>
        <w:t>hedges, or accounted for as non-designated derivatives. All derivative instruments are measured and recorded at</w:t>
      </w:r>
    </w:p>
    <w:p>
      <w:pPr>
        <w:ind w:left="20"/>
        <w:spacing w:after="0"/>
        <w:rPr>
          <w:sz w:val="20"/>
          <w:szCs w:val="20"/>
          <w:color w:val="auto"/>
        </w:rPr>
      </w:pPr>
      <w:r>
        <w:rPr>
          <w:rFonts w:ascii="Arial" w:cs="Arial" w:eastAsia="Arial" w:hAnsi="Arial"/>
          <w:sz w:val="18"/>
          <w:szCs w:val="18"/>
          <w:i w:val="1"/>
          <w:iCs w:val="1"/>
          <w:color w:val="auto"/>
        </w:rPr>
        <w:t>fair value.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When available, quoted market prices or prices obtained through external sources are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used to determine a contract's fair value. For contracts for which quoted market prices are not available, fair value is determined based</w:t>
      </w:r>
    </w:p>
    <w:p>
      <w:pPr>
        <w:spacing w:after="0" w:line="2" w:lineRule="exact"/>
        <w:rPr>
          <w:sz w:val="20"/>
          <w:szCs w:val="20"/>
          <w:color w:val="auto"/>
        </w:rPr>
      </w:pPr>
    </w:p>
    <w:p>
      <w:pPr>
        <w:ind w:right="120"/>
        <w:spacing w:after="0" w:line="208" w:lineRule="auto"/>
        <w:rPr>
          <w:sz w:val="20"/>
          <w:szCs w:val="20"/>
          <w:color w:val="auto"/>
        </w:rPr>
      </w:pPr>
      <w:r>
        <w:rPr>
          <w:rFonts w:ascii="Arial" w:cs="Arial" w:eastAsia="Arial" w:hAnsi="Arial"/>
          <w:sz w:val="18"/>
          <w:szCs w:val="18"/>
          <w:color w:val="auto"/>
        </w:rPr>
        <w:t>on pricing models developed primarily from historical information and the expected relationship with quoted market prices.</w:t>
      </w:r>
    </w:p>
    <w:p>
      <w:pPr>
        <w:spacing w:after="0" w:line="2" w:lineRule="exact"/>
        <w:rPr>
          <w:sz w:val="20"/>
          <w:szCs w:val="20"/>
          <w:color w:val="auto"/>
        </w:rPr>
      </w:pPr>
    </w:p>
    <w:p>
      <w:pPr>
        <w:ind w:right="100"/>
        <w:spacing w:after="0" w:line="208" w:lineRule="auto"/>
        <w:rPr>
          <w:sz w:val="20"/>
          <w:szCs w:val="20"/>
          <w:color w:val="auto"/>
        </w:rPr>
      </w:pPr>
      <w:r>
        <w:rPr>
          <w:rFonts w:ascii="Arial" w:cs="Arial" w:eastAsia="Arial" w:hAnsi="Arial"/>
          <w:sz w:val="18"/>
          <w:szCs w:val="18"/>
          <w:color w:val="auto"/>
        </w:rPr>
        <w:t>Measurement of the fair value of our derivatives also requires the assessment of certain risks related to non-performance,</w:t>
      </w:r>
    </w:p>
    <w:p>
      <w:pPr>
        <w:spacing w:after="0" w:line="2" w:lineRule="exact"/>
        <w:rPr>
          <w:sz w:val="20"/>
          <w:szCs w:val="20"/>
          <w:color w:val="auto"/>
        </w:rPr>
      </w:pPr>
    </w:p>
    <w:p>
      <w:pPr>
        <w:ind w:right="540"/>
        <w:spacing w:after="0" w:line="227" w:lineRule="auto"/>
        <w:rPr>
          <w:sz w:val="20"/>
          <w:szCs w:val="20"/>
          <w:color w:val="auto"/>
        </w:rPr>
      </w:pPr>
      <w:r>
        <w:rPr>
          <w:rFonts w:ascii="Arial" w:cs="Arial" w:eastAsia="Arial" w:hAnsi="Arial"/>
          <w:sz w:val="18"/>
          <w:szCs w:val="18"/>
          <w:color w:val="auto"/>
        </w:rPr>
        <w:t>which requires a significant amount of judgment.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140"/>
        <w:spacing w:after="0" w:line="223" w:lineRule="auto"/>
        <w:rPr>
          <w:sz w:val="20"/>
          <w:szCs w:val="20"/>
          <w:color w:val="auto"/>
        </w:rPr>
      </w:pPr>
      <w:r>
        <w:rPr>
          <w:rFonts w:ascii="Arial" w:cs="Arial" w:eastAsia="Arial" w:hAnsi="Arial"/>
          <w:sz w:val="17"/>
          <w:szCs w:val="17"/>
          <w:color w:val="auto"/>
        </w:rPr>
        <w:t>While we currently believe that our derivative contracts will be effective in mitigating the</w:t>
      </w:r>
    </w:p>
    <w:p>
      <w:pPr>
        <w:spacing w:after="0" w:line="1" w:lineRule="exact"/>
        <w:rPr>
          <w:sz w:val="20"/>
          <w:szCs w:val="20"/>
          <w:color w:val="auto"/>
        </w:rPr>
      </w:pPr>
    </w:p>
    <w:p>
      <w:pPr>
        <w:ind w:right="240"/>
        <w:spacing w:after="0" w:line="221" w:lineRule="auto"/>
        <w:rPr>
          <w:sz w:val="20"/>
          <w:szCs w:val="20"/>
          <w:color w:val="auto"/>
        </w:rPr>
      </w:pPr>
      <w:r>
        <w:rPr>
          <w:rFonts w:ascii="Arial" w:cs="Arial" w:eastAsia="Arial" w:hAnsi="Arial"/>
          <w:sz w:val="17"/>
          <w:szCs w:val="17"/>
          <w:color w:val="auto"/>
        </w:rPr>
        <w:t>associated price risks, it is possible that our derivative instruments will be ineffective at mitigating material changes in prices, which</w:t>
      </w:r>
    </w:p>
    <w:p>
      <w:pPr>
        <w:ind w:right="40"/>
        <w:spacing w:after="0" w:line="221" w:lineRule="auto"/>
        <w:rPr>
          <w:sz w:val="20"/>
          <w:szCs w:val="20"/>
          <w:color w:val="auto"/>
        </w:rPr>
      </w:pPr>
      <w:r>
        <w:rPr>
          <w:rFonts w:ascii="Arial" w:cs="Arial" w:eastAsia="Arial" w:hAnsi="Arial"/>
          <w:sz w:val="17"/>
          <w:szCs w:val="17"/>
          <w:color w:val="auto"/>
        </w:rPr>
        <w:t>could have an adverse impact on our financial position and results of operations. If our estimates of fair value are inaccurate, we may</w:t>
      </w:r>
    </w:p>
    <w:p>
      <w:pPr>
        <w:ind w:right="240"/>
        <w:spacing w:after="0" w:line="221" w:lineRule="auto"/>
        <w:rPr>
          <w:sz w:val="20"/>
          <w:szCs w:val="20"/>
          <w:color w:val="auto"/>
        </w:rPr>
      </w:pPr>
      <w:r>
        <w:rPr>
          <w:rFonts w:ascii="Arial" w:cs="Arial" w:eastAsia="Arial" w:hAnsi="Arial"/>
          <w:sz w:val="17"/>
          <w:szCs w:val="17"/>
          <w:color w:val="auto"/>
        </w:rPr>
        <w:t>be exposed to losses or gains that could be material. See Item 7A. – Quantitative and Qualitative Disclosures About Market Risks</w:t>
      </w:r>
    </w:p>
    <w:p>
      <w:pPr>
        <w:spacing w:after="0"/>
        <w:rPr>
          <w:sz w:val="20"/>
          <w:szCs w:val="20"/>
          <w:color w:val="auto"/>
        </w:rPr>
      </w:pPr>
      <w:r>
        <w:rPr>
          <w:rFonts w:ascii="Arial" w:cs="Arial" w:eastAsia="Arial" w:hAnsi="Arial"/>
          <w:sz w:val="18"/>
          <w:szCs w:val="18"/>
          <w:color w:val="auto"/>
        </w:rPr>
        <w:t>for additional information.</w:t>
      </w:r>
    </w:p>
    <w:p>
      <w:pPr>
        <w:spacing w:after="0" w:line="384" w:lineRule="exact"/>
        <w:rPr>
          <w:sz w:val="20"/>
          <w:szCs w:val="20"/>
          <w:color w:val="auto"/>
        </w:rPr>
      </w:pPr>
    </w:p>
    <w:p>
      <w:pPr>
        <w:sectPr>
          <w:pgSz w:w="11900" w:h="16838" w:orient="portrait"/>
          <w:cols w:equalWidth="0" w:num="3">
            <w:col w:w="3480" w:space="200"/>
            <w:col w:w="3560" w:space="300"/>
            <w:col w:w="3700"/>
          </w:cols>
          <w:pgMar w:left="320" w:top="140" w:right="3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and Financial Instruments Market Risk</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use commodity-based derivative contracts and financial instruments, when we deem it appropriate, to manage the risks associated with changes in the prices of fuel and fuel-related products, fluctuations in foreign currency exchange rates and interest rates, or to capture market opportunities. We utilize hedge accounting and formally designate certain of our derivative instruments as either cash flow or fair value hedges. Derivative instruments that are not designated are considered non-designated hedges and are designed to achieve an economic offset of the underlying price risk exposure. As a result, any changes in income associated with our derivatives contracts are substantially offset by corresponding changes in the value of the underlying risk being mitigated. However, in markets where the derivative instruments with longer maturities are automatically replaced by equivalent positions with shorter maturities, we may experience timing differences between the realized and unrealized gain or loss of the underlying transaction and hedged item although the underlying risk being mitigated is still offset. Financial instruments and positions affecting our financial statements are described below and are held primarily for hedging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commercial business segments use derivative instruments, primarily futures, forward, swap, and options contracts, in various markets to manage price risk inherent in the purchase and sale of fuel. Certain of these derivative instruments are utilized to mitigate the risk of price volatility in forecasted transactions in a cash flow hedge relationship and to mitigate the risk of changes in the price of our inventory in a fair value hedge relationship. In addition, we use derivatives as economic hedges or to optimize the value of our fuel inventory to capitalize on anticipated market opportunities.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notional and fair market values of our commodity-based derivative instrument positions were as follows (in millions, except weighted average contract price):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gridSpan w:val="6"/>
          </w:tcPr>
          <w:p>
            <w:pPr>
              <w:ind w:left="940"/>
              <w:spacing w:after="0"/>
              <w:rPr>
                <w:sz w:val="20"/>
                <w:szCs w:val="20"/>
                <w:color w:val="auto"/>
              </w:rPr>
            </w:pPr>
            <w:r>
              <w:rPr>
                <w:rFonts w:ascii="Arial" w:cs="Arial" w:eastAsia="Arial" w:hAnsi="Arial"/>
                <w:sz w:val="14"/>
                <w:szCs w:val="14"/>
                <w:b w:val="1"/>
                <w:bCs w:val="1"/>
                <w:color w:val="auto"/>
              </w:rPr>
              <w:t>Commodity Contracts (In millions of BBL)</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Notional</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rPr>
              <w:t>Weighted</w:t>
            </w:r>
          </w:p>
        </w:tc>
        <w:tc>
          <w:tcPr>
            <w:tcW w:w="820" w:type="dxa"/>
            <w:vAlign w:val="bottom"/>
            <w:tcBorders>
              <w:top w:val="single" w:sz="8" w:color="auto"/>
            </w:tcBorders>
            <w:vMerge w:val="restart"/>
          </w:tcPr>
          <w:p>
            <w:pPr>
              <w:jc w:val="center"/>
              <w:ind w:right="121"/>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c>
          <w:tcPr>
            <w:tcW w:w="1080" w:type="dxa"/>
            <w:vAlign w:val="bottom"/>
            <w:tcBorders>
              <w:top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Notional</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Weighted</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center"/>
              <w:ind w:right="14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Settlement</w:t>
            </w:r>
          </w:p>
        </w:tc>
        <w:tc>
          <w:tcPr>
            <w:tcW w:w="10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1120" w:type="dxa"/>
            <w:vAlign w:val="bottom"/>
            <w:gridSpan w:val="3"/>
          </w:tcPr>
          <w:p>
            <w:pPr>
              <w:jc w:val="center"/>
              <w:ind w:right="400"/>
              <w:spacing w:after="0" w:line="148" w:lineRule="exact"/>
              <w:rPr>
                <w:sz w:val="20"/>
                <w:szCs w:val="20"/>
                <w:color w:val="auto"/>
              </w:rPr>
            </w:pPr>
            <w:r>
              <w:rPr>
                <w:rFonts w:ascii="Arial" w:cs="Arial" w:eastAsia="Arial" w:hAnsi="Arial"/>
                <w:sz w:val="14"/>
                <w:szCs w:val="14"/>
                <w:b w:val="1"/>
                <w:bCs w:val="1"/>
                <w:color w:val="auto"/>
              </w:rPr>
              <w:t>Average</w:t>
            </w: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Hedge Strategy</w:t>
            </w:r>
          </w:p>
        </w:tc>
        <w:tc>
          <w:tcPr>
            <w:tcW w:w="100" w:type="dxa"/>
            <w:vAlign w:val="bottom"/>
            <w:vMerge w:val="restart"/>
          </w:tcPr>
          <w:p>
            <w:pPr>
              <w:spacing w:after="0"/>
              <w:rPr>
                <w:sz w:val="12"/>
                <w:szCs w:val="12"/>
                <w:color w:val="auto"/>
              </w:rPr>
            </w:pPr>
          </w:p>
        </w:tc>
        <w:tc>
          <w:tcPr>
            <w:tcW w:w="1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Derivative Instrument</w:t>
            </w:r>
          </w:p>
        </w:tc>
        <w:tc>
          <w:tcPr>
            <w:tcW w:w="10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Long/</w:t>
            </w:r>
          </w:p>
        </w:tc>
        <w:tc>
          <w:tcPr>
            <w:tcW w:w="120" w:type="dxa"/>
            <w:vAlign w:val="bottom"/>
          </w:tcPr>
          <w:p>
            <w:pPr>
              <w:spacing w:after="0"/>
              <w:rPr>
                <w:sz w:val="12"/>
                <w:szCs w:val="12"/>
                <w:color w:val="auto"/>
              </w:rPr>
            </w:pPr>
          </w:p>
        </w:tc>
        <w:tc>
          <w:tcPr>
            <w:tcW w:w="11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rPr>
              <w:t>Contract</w:t>
            </w:r>
          </w:p>
        </w:tc>
        <w:tc>
          <w:tcPr>
            <w:tcW w:w="8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Long/</w:t>
            </w: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Contract</w:t>
            </w:r>
          </w:p>
        </w:tc>
        <w:tc>
          <w:tcPr>
            <w:tcW w:w="180" w:type="dxa"/>
            <w:vAlign w:val="bottom"/>
          </w:tcPr>
          <w:p>
            <w:pPr>
              <w:spacing w:after="0"/>
              <w:rPr>
                <w:sz w:val="12"/>
                <w:szCs w:val="12"/>
                <w:color w:val="auto"/>
              </w:rPr>
            </w:pPr>
          </w:p>
        </w:tc>
        <w:tc>
          <w:tcPr>
            <w:tcW w:w="8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9"/>
        </w:trPr>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Period</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(Short)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Price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(Short)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Price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6"/>
                <w:szCs w:val="16"/>
                <w:color w:val="auto"/>
              </w:rPr>
              <w:t>Commodity contracts</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Designated hedge</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hedging inventory</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2023</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102.63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16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Non-designated</w:t>
            </w: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hedge</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Commodity contracts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(179.2)</w:t>
            </w:r>
          </w:p>
        </w:tc>
        <w:tc>
          <w:tcPr>
            <w:tcW w:w="1060" w:type="dxa"/>
            <w:vAlign w:val="bottom"/>
            <w:gridSpan w:val="2"/>
          </w:tcPr>
          <w:p>
            <w:pPr>
              <w:jc w:val="right"/>
              <w:ind w:right="4"/>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w:t>
            </w:r>
          </w:p>
        </w:tc>
        <w:tc>
          <w:tcPr>
            <w:tcW w:w="10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2027</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Thereafter</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32"/>
        </w:trPr>
        <w:tc>
          <w:tcPr>
            <w:tcW w:w="364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Total commodity derivative contracts</w:t>
            </w: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hedge our exposure to currency exchange rate changes, such as foreign-currency-denominated trade receivables, payables, or local currency tax payments. The foreign currency exchange rate risk results primarily from our international operations and is economically hedged using forward and swap contracts. The changes in the fair value of these foreign currency exchange derivatives are recorded in earnings. Since the gains or losses on the forward and swap contracts are substantially offset by the gains or losses from remeasuring the hedged foreign-currency-denominated exposure, we do not believe that a hypothetical 10% change in exchange rates at December 31, 2022 would have a material impact on our income from operations.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2022, the foreign currency denominated notional amounts and fair value in U.S. dollars of our exposures from our foreign currency exchange derivatives, were primarily related to the following (in millions, except weighted average contract price):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Settlement Period</w:t>
            </w:r>
          </w:p>
        </w:tc>
        <w:tc>
          <w:tcPr>
            <w:tcW w:w="120" w:type="dxa"/>
            <w:vAlign w:val="bottom"/>
            <w:vMerge w:val="restart"/>
          </w:tcPr>
          <w:p>
            <w:pPr>
              <w:spacing w:after="0"/>
              <w:rPr>
                <w:sz w:val="17"/>
                <w:szCs w:val="17"/>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Unit</w:t>
            </w:r>
          </w:p>
        </w:tc>
        <w:tc>
          <w:tcPr>
            <w:tcW w:w="140" w:type="dxa"/>
            <w:vAlign w:val="bottom"/>
            <w:vMerge w:val="restart"/>
          </w:tcPr>
          <w:p>
            <w:pPr>
              <w:spacing w:after="0"/>
              <w:rPr>
                <w:sz w:val="17"/>
                <w:szCs w:val="17"/>
                <w:color w:val="auto"/>
              </w:rPr>
            </w:pPr>
          </w:p>
        </w:tc>
        <w:tc>
          <w:tcPr>
            <w:tcW w:w="2300" w:type="dxa"/>
            <w:vAlign w:val="bottom"/>
            <w:gridSpan w:val="2"/>
          </w:tcPr>
          <w:p>
            <w:pPr>
              <w:ind w:left="700"/>
              <w:spacing w:after="0"/>
              <w:rPr>
                <w:sz w:val="20"/>
                <w:szCs w:val="20"/>
                <w:color w:val="auto"/>
              </w:rPr>
            </w:pPr>
            <w:r>
              <w:rPr>
                <w:rFonts w:ascii="Arial" w:cs="Arial" w:eastAsia="Arial" w:hAnsi="Arial"/>
                <w:sz w:val="18"/>
                <w:szCs w:val="18"/>
                <w:b w:val="1"/>
                <w:bCs w:val="1"/>
                <w:color w:val="auto"/>
              </w:rPr>
              <w:t>Notional</w:t>
            </w:r>
          </w:p>
        </w:tc>
        <w:tc>
          <w:tcPr>
            <w:tcW w:w="2320" w:type="dxa"/>
            <w:vAlign w:val="bottom"/>
            <w:gridSpan w:val="2"/>
          </w:tcPr>
          <w:p>
            <w:pPr>
              <w:ind w:left="320"/>
              <w:spacing w:after="0"/>
              <w:rPr>
                <w:sz w:val="20"/>
                <w:szCs w:val="20"/>
                <w:color w:val="auto"/>
              </w:rPr>
            </w:pPr>
            <w:r>
              <w:rPr>
                <w:rFonts w:ascii="Arial" w:cs="Arial" w:eastAsia="Arial" w:hAnsi="Arial"/>
                <w:sz w:val="18"/>
                <w:szCs w:val="18"/>
                <w:b w:val="1"/>
                <w:bCs w:val="1"/>
                <w:color w:val="auto"/>
              </w:rPr>
              <w:t>Weighted Average</w:t>
            </w:r>
          </w:p>
        </w:tc>
        <w:tc>
          <w:tcPr>
            <w:tcW w:w="200" w:type="dxa"/>
            <w:vAlign w:val="bottom"/>
          </w:tcPr>
          <w:p>
            <w:pPr>
              <w:spacing w:after="0"/>
              <w:rPr>
                <w:sz w:val="17"/>
                <w:szCs w:val="17"/>
                <w:color w:val="auto"/>
              </w:rPr>
            </w:pPr>
          </w:p>
        </w:tc>
        <w:tc>
          <w:tcPr>
            <w:tcW w:w="19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Fair Value Amount</w:t>
            </w:r>
          </w:p>
        </w:tc>
        <w:tc>
          <w:tcPr>
            <w:tcW w:w="0" w:type="dxa"/>
            <w:vAlign w:val="bottom"/>
          </w:tcPr>
          <w:p>
            <w:pPr>
              <w:spacing w:after="0"/>
              <w:rPr>
                <w:sz w:val="1"/>
                <w:szCs w:val="1"/>
                <w:color w:val="auto"/>
              </w:rPr>
            </w:pPr>
          </w:p>
        </w:tc>
      </w:tr>
      <w:tr>
        <w:trPr>
          <w:trHeight w:val="243"/>
        </w:trPr>
        <w:tc>
          <w:tcPr>
            <w:tcW w:w="21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20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2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 Long/(Short)</w:t>
            </w:r>
          </w:p>
        </w:tc>
        <w:tc>
          <w:tcPr>
            <w:tcW w:w="140" w:type="dxa"/>
            <w:vAlign w:val="bottom"/>
            <w:tcBorders>
              <w:bottom w:val="single" w:sz="8" w:color="CCEEFF"/>
            </w:tcBorders>
          </w:tcPr>
          <w:p>
            <w:pPr>
              <w:spacing w:after="0"/>
              <w:rPr>
                <w:sz w:val="21"/>
                <w:szCs w:val="21"/>
                <w:color w:val="auto"/>
              </w:rPr>
            </w:pPr>
          </w:p>
        </w:tc>
        <w:tc>
          <w:tcPr>
            <w:tcW w:w="2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Contract Price</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AUD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CAD</w:t>
            </w:r>
          </w:p>
        </w:tc>
        <w:tc>
          <w:tcPr>
            <w:tcW w:w="2160" w:type="dxa"/>
            <w:vAlign w:val="bottom"/>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1.358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CHF</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CLP</w:t>
            </w:r>
          </w:p>
        </w:tc>
        <w:tc>
          <w:tcPr>
            <w:tcW w:w="2160" w:type="dxa"/>
            <w:vAlign w:val="bottom"/>
          </w:tcPr>
          <w:p>
            <w:pPr>
              <w:jc w:val="right"/>
              <w:spacing w:after="0"/>
              <w:rPr>
                <w:sz w:val="20"/>
                <w:szCs w:val="20"/>
                <w:color w:val="auto"/>
              </w:rPr>
            </w:pPr>
            <w:r>
              <w:rPr>
                <w:rFonts w:ascii="Arial" w:cs="Arial" w:eastAsia="Arial" w:hAnsi="Arial"/>
                <w:sz w:val="18"/>
                <w:szCs w:val="18"/>
                <w:color w:val="auto"/>
              </w:rPr>
              <w:t>(1,229.2)</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963.670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COP</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(66,939.1)</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4,774.820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CZK</w:t>
            </w:r>
          </w:p>
        </w:tc>
        <w:tc>
          <w:tcPr>
            <w:tcW w:w="216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24.798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DKK</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EUR</w:t>
            </w:r>
          </w:p>
        </w:tc>
        <w:tc>
          <w:tcPr>
            <w:tcW w:w="2160" w:type="dxa"/>
            <w:vAlign w:val="bottom"/>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GBP</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HUF</w:t>
            </w:r>
          </w:p>
        </w:tc>
        <w:tc>
          <w:tcPr>
            <w:tcW w:w="2160" w:type="dxa"/>
            <w:vAlign w:val="bottom"/>
          </w:tcPr>
          <w:p>
            <w:pPr>
              <w:jc w:val="right"/>
              <w:spacing w:after="0"/>
              <w:rPr>
                <w:sz w:val="20"/>
                <w:szCs w:val="20"/>
                <w:color w:val="auto"/>
              </w:rPr>
            </w:pPr>
            <w:r>
              <w:rPr>
                <w:rFonts w:ascii="Arial" w:cs="Arial" w:eastAsia="Arial" w:hAnsi="Arial"/>
                <w:sz w:val="18"/>
                <w:szCs w:val="18"/>
                <w:color w:val="auto"/>
              </w:rPr>
              <w:t>(393.4)</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418.490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KRW</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(19,860.4)</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1,066.255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MXN</w:t>
            </w:r>
          </w:p>
        </w:tc>
        <w:tc>
          <w:tcPr>
            <w:tcW w:w="2160" w:type="dxa"/>
            <w:vAlign w:val="bottom"/>
          </w:tcPr>
          <w:p>
            <w:pPr>
              <w:jc w:val="right"/>
              <w:spacing w:after="0"/>
              <w:rPr>
                <w:sz w:val="20"/>
                <w:szCs w:val="20"/>
                <w:color w:val="auto"/>
              </w:rPr>
            </w:pPr>
            <w:r>
              <w:rPr>
                <w:rFonts w:ascii="Arial" w:cs="Arial" w:eastAsia="Arial" w:hAnsi="Arial"/>
                <w:sz w:val="18"/>
                <w:szCs w:val="18"/>
                <w:color w:val="auto"/>
              </w:rPr>
              <w:t>(1,700.0)</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19.965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NOK</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(1,808.7)</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NZD</w:t>
            </w:r>
          </w:p>
        </w:tc>
        <w:tc>
          <w:tcPr>
            <w:tcW w:w="21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0.596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PHP</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rPr>
              <w:t>PLN</w:t>
            </w:r>
          </w:p>
        </w:tc>
        <w:tc>
          <w:tcPr>
            <w:tcW w:w="216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4.706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RON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SEK</w:t>
            </w:r>
          </w:p>
        </w:tc>
        <w:tc>
          <w:tcPr>
            <w:tcW w:w="2160" w:type="dxa"/>
            <w:vAlign w:val="bottom"/>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10.624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SGD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EUR</w:t>
            </w:r>
          </w:p>
        </w:tc>
        <w:tc>
          <w:tcPr>
            <w:tcW w:w="21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1.070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EUR</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440" w:type="dxa"/>
            <w:vAlign w:val="bottom"/>
            <w:gridSpan w:val="4"/>
          </w:tcPr>
          <w:p>
            <w:pPr>
              <w:ind w:left="20"/>
              <w:spacing w:after="0"/>
              <w:rPr>
                <w:sz w:val="20"/>
                <w:szCs w:val="20"/>
                <w:color w:val="auto"/>
              </w:rPr>
            </w:pPr>
            <w:r>
              <w:rPr>
                <w:rFonts w:ascii="Arial" w:cs="Arial" w:eastAsia="Arial" w:hAnsi="Arial"/>
                <w:sz w:val="18"/>
                <w:szCs w:val="18"/>
                <w:color w:val="auto"/>
              </w:rPr>
              <w:t>Total foreign currency exchange derivative contracts</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total fair value our foreign currency exchange derivative contracts was a net liability of $14.1 million and a net asset of $0.4 million as of December 31, 2022 and 2021, respectively. The majority of foreign currency exchange derivatives are settled within one year. See Note 4. Derivative Instruments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Borrowings under our Credit Facility and Term Loan related to base rate loans or Eurodollar rate loans bear floating interest rates plus applicable margins. As of December 31, 2022, the applicable margins for base rate loans and Eurodollar rate loans were 0.75% and 1.75%, respectively. As of December 31, 2022, we had $339.0 million in outstanding borrowings under our Credit Facility and a $488.4 million Term Loan. As of December 31, 2022, the aggregate outstanding balance of our finance lease obligations was $15.4 million, which bear interest at annual rates ranging from 1.0% to 5.9%. Our remaining outstanding debt of $2.9 million, as of December 31, 2022, primarily relates to loans payable in varying amounts which bear interest at annual rates ranging from zero to 3.5%. We also have other agreements, such as our RPAs, with exposure to interest rate risk. See Note 2. Accounts Receivable and Note 7. Debt, Interest Income, Expense, and Other Finance Costs for additional information.</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entered into a $300 million, one-month Eurodollar, floating-for-fixed interest rate non-amortizing swap with a maturity date in March 2025 (the "Swap"). The Swap agreement effectively locks in the floating interest rate we will pay for a portion of our Eurodollar rate loans at 0.535%. The fair value of the interest rate swap contract was an asset of $24.7 million and an asset of $5.1 million as of December 31, 2022 and 2021, respectively.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contractual weighted average interest rates and expected cash flows by maturity dates (in millions, except weighted average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0980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0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Expected Maturities as of December 31,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Interest Rate Swap</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Notional Value: $300</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5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Variable to Fixed</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Average pay rate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0.535 %</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0.535 %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Average receive rate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168"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Represents discounted net cash flow receipts or (payments).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fluctuation of 100 bps in the interest rate would result in a $12.5 million change in interest expense with respect to these agreements during the next twelve months.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financial statements, together with the report thereon of PricewaterhouseCoopers LLP dated February 24, 2023, are set forth in Item 15 of this 2022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end of the period covered by this 10-K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December 31,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w:t>
      </w:r>
      <w:r>
        <w:rPr>
          <w:rFonts w:ascii="MS PGothic" w:cs="MS PGothic" w:eastAsia="MS PGothic" w:hAnsi="MS PGothic"/>
          <w:sz w:val="18"/>
          <w:szCs w:val="18"/>
          <w:color w:val="auto"/>
        </w:rPr>
        <w:t>‑</w:t>
      </w:r>
      <w:r>
        <w:rPr>
          <w:rFonts w:ascii="Arial" w:cs="Arial" w:eastAsia="Arial" w:hAnsi="Arial"/>
          <w:sz w:val="18"/>
          <w:szCs w:val="18"/>
          <w:color w:val="auto"/>
        </w:rPr>
        <w:t>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0" w:lineRule="exact"/>
        <w:rPr>
          <w:rFonts w:ascii="Arial" w:cs="Arial" w:eastAsia="Arial" w:hAnsi="Arial"/>
          <w:sz w:val="17"/>
          <w:szCs w:val="17"/>
          <w:color w:val="auto"/>
        </w:rPr>
      </w:pPr>
    </w:p>
    <w:p>
      <w:pPr>
        <w:jc w:val="both"/>
        <w:ind w:firstLine="8"/>
        <w:spacing w:after="0" w:line="254" w:lineRule="auto"/>
        <w:tabs>
          <w:tab w:leader="none" w:pos="2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2022 using the framework specified in Internal Control – Integrated Framework (2013) issued by the Committee of Sponsoring Organizations of the Treadway Commission (COSO). Based on such assessment, management has concluded that our internal control over financial reporting was effective as of December 31, 2022. Management has excluded Flyers Energy Group, LLC ("Flyers"), which was acquired on January 3, 2022, from its assessment of internal control over financial reporting as of December 31, 2022. The total assets and total revenues of Flyers represents approximately 11% and 6%, respectively, of the related consolidated financial statement amounts as of and for the year ended December 31, 2022.</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PricewaterhouseCoopers LLP, an independent registered public accounting firm, as stated in their report appearing 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Internal Control</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adopted a Code of Conduct that applies to all of our employees, officers (including our principal executive, financial and accounting officers) and directors. The Code of Conduct is located on our website at http://www.wfscorp.com under "Investor Relations – Corporate Governance – Code of Conduct." We intend to disclose any amendments to our Code of Conduct or waivers with respect to our Code of Conduct granted to our principal executive, financial and accounting officers on our website.</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remaining information regarding our directors, executive officers and corporate governance is incorporated herein by reference from "Proposal No. 1--Election of Directors," "Corporate Governance" and "Information Concerning Executive Officers" in our Definitive Proxy Statement for the 2023 Annual Meeting of Shareholders ("2023 Proxy") to be filed pursuant to Regulation 14A within 120 days after the close of the fiscal year ended December 31, 2022.</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on executive compensation is incorporated herein by reference from "Corporate Governance--Director Compensation and Ownership Guidelines," "Compensation Discussion and Analysis," and "Executive Compensation Tables" in our 2023 Proxy to be filed pursuant to Regulation 14A within 120 days after the close of the fiscal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Shareholder Matters</w:t>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herein by reference from "Security Ownership of Certain Beneficial Owners and Management" in our 2023 Proxy to be filed pursuant to Regulation 14A within 120 days after the close of the fiscal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on certain relationships and related transactions and director independence is incorporated herein by reference from "Corporate Governance--Review and Approval of Related Person Transactions" and "Corporate Governance--Board and Committee Governance-- Director Independence" in our 2023 Proxy to be filed pursuant to Regulation 14A within 120 days after the close of the fiscal year ended December 31, 2022.</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on principal accounting fees and services is incorporated herein by reference from "Proposal No. 3--Ratification of Independent Registered Certified Public Accounting Firm--Fees and Services of PricewaterhouseCoopers LLP" in our 2023 Proxy to be filed pursuant to Regulation 14A within 120 days after the close of the fiscal year ended December 31, 2022.</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(a)(1)</w:t>
            </w:r>
          </w:p>
        </w:tc>
        <w:tc>
          <w:tcPr>
            <w:tcW w:w="9800" w:type="dxa"/>
            <w:vAlign w:val="bottom"/>
            <w:gridSpan w:val="10"/>
          </w:tcPr>
          <w:p>
            <w:pPr>
              <w:spacing w:after="0" w:line="207" w:lineRule="exact"/>
              <w:rPr>
                <w:sz w:val="20"/>
                <w:szCs w:val="20"/>
                <w:color w:val="auto"/>
              </w:rPr>
            </w:pPr>
            <w:r>
              <w:rPr>
                <w:rFonts w:ascii="Arial" w:cs="Arial" w:eastAsia="Arial" w:hAnsi="Arial"/>
                <w:sz w:val="18"/>
                <w:szCs w:val="18"/>
                <w:color w:val="auto"/>
              </w:rPr>
              <w:t>The following Consolidated Financial Statements are filed as a part of this 2022 10</w:t>
            </w:r>
            <w:r>
              <w:rPr>
                <w:rFonts w:ascii="MS PGothic" w:cs="MS PGothic" w:eastAsia="MS PGothic" w:hAnsi="MS PGothic"/>
                <w:sz w:val="18"/>
                <w:szCs w:val="18"/>
                <w:color w:val="auto"/>
              </w:rPr>
              <w:t>‑</w:t>
            </w:r>
            <w:r>
              <w:rPr>
                <w:rFonts w:ascii="Arial" w:cs="Arial" w:eastAsia="Arial" w:hAnsi="Arial"/>
                <w:sz w:val="18"/>
                <w:szCs w:val="18"/>
                <w:color w:val="auto"/>
              </w:rPr>
              <w:t>K Report:</w:t>
            </w:r>
          </w:p>
        </w:tc>
        <w:tc>
          <w:tcPr>
            <w:tcW w:w="340" w:type="dxa"/>
            <w:vAlign w:val="bottom"/>
          </w:tcPr>
          <w:p>
            <w:pPr>
              <w:spacing w:after="0"/>
              <w:rPr>
                <w:sz w:val="18"/>
                <w:szCs w:val="18"/>
                <w:color w:val="auto"/>
              </w:rPr>
            </w:pPr>
          </w:p>
        </w:tc>
      </w:tr>
      <w:tr>
        <w:trPr>
          <w:trHeight w:val="243"/>
        </w:trPr>
        <w:tc>
          <w:tcPr>
            <w:tcW w:w="82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FF"/>
                <w:w w:val="99"/>
              </w:rPr>
              <w:t>(i)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340" w:type="dxa"/>
            <w:vAlign w:val="bottom"/>
          </w:tcPr>
          <w:p>
            <w:pPr>
              <w:jc w:val="right"/>
              <w:spacing w:after="0"/>
              <w:rPr>
                <w:sz w:val="20"/>
                <w:szCs w:val="20"/>
                <w:color w:val="auto"/>
              </w:rPr>
            </w:pPr>
            <w:r>
              <w:rPr>
                <w:rFonts w:ascii="Arial" w:cs="Arial" w:eastAsia="Arial" w:hAnsi="Arial"/>
                <w:sz w:val="18"/>
                <w:szCs w:val="18"/>
                <w:color w:val="0000FF"/>
              </w:rPr>
              <w:t>41</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FF"/>
                <w:w w:val="79"/>
              </w:rPr>
              <w:t>(ii)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Balance Sheets</w:t>
            </w:r>
          </w:p>
        </w:tc>
        <w:tc>
          <w:tcPr>
            <w:tcW w:w="340" w:type="dxa"/>
            <w:vAlign w:val="bottom"/>
          </w:tcPr>
          <w:p>
            <w:pPr>
              <w:jc w:val="right"/>
              <w:spacing w:after="0"/>
              <w:rPr>
                <w:sz w:val="20"/>
                <w:szCs w:val="20"/>
                <w:color w:val="auto"/>
              </w:rPr>
            </w:pPr>
            <w:r>
              <w:rPr>
                <w:rFonts w:ascii="Arial" w:cs="Arial" w:eastAsia="Arial" w:hAnsi="Arial"/>
                <w:sz w:val="18"/>
                <w:szCs w:val="18"/>
                <w:color w:val="0000FF"/>
              </w:rPr>
              <w:t>44</w:t>
            </w:r>
          </w:p>
        </w:tc>
      </w:tr>
      <w:tr>
        <w:trPr>
          <w:trHeight w:val="20"/>
        </w:trPr>
        <w:tc>
          <w:tcPr>
            <w:tcW w:w="8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7"/>
                <w:szCs w:val="17"/>
                <w:color w:val="0000FF"/>
                <w:w w:val="70"/>
              </w:rPr>
              <w:t>(iii)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Statements of Income and Comprehensive Income</w:t>
            </w:r>
          </w:p>
        </w:tc>
        <w:tc>
          <w:tcPr>
            <w:tcW w:w="340" w:type="dxa"/>
            <w:vAlign w:val="bottom"/>
          </w:tcPr>
          <w:p>
            <w:pPr>
              <w:jc w:val="right"/>
              <w:spacing w:after="0"/>
              <w:rPr>
                <w:sz w:val="20"/>
                <w:szCs w:val="20"/>
                <w:color w:val="auto"/>
              </w:rPr>
            </w:pPr>
            <w:r>
              <w:rPr>
                <w:rFonts w:ascii="Arial" w:cs="Arial" w:eastAsia="Arial" w:hAnsi="Arial"/>
                <w:sz w:val="18"/>
                <w:szCs w:val="18"/>
                <w:color w:val="0000FF"/>
              </w:rPr>
              <w:t>45</w:t>
            </w:r>
          </w:p>
        </w:tc>
      </w:tr>
      <w:tr>
        <w:trPr>
          <w:trHeight w:val="20"/>
        </w:trPr>
        <w:tc>
          <w:tcPr>
            <w:tcW w:w="8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6"/>
                <w:szCs w:val="16"/>
                <w:color w:val="0000FF"/>
                <w:w w:val="71"/>
              </w:rPr>
              <w:t>(iv)</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Statements of Shareholders’ Equity</w:t>
            </w:r>
          </w:p>
        </w:tc>
        <w:tc>
          <w:tcPr>
            <w:tcW w:w="340" w:type="dxa"/>
            <w:vAlign w:val="bottom"/>
          </w:tcPr>
          <w:p>
            <w:pPr>
              <w:jc w:val="right"/>
              <w:spacing w:after="0"/>
              <w:rPr>
                <w:sz w:val="20"/>
                <w:szCs w:val="20"/>
                <w:color w:val="auto"/>
              </w:rPr>
            </w:pPr>
            <w:r>
              <w:rPr>
                <w:rFonts w:ascii="Arial" w:cs="Arial" w:eastAsia="Arial" w:hAnsi="Arial"/>
                <w:sz w:val="18"/>
                <w:szCs w:val="18"/>
                <w:color w:val="0000FF"/>
              </w:rPr>
              <w:t>46</w:t>
            </w:r>
          </w:p>
        </w:tc>
      </w:tr>
      <w:tr>
        <w:trPr>
          <w:trHeight w:val="20"/>
        </w:trPr>
        <w:tc>
          <w:tcPr>
            <w:tcW w:w="8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0000FF"/>
                <w:w w:val="75"/>
              </w:rPr>
              <w:t>(v)</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Consolidated Statements of Cash Flows</w:t>
            </w:r>
          </w:p>
        </w:tc>
        <w:tc>
          <w:tcPr>
            <w:tcW w:w="340" w:type="dxa"/>
            <w:vAlign w:val="bottom"/>
          </w:tcPr>
          <w:p>
            <w:pPr>
              <w:jc w:val="right"/>
              <w:spacing w:after="0"/>
              <w:rPr>
                <w:sz w:val="20"/>
                <w:szCs w:val="20"/>
                <w:color w:val="auto"/>
              </w:rPr>
            </w:pPr>
            <w:r>
              <w:rPr>
                <w:rFonts w:ascii="Arial" w:cs="Arial" w:eastAsia="Arial" w:hAnsi="Arial"/>
                <w:sz w:val="18"/>
                <w:szCs w:val="18"/>
                <w:color w:val="0000FF"/>
              </w:rPr>
              <w:t>47</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6"/>
                <w:szCs w:val="16"/>
                <w:color w:val="0000FF"/>
                <w:w w:val="71"/>
              </w:rPr>
              <w:t>(vi)</w:t>
            </w:r>
          </w:p>
        </w:tc>
        <w:tc>
          <w:tcPr>
            <w:tcW w:w="9600" w:type="dxa"/>
            <w:vAlign w:val="bottom"/>
            <w:gridSpan w:val="8"/>
          </w:tcPr>
          <w:p>
            <w:pPr>
              <w:ind w:left="300"/>
              <w:spacing w:after="0"/>
              <w:rPr>
                <w:sz w:val="20"/>
                <w:szCs w:val="20"/>
                <w:color w:val="auto"/>
              </w:rPr>
            </w:pPr>
            <w:r>
              <w:rPr>
                <w:rFonts w:ascii="Arial" w:cs="Arial" w:eastAsia="Arial" w:hAnsi="Arial"/>
                <w:sz w:val="18"/>
                <w:szCs w:val="18"/>
                <w:color w:val="0000FF"/>
              </w:rPr>
              <w:t>Notes to the Consolidated Financial Statements</w:t>
            </w:r>
          </w:p>
        </w:tc>
        <w:tc>
          <w:tcPr>
            <w:tcW w:w="340" w:type="dxa"/>
            <w:vAlign w:val="bottom"/>
          </w:tcPr>
          <w:p>
            <w:pPr>
              <w:jc w:val="right"/>
              <w:spacing w:after="0"/>
              <w:rPr>
                <w:sz w:val="20"/>
                <w:szCs w:val="20"/>
                <w:color w:val="auto"/>
              </w:rPr>
            </w:pPr>
            <w:r>
              <w:rPr>
                <w:rFonts w:ascii="Arial" w:cs="Arial" w:eastAsia="Arial" w:hAnsi="Arial"/>
                <w:sz w:val="18"/>
                <w:szCs w:val="18"/>
                <w:color w:val="0000FF"/>
              </w:rPr>
              <w:t>49</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6"/>
        </w:trPr>
        <w:tc>
          <w:tcPr>
            <w:tcW w:w="820" w:type="dxa"/>
            <w:vAlign w:val="bottom"/>
          </w:tcPr>
          <w:p>
            <w:pPr>
              <w:spacing w:after="0"/>
              <w:rPr>
                <w:sz w:val="20"/>
                <w:szCs w:val="20"/>
                <w:color w:val="auto"/>
              </w:rPr>
            </w:pPr>
            <w:r>
              <w:rPr>
                <w:rFonts w:ascii="Arial" w:cs="Arial" w:eastAsia="Arial" w:hAnsi="Arial"/>
                <w:sz w:val="18"/>
                <w:szCs w:val="18"/>
                <w:color w:val="auto"/>
              </w:rPr>
              <w:t>(a)(2)</w:t>
            </w:r>
          </w:p>
        </w:tc>
        <w:tc>
          <w:tcPr>
            <w:tcW w:w="9800" w:type="dxa"/>
            <w:vAlign w:val="bottom"/>
            <w:gridSpan w:val="10"/>
          </w:tcPr>
          <w:p>
            <w:pPr>
              <w:spacing w:after="0"/>
              <w:rPr>
                <w:sz w:val="20"/>
                <w:szCs w:val="20"/>
                <w:color w:val="auto"/>
              </w:rPr>
            </w:pPr>
            <w:r>
              <w:rPr>
                <w:rFonts w:ascii="Arial" w:cs="Arial" w:eastAsia="Arial" w:hAnsi="Arial"/>
                <w:sz w:val="18"/>
                <w:szCs w:val="18"/>
                <w:color w:val="auto"/>
              </w:rPr>
              <w:t>Consolidated Financial Statement schedules have been omitted either because the required information is set forth in the</w:t>
            </w:r>
          </w:p>
        </w:tc>
        <w:tc>
          <w:tcPr>
            <w:tcW w:w="340" w:type="dxa"/>
            <w:vAlign w:val="bottom"/>
          </w:tcPr>
          <w:p>
            <w:pPr>
              <w:spacing w:after="0"/>
              <w:rPr>
                <w:sz w:val="24"/>
                <w:szCs w:val="24"/>
                <w:color w:val="auto"/>
              </w:rPr>
            </w:pPr>
          </w:p>
        </w:tc>
      </w:tr>
      <w:tr>
        <w:trPr>
          <w:trHeight w:val="217"/>
        </w:trPr>
        <w:tc>
          <w:tcPr>
            <w:tcW w:w="820" w:type="dxa"/>
            <w:vAlign w:val="bottom"/>
          </w:tcPr>
          <w:p>
            <w:pPr>
              <w:spacing w:after="0"/>
              <w:rPr>
                <w:sz w:val="18"/>
                <w:szCs w:val="18"/>
                <w:color w:val="auto"/>
              </w:rPr>
            </w:pPr>
          </w:p>
        </w:tc>
        <w:tc>
          <w:tcPr>
            <w:tcW w:w="9800" w:type="dxa"/>
            <w:vAlign w:val="bottom"/>
            <w:gridSpan w:val="10"/>
          </w:tcPr>
          <w:p>
            <w:pPr>
              <w:spacing w:after="0"/>
              <w:rPr>
                <w:sz w:val="20"/>
                <w:szCs w:val="20"/>
                <w:color w:val="auto"/>
              </w:rPr>
            </w:pPr>
            <w:r>
              <w:rPr>
                <w:rFonts w:ascii="Arial" w:cs="Arial" w:eastAsia="Arial" w:hAnsi="Arial"/>
                <w:sz w:val="18"/>
                <w:szCs w:val="18"/>
                <w:color w:val="auto"/>
              </w:rPr>
              <w:t>Consolidated Financial Statements or Notes thereto, or the information called for is not required.</w:t>
            </w:r>
          </w:p>
        </w:tc>
        <w:tc>
          <w:tcPr>
            <w:tcW w:w="340" w:type="dxa"/>
            <w:vAlign w:val="bottom"/>
          </w:tcPr>
          <w:p>
            <w:pPr>
              <w:spacing w:after="0"/>
              <w:rPr>
                <w:sz w:val="18"/>
                <w:szCs w:val="18"/>
                <w:color w:val="auto"/>
              </w:rPr>
            </w:pPr>
          </w:p>
        </w:tc>
      </w:tr>
    </w:tbl>
    <w:p>
      <w:pPr>
        <w:spacing w:after="0" w:line="67" w:lineRule="exact"/>
        <w:rPr>
          <w:sz w:val="20"/>
          <w:szCs w:val="20"/>
          <w:color w:val="auto"/>
        </w:rPr>
      </w:pPr>
    </w:p>
    <w:p>
      <w:pPr>
        <w:ind w:left="840" w:hanging="814"/>
        <w:spacing w:after="0" w:line="207" w:lineRule="exact"/>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 2022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5"/>
        </w:trPr>
        <w:tc>
          <w:tcPr>
            <w:tcW w:w="340" w:type="dxa"/>
            <w:vAlign w:val="bottom"/>
            <w:tcBorders>
              <w:top w:val="single" w:sz="8" w:color="auto"/>
            </w:tcBorders>
            <w:gridSpan w:val="3"/>
          </w:tcPr>
          <w:p>
            <w:pPr>
              <w:ind w:left="20"/>
              <w:spacing w:after="0" w:line="175" w:lineRule="exact"/>
              <w:rPr>
                <w:rFonts w:ascii="Arial" w:cs="Arial" w:eastAsia="Arial" w:hAnsi="Arial"/>
                <w:sz w:val="16"/>
                <w:szCs w:val="16"/>
                <w:color w:val="0000FF"/>
              </w:rPr>
            </w:pPr>
            <w:hyperlink r:id="rId57">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6"/>
                <w:szCs w:val="16"/>
                <w:color w:val="auto"/>
              </w:rPr>
              <w:t>Restated Articles of Incorporation (incorporated by reference herein from Exhibit 99.2 to our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on</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February 3, 2005).</w:t>
            </w:r>
          </w:p>
        </w:tc>
        <w:tc>
          <w:tcPr>
            <w:tcW w:w="0" w:type="dxa"/>
            <w:vAlign w:val="bottom"/>
          </w:tcPr>
          <w:p>
            <w:pPr>
              <w:spacing w:after="0"/>
              <w:rPr>
                <w:sz w:val="1"/>
                <w:szCs w:val="1"/>
                <w:color w:val="auto"/>
              </w:rPr>
            </w:pPr>
          </w:p>
        </w:tc>
      </w:tr>
      <w:tr>
        <w:trPr>
          <w:trHeight w:val="181"/>
        </w:trPr>
        <w:tc>
          <w:tcPr>
            <w:tcW w:w="340" w:type="dxa"/>
            <w:vAlign w:val="bottom"/>
            <w:gridSpan w:val="3"/>
          </w:tcPr>
          <w:p>
            <w:pPr>
              <w:ind w:left="20"/>
              <w:spacing w:after="0" w:line="181" w:lineRule="exact"/>
              <w:rPr>
                <w:rFonts w:ascii="Arial" w:cs="Arial" w:eastAsia="Arial" w:hAnsi="Arial"/>
                <w:sz w:val="16"/>
                <w:szCs w:val="16"/>
                <w:color w:val="0000FF"/>
              </w:rPr>
            </w:pPr>
            <w:hyperlink r:id="rId58">
              <w:r>
                <w:rPr>
                  <w:rFonts w:ascii="Arial" w:cs="Arial" w:eastAsia="Arial" w:hAnsi="Arial"/>
                  <w:sz w:val="16"/>
                  <w:szCs w:val="16"/>
                  <w:color w:val="0000FF"/>
                </w:rPr>
                <w:t>3.</w:t>
              </w:r>
              <w:r>
                <w:rPr>
                  <w:rFonts w:ascii="Arial" w:cs="Arial" w:eastAsia="Arial" w:hAnsi="Arial"/>
                  <w:sz w:val="16"/>
                  <w:szCs w:val="16"/>
                  <w:u w:val="single" w:color="auto"/>
                  <w:color w:val="0000FF"/>
                </w:rPr>
                <w:t>2</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Articles of Amendment to Restated Articles of Incorporation (incorporated by reference herein from Exhibit 3.1 to our Current Report on</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Form 8</w:t>
            </w:r>
            <w:r>
              <w:rPr>
                <w:rFonts w:ascii="MS PGothic" w:cs="MS PGothic" w:eastAsia="MS PGothic" w:hAnsi="MS PGothic"/>
                <w:sz w:val="16"/>
                <w:szCs w:val="16"/>
                <w:color w:val="auto"/>
              </w:rPr>
              <w:t>‑</w:t>
            </w:r>
            <w:r>
              <w:rPr>
                <w:rFonts w:ascii="Arial" w:cs="Arial" w:eastAsia="Arial" w:hAnsi="Arial"/>
                <w:sz w:val="16"/>
                <w:szCs w:val="16"/>
                <w:color w:val="auto"/>
              </w:rPr>
              <w:t>K filed on November 23, 2009).</w:t>
            </w:r>
          </w:p>
        </w:tc>
        <w:tc>
          <w:tcPr>
            <w:tcW w:w="0" w:type="dxa"/>
            <w:vAlign w:val="bottom"/>
          </w:tcPr>
          <w:p>
            <w:pPr>
              <w:spacing w:after="0"/>
              <w:rPr>
                <w:sz w:val="1"/>
                <w:szCs w:val="1"/>
                <w:color w:val="auto"/>
              </w:rPr>
            </w:pPr>
          </w:p>
        </w:tc>
      </w:tr>
      <w:tr>
        <w:trPr>
          <w:trHeight w:val="182"/>
        </w:trPr>
        <w:tc>
          <w:tcPr>
            <w:tcW w:w="340" w:type="dxa"/>
            <w:vAlign w:val="bottom"/>
            <w:gridSpan w:val="3"/>
          </w:tcPr>
          <w:p>
            <w:pPr>
              <w:ind w:left="20"/>
              <w:spacing w:after="0" w:line="181" w:lineRule="exact"/>
              <w:rPr>
                <w:rFonts w:ascii="Arial" w:cs="Arial" w:eastAsia="Arial" w:hAnsi="Arial"/>
                <w:sz w:val="16"/>
                <w:szCs w:val="16"/>
                <w:color w:val="0000FF"/>
              </w:rPr>
            </w:pPr>
            <w:hyperlink r:id="rId59">
              <w:r>
                <w:rPr>
                  <w:rFonts w:ascii="Arial" w:cs="Arial" w:eastAsia="Arial" w:hAnsi="Arial"/>
                  <w:sz w:val="16"/>
                  <w:szCs w:val="16"/>
                  <w:color w:val="0000FF"/>
                </w:rPr>
                <w:t>3.</w:t>
              </w:r>
              <w:r>
                <w:rPr>
                  <w:rFonts w:ascii="Arial" w:cs="Arial" w:eastAsia="Arial" w:hAnsi="Arial"/>
                  <w:sz w:val="16"/>
                  <w:szCs w:val="16"/>
                  <w:u w:val="single" w:color="auto"/>
                  <w:color w:val="0000FF"/>
                </w:rPr>
                <w:t>3</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Laws, amended and restated as of August 26, 2011 (incorporated by reference herein from Exhibit 3.1 to our Current Report on</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Form 8</w:t>
            </w:r>
            <w:r>
              <w:rPr>
                <w:rFonts w:ascii="MS PGothic" w:cs="MS PGothic" w:eastAsia="MS PGothic" w:hAnsi="MS PGothic"/>
                <w:sz w:val="16"/>
                <w:szCs w:val="16"/>
                <w:color w:val="auto"/>
              </w:rPr>
              <w:t>‑</w:t>
            </w:r>
            <w:r>
              <w:rPr>
                <w:rFonts w:ascii="Arial" w:cs="Arial" w:eastAsia="Arial" w:hAnsi="Arial"/>
                <w:sz w:val="16"/>
                <w:szCs w:val="16"/>
                <w:color w:val="auto"/>
              </w:rPr>
              <w:t>K filed on August 29, 2011).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 w:type="dxa"/>
            <w:vAlign w:val="bottom"/>
            <w:tcBorders>
              <w:bottom w:val="single" w:sz="8" w:color="0000FF"/>
            </w:tcBorders>
          </w:tcPr>
          <w:p>
            <w:pPr>
              <w:spacing w:after="0" w:line="181" w:lineRule="exact"/>
              <w:rPr>
                <w:rFonts w:ascii="Arial" w:cs="Arial" w:eastAsia="Arial" w:hAnsi="Arial"/>
                <w:sz w:val="16"/>
                <w:szCs w:val="16"/>
                <w:color w:val="0000FF"/>
                <w:w w:val="98"/>
              </w:rPr>
            </w:pPr>
            <w:hyperlink r:id="rId60">
              <w:r>
                <w:rPr>
                  <w:rFonts w:ascii="Arial" w:cs="Arial" w:eastAsia="Arial" w:hAnsi="Arial"/>
                  <w:sz w:val="16"/>
                  <w:szCs w:val="16"/>
                  <w:color w:val="0000FF"/>
                  <w:w w:val="98"/>
                </w:rPr>
                <w:t>4.</w:t>
              </w:r>
              <w:r>
                <w:rPr>
                  <w:rFonts w:ascii="Arial" w:cs="Arial" w:eastAsia="Arial" w:hAnsi="Arial"/>
                  <w:sz w:val="16"/>
                  <w:szCs w:val="16"/>
                  <w:u w:val="single" w:color="auto"/>
                  <w:color w:val="0000FF"/>
                  <w:w w:val="98"/>
                </w:rPr>
                <w:t>1</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Description of Capital Stock (incorporated by reference herein from Exhibit 4.1 to our 2019 10-K).</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61">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2016 Omnibus Plan (incorporated by reference herein from Exhibit 10.1 to our Current Report on Form 8-K filed on June 2, 2016).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62">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2</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2020 Omnibus Plan (incorporated by reference herein from Exhibit 10.1 to our Current Report on Form 8-K filed on May 27, 2020).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r:id="rId63">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3</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2021 Omnibus Plan (incorporated by reference herein from Exhibit 10.1 to our Current Report on Form 8-K filed on May 25, 2021). *</w:t>
            </w:r>
          </w:p>
        </w:tc>
        <w:tc>
          <w:tcPr>
            <w:tcW w:w="0" w:type="dxa"/>
            <w:vAlign w:val="bottom"/>
          </w:tcPr>
          <w:p>
            <w:pPr>
              <w:spacing w:after="0"/>
              <w:rPr>
                <w:sz w:val="1"/>
                <w:szCs w:val="1"/>
                <w:color w:val="auto"/>
              </w:rPr>
            </w:pPr>
          </w:p>
        </w:tc>
      </w:tr>
      <w:tr>
        <w:trPr>
          <w:trHeight w:val="196"/>
        </w:trPr>
        <w:tc>
          <w:tcPr>
            <w:tcW w:w="340" w:type="dxa"/>
            <w:vAlign w:val="bottom"/>
            <w:gridSpan w:val="3"/>
          </w:tcPr>
          <w:p>
            <w:pPr>
              <w:ind w:left="20"/>
              <w:spacing w:after="0"/>
              <w:rPr>
                <w:rFonts w:ascii="Arial" w:cs="Arial" w:eastAsia="Arial" w:hAnsi="Arial"/>
                <w:sz w:val="16"/>
                <w:szCs w:val="16"/>
                <w:color w:val="0000FF"/>
                <w:w w:val="96"/>
              </w:rPr>
            </w:pPr>
            <w:hyperlink r:id="rId64">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4</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Form of Named Executive Officer Performance-based Restricted Stock Unit Agreement under the 2021 Omnibus Plan incorporated by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reference herein from Exhibit 10.1 to our Current Report on Form 8-K filed on November 14, 2022 (SEC Accession No. 0001157523-22-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001611). *</w:t>
            </w:r>
          </w:p>
        </w:tc>
        <w:tc>
          <w:tcPr>
            <w:tcW w:w="0" w:type="dxa"/>
            <w:vAlign w:val="bottom"/>
          </w:tcPr>
          <w:p>
            <w:pPr>
              <w:spacing w:after="0"/>
              <w:rPr>
                <w:sz w:val="1"/>
                <w:szCs w:val="1"/>
                <w:color w:val="auto"/>
              </w:rPr>
            </w:pPr>
          </w:p>
        </w:tc>
      </w:tr>
      <w:tr>
        <w:trPr>
          <w:trHeight w:val="182"/>
        </w:trPr>
        <w:tc>
          <w:tcPr>
            <w:tcW w:w="340" w:type="dxa"/>
            <w:vAlign w:val="bottom"/>
            <w:gridSpan w:val="3"/>
          </w:tcPr>
          <w:p>
            <w:pPr>
              <w:ind w:left="20"/>
              <w:spacing w:after="0" w:line="181" w:lineRule="exact"/>
              <w:rPr>
                <w:rFonts w:ascii="Arial" w:cs="Arial" w:eastAsia="Arial" w:hAnsi="Arial"/>
                <w:sz w:val="16"/>
                <w:szCs w:val="16"/>
                <w:color w:val="0000FF"/>
                <w:w w:val="96"/>
              </w:rPr>
            </w:pPr>
            <w:hyperlink r:id="rId65">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5</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Executive Severance Agreement between World Fuel Services Corporation and Ira M. Birns, dated April 16, 2007 (incorporated by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reference herein from Exhibit 10.2 to our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on April 16, 2007). *</w:t>
            </w:r>
          </w:p>
        </w:tc>
        <w:tc>
          <w:tcPr>
            <w:tcW w:w="0" w:type="dxa"/>
            <w:vAlign w:val="bottom"/>
          </w:tcPr>
          <w:p>
            <w:pPr>
              <w:spacing w:after="0"/>
              <w:rPr>
                <w:sz w:val="1"/>
                <w:szCs w:val="1"/>
                <w:color w:val="auto"/>
              </w:rPr>
            </w:pPr>
          </w:p>
        </w:tc>
      </w:tr>
      <w:tr>
        <w:trPr>
          <w:trHeight w:val="182"/>
        </w:trPr>
        <w:tc>
          <w:tcPr>
            <w:tcW w:w="340" w:type="dxa"/>
            <w:vAlign w:val="bottom"/>
            <w:gridSpan w:val="3"/>
          </w:tcPr>
          <w:p>
            <w:pPr>
              <w:ind w:left="20"/>
              <w:spacing w:after="0" w:line="181" w:lineRule="exact"/>
              <w:rPr>
                <w:rFonts w:ascii="Arial" w:cs="Arial" w:eastAsia="Arial" w:hAnsi="Arial"/>
                <w:sz w:val="16"/>
                <w:szCs w:val="16"/>
                <w:color w:val="0000FF"/>
                <w:w w:val="96"/>
              </w:rPr>
            </w:pPr>
            <w:hyperlink r:id="rId66">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6</w:t>
              </w:r>
            </w:hyperlink>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World Fuel Services Corporation Executive Severance Policy, effective as of December 31, 2016 (incorporated by reference herein from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Exhibit 10.1 to our Quarterly Report on Form 10-Q for the quarter ended June 30, 2017 filed on July 28, 2017 ("2017 10-Q")).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bottom w:val="single" w:sz="8" w:color="0000FF"/>
            </w:tcBorders>
            <w:gridSpan w:val="2"/>
          </w:tcPr>
          <w:p>
            <w:pPr>
              <w:spacing w:after="0" w:line="181" w:lineRule="exact"/>
              <w:rPr>
                <w:sz w:val="20"/>
                <w:szCs w:val="20"/>
                <w:color w:val="auto"/>
              </w:rPr>
            </w:pPr>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Form of Executive Officer Performance-Based Restricted Stock Unit Award Agreement*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8</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Form of Executive Officer Service-Based Restricted Stock Unit Award Agreement*</w:t>
            </w:r>
          </w:p>
        </w:tc>
        <w:tc>
          <w:tcPr>
            <w:tcW w:w="0" w:type="dxa"/>
            <w:vAlign w:val="bottom"/>
          </w:tcPr>
          <w:p>
            <w:pPr>
              <w:spacing w:after="0"/>
              <w:rPr>
                <w:sz w:val="1"/>
                <w:szCs w:val="1"/>
                <w:color w:val="auto"/>
              </w:rPr>
            </w:pPr>
          </w:p>
        </w:tc>
      </w:tr>
      <w:tr>
        <w:trPr>
          <w:trHeight w:val="196"/>
        </w:trPr>
        <w:tc>
          <w:tcPr>
            <w:tcW w:w="340" w:type="dxa"/>
            <w:vAlign w:val="bottom"/>
            <w:gridSpan w:val="3"/>
          </w:tcPr>
          <w:p>
            <w:pPr>
              <w:ind w:left="20"/>
              <w:spacing w:after="0"/>
              <w:rPr>
                <w:rFonts w:ascii="Arial" w:cs="Arial" w:eastAsia="Arial" w:hAnsi="Arial"/>
                <w:sz w:val="16"/>
                <w:szCs w:val="16"/>
                <w:color w:val="0000FF"/>
                <w:w w:val="96"/>
              </w:rPr>
            </w:pPr>
            <w:hyperlink r:id="rId67">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9</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Transition and Separation Agreement, dated November 8, 2022, between World Fuel Services Corporation and Jeffrey P. Smith</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incorporated by reference herein from Exhibit 10.2 to our Current Report on Form 8-K filed on November 14, 2022 (SEC Accession No.</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0001157523-22-001611). *</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20" w:type="dxa"/>
            <w:vAlign w:val="bottom"/>
            <w:tcBorders>
              <w:bottom w:val="single" w:sz="8" w:color="0000FF"/>
            </w:tcBorders>
            <w:gridSpan w:val="3"/>
          </w:tcPr>
          <w:p>
            <w:pPr>
              <w:spacing w:after="0" w:line="161" w:lineRule="exact"/>
              <w:rPr>
                <w:rFonts w:ascii="Arial" w:cs="Arial" w:eastAsia="Arial" w:hAnsi="Arial"/>
                <w:sz w:val="16"/>
                <w:szCs w:val="16"/>
                <w:color w:val="0000FF"/>
                <w:w w:val="99"/>
              </w:rPr>
            </w:pPr>
            <w:hyperlink r:id="rId68">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10</w:t>
              </w:r>
            </w:hyperlink>
          </w:p>
        </w:tc>
        <w:tc>
          <w:tcPr>
            <w:tcW w:w="6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vMerge w:val="restart"/>
          </w:tcPr>
          <w:p>
            <w:pPr>
              <w:ind w:left="20"/>
              <w:spacing w:after="0"/>
              <w:rPr>
                <w:sz w:val="20"/>
                <w:szCs w:val="20"/>
                <w:color w:val="auto"/>
              </w:rPr>
            </w:pPr>
            <w:r>
              <w:rPr>
                <w:rFonts w:ascii="Arial" w:cs="Arial" w:eastAsia="Arial" w:hAnsi="Arial"/>
                <w:sz w:val="16"/>
                <w:szCs w:val="16"/>
                <w:color w:val="auto"/>
              </w:rPr>
              <w:t>Form of Non-Employee Director 2017 Restricted Stock Unit Grant Agreement under the 2016 Omnibus Plan (incorporated by reference</w:t>
            </w:r>
          </w:p>
        </w:tc>
        <w:tc>
          <w:tcPr>
            <w:tcW w:w="0" w:type="dxa"/>
            <w:vAlign w:val="bottom"/>
          </w:tcPr>
          <w:p>
            <w:pPr>
              <w:spacing w:after="0"/>
              <w:rPr>
                <w:sz w:val="1"/>
                <w:szCs w:val="1"/>
                <w:color w:val="auto"/>
              </w:rPr>
            </w:pPr>
          </w:p>
        </w:tc>
      </w:tr>
      <w:tr>
        <w:trPr>
          <w:trHeight w:val="22"/>
        </w:trPr>
        <w:tc>
          <w:tcPr>
            <w:tcW w:w="20" w:type="dxa"/>
            <w:vAlign w:val="bottom"/>
            <w:vMerge w:val="continu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herein from Exhibit 10.24 to our Annual Report on Form 10-K for the year ended December 31, 2015 filed on February 16, 2016). *</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0" w:type="dxa"/>
            <w:vAlign w:val="bottom"/>
            <w:tcBorders>
              <w:bottom w:val="single" w:sz="8" w:color="0000FF"/>
            </w:tcBorders>
            <w:gridSpan w:val="3"/>
          </w:tcPr>
          <w:p>
            <w:pPr>
              <w:spacing w:after="0"/>
              <w:rPr>
                <w:rFonts w:ascii="Arial" w:cs="Arial" w:eastAsia="Arial" w:hAnsi="Arial"/>
                <w:sz w:val="16"/>
                <w:szCs w:val="16"/>
                <w:color w:val="0000FF"/>
                <w:w w:val="99"/>
              </w:rPr>
            </w:pPr>
            <w:hyperlink r:id="rId69">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11</w:t>
              </w:r>
            </w:hyperlink>
          </w:p>
        </w:tc>
        <w:tc>
          <w:tcPr>
            <w:tcW w:w="6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vMerge w:val="restart"/>
          </w:tcPr>
          <w:p>
            <w:pPr>
              <w:ind w:left="20"/>
              <w:spacing w:after="0"/>
              <w:rPr>
                <w:sz w:val="20"/>
                <w:szCs w:val="20"/>
                <w:color w:val="auto"/>
              </w:rPr>
            </w:pPr>
            <w:r>
              <w:rPr>
                <w:rFonts w:ascii="Arial" w:cs="Arial" w:eastAsia="Arial" w:hAnsi="Arial"/>
                <w:sz w:val="16"/>
                <w:szCs w:val="16"/>
                <w:color w:val="auto"/>
              </w:rPr>
              <w:t>Form of Non-Employee Director Restricted Stock Unit Grant Agreement under the 2016 Omnibus Plan (incorporated by reference herein</w:t>
            </w:r>
          </w:p>
        </w:tc>
        <w:tc>
          <w:tcPr>
            <w:tcW w:w="0" w:type="dxa"/>
            <w:vAlign w:val="bottom"/>
          </w:tcPr>
          <w:p>
            <w:pPr>
              <w:spacing w:after="0"/>
              <w:rPr>
                <w:sz w:val="1"/>
                <w:szCs w:val="1"/>
                <w:color w:val="auto"/>
              </w:rPr>
            </w:pPr>
          </w:p>
        </w:tc>
      </w:tr>
      <w:tr>
        <w:trPr>
          <w:trHeight w:val="22"/>
        </w:trPr>
        <w:tc>
          <w:tcPr>
            <w:tcW w:w="20" w:type="dxa"/>
            <w:vAlign w:val="bottom"/>
            <w:vMerge w:val="continu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from Exhibit 10.10 to our 2019 10-K). *</w:t>
            </w:r>
          </w:p>
        </w:tc>
        <w:tc>
          <w:tcPr>
            <w:tcW w:w="0" w:type="dxa"/>
            <w:vAlign w:val="bottom"/>
          </w:tcPr>
          <w:p>
            <w:pPr>
              <w:spacing w:after="0"/>
              <w:rPr>
                <w:sz w:val="1"/>
                <w:szCs w:val="1"/>
                <w:color w:val="auto"/>
              </w:rPr>
            </w:pPr>
          </w:p>
        </w:tc>
      </w:tr>
      <w:tr>
        <w:trPr>
          <w:trHeight w:val="209"/>
        </w:trPr>
        <w:tc>
          <w:tcPr>
            <w:tcW w:w="1060" w:type="dxa"/>
            <w:vAlign w:val="bottom"/>
            <w:gridSpan w:val="5"/>
          </w:tcPr>
          <w:p>
            <w:pPr>
              <w:ind w:left="20"/>
              <w:spacing w:after="0"/>
              <w:rPr>
                <w:rFonts w:ascii="Arial" w:cs="Arial" w:eastAsia="Arial" w:hAnsi="Arial"/>
                <w:sz w:val="16"/>
                <w:szCs w:val="16"/>
                <w:color w:val="0000FF"/>
              </w:rPr>
            </w:pPr>
            <w:hyperlink r:id="rId70">
              <w:r>
                <w:rPr>
                  <w:rFonts w:ascii="Arial" w:cs="Arial" w:eastAsia="Arial" w:hAnsi="Arial"/>
                  <w:sz w:val="16"/>
                  <w:szCs w:val="16"/>
                  <w:color w:val="0000FF"/>
                </w:rPr>
                <w:t>10.</w:t>
              </w:r>
              <w:r>
                <w:rPr>
                  <w:rFonts w:ascii="Arial" w:cs="Arial" w:eastAsia="Arial" w:hAnsi="Arial"/>
                  <w:sz w:val="16"/>
                  <w:szCs w:val="16"/>
                  <w:u w:val="single" w:color="auto"/>
                  <w:color w:val="0000FF"/>
                </w:rPr>
                <w:t>12</w:t>
              </w:r>
            </w:hyperlink>
          </w:p>
        </w:tc>
        <w:tc>
          <w:tcPr>
            <w:tcW w:w="100" w:type="dxa"/>
            <w:vAlign w:val="bottom"/>
          </w:tcPr>
          <w:p>
            <w:pPr>
              <w:spacing w:after="0"/>
              <w:rPr>
                <w:sz w:val="18"/>
                <w:szCs w:val="18"/>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Form of Named Executive Officer Restricted Stock Unit Grant Agreement under the 2016 Omnibus Plan (incorporated by reference herein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from Exhibit 10.10 to our Annual Report on Form 10-K for the year ended December 31, 2017 filed on February 28, 2018 ("2017 10-K"). *</w:t>
            </w:r>
          </w:p>
        </w:tc>
        <w:tc>
          <w:tcPr>
            <w:tcW w:w="0" w:type="dxa"/>
            <w:vAlign w:val="bottom"/>
          </w:tcPr>
          <w:p>
            <w:pPr>
              <w:spacing w:after="0"/>
              <w:rPr>
                <w:sz w:val="1"/>
                <w:szCs w:val="1"/>
                <w:color w:val="auto"/>
              </w:rPr>
            </w:pPr>
          </w:p>
        </w:tc>
      </w:tr>
      <w:tr>
        <w:trPr>
          <w:trHeight w:val="182"/>
        </w:trPr>
        <w:tc>
          <w:tcPr>
            <w:tcW w:w="1060" w:type="dxa"/>
            <w:vAlign w:val="bottom"/>
            <w:gridSpan w:val="5"/>
          </w:tcPr>
          <w:p>
            <w:pPr>
              <w:ind w:left="20"/>
              <w:spacing w:after="0" w:line="181" w:lineRule="exact"/>
              <w:rPr>
                <w:rFonts w:ascii="Arial" w:cs="Arial" w:eastAsia="Arial" w:hAnsi="Arial"/>
                <w:sz w:val="16"/>
                <w:szCs w:val="16"/>
                <w:color w:val="0000FF"/>
              </w:rPr>
            </w:pPr>
            <w:hyperlink r:id="rId71">
              <w:r>
                <w:rPr>
                  <w:rFonts w:ascii="Arial" w:cs="Arial" w:eastAsia="Arial" w:hAnsi="Arial"/>
                  <w:sz w:val="16"/>
                  <w:szCs w:val="16"/>
                  <w:color w:val="0000FF"/>
                </w:rPr>
                <w:t>10.</w:t>
              </w:r>
              <w:r>
                <w:rPr>
                  <w:rFonts w:ascii="Arial" w:cs="Arial" w:eastAsia="Arial" w:hAnsi="Arial"/>
                  <w:sz w:val="16"/>
                  <w:szCs w:val="16"/>
                  <w:u w:val="single" w:color="auto"/>
                  <w:color w:val="0000FF"/>
                </w:rPr>
                <w:t>13</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Form of Michael J. Kasbar Restricted Stock Unit Grant Agreement under the 2006 and 2016 Omnibus Plan (incorporated by reference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herein from Exhibit 10.14 to our 2017 10-K).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1060" w:type="dxa"/>
            <w:vAlign w:val="bottom"/>
            <w:tcBorders>
              <w:top w:val="single" w:sz="8" w:color="auto"/>
            </w:tcBorders>
            <w:gridSpan w:val="3"/>
          </w:tcPr>
          <w:p>
            <w:pPr>
              <w:ind w:left="20"/>
              <w:spacing w:after="0" w:line="175" w:lineRule="exact"/>
              <w:rPr>
                <w:rFonts w:ascii="Arial" w:cs="Arial" w:eastAsia="Arial" w:hAnsi="Arial"/>
                <w:sz w:val="16"/>
                <w:szCs w:val="16"/>
                <w:color w:val="0000FF"/>
              </w:rPr>
            </w:pPr>
            <w:hyperlink r:id="rId73">
              <w:r>
                <w:rPr>
                  <w:rFonts w:ascii="Arial" w:cs="Arial" w:eastAsia="Arial" w:hAnsi="Arial"/>
                  <w:sz w:val="16"/>
                  <w:szCs w:val="16"/>
                  <w:color w:val="0000FF"/>
                </w:rPr>
                <w:t>10.</w:t>
              </w:r>
              <w:r>
                <w:rPr>
                  <w:rFonts w:ascii="Arial" w:cs="Arial" w:eastAsia="Arial" w:hAnsi="Arial"/>
                  <w:sz w:val="16"/>
                  <w:szCs w:val="16"/>
                  <w:u w:val="single" w:color="auto"/>
                  <w:color w:val="0000FF"/>
                </w:rPr>
                <w:t>14</w:t>
              </w:r>
            </w:hyperlink>
          </w:p>
        </w:tc>
        <w:tc>
          <w:tcPr>
            <w:tcW w:w="100" w:type="dxa"/>
            <w:vAlign w:val="bottom"/>
          </w:tcPr>
          <w:p>
            <w:pPr>
              <w:spacing w:after="0"/>
              <w:rPr>
                <w:sz w:val="15"/>
                <w:szCs w:val="15"/>
                <w:color w:val="auto"/>
              </w:rPr>
            </w:pPr>
          </w:p>
        </w:tc>
        <w:tc>
          <w:tcPr>
            <w:tcW w:w="1008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6"/>
                <w:szCs w:val="16"/>
                <w:color w:val="auto"/>
              </w:rPr>
              <w:t>Form of Michael J. Kasbar Stock-Settled Stock Appreciation Right Agreement under the 2006 Omnibus Plan (incorporated by reference</w:t>
            </w:r>
          </w:p>
        </w:tc>
      </w:tr>
      <w:tr>
        <w:trPr>
          <w:trHeight w:val="177"/>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herein from Exhibit 10.1 to our Quarterly Report on Form 10-Q for the quarter ended June 30, 2014 filed on July 30, 2014 ("2014 10-Q"). *</w:t>
            </w:r>
          </w:p>
        </w:tc>
      </w:tr>
      <w:tr>
        <w:trPr>
          <w:trHeight w:val="181"/>
        </w:trPr>
        <w:tc>
          <w:tcPr>
            <w:tcW w:w="1060" w:type="dxa"/>
            <w:vAlign w:val="bottom"/>
            <w:gridSpan w:val="3"/>
          </w:tcPr>
          <w:p>
            <w:pPr>
              <w:ind w:left="20"/>
              <w:spacing w:after="0" w:line="181" w:lineRule="exact"/>
              <w:rPr>
                <w:rFonts w:ascii="Arial" w:cs="Arial" w:eastAsia="Arial" w:hAnsi="Arial"/>
                <w:sz w:val="16"/>
                <w:szCs w:val="16"/>
                <w:color w:val="0000FF"/>
              </w:rPr>
            </w:pPr>
            <w:hyperlink r:id="rId74">
              <w:r>
                <w:rPr>
                  <w:rFonts w:ascii="Arial" w:cs="Arial" w:eastAsia="Arial" w:hAnsi="Arial"/>
                  <w:sz w:val="16"/>
                  <w:szCs w:val="16"/>
                  <w:color w:val="0000FF"/>
                </w:rPr>
                <w:t>10.</w:t>
              </w:r>
              <w:r>
                <w:rPr>
                  <w:rFonts w:ascii="Arial" w:cs="Arial" w:eastAsia="Arial" w:hAnsi="Arial"/>
                  <w:sz w:val="16"/>
                  <w:szCs w:val="16"/>
                  <w:u w:val="single" w:color="auto"/>
                  <w:color w:val="0000FF"/>
                </w:rPr>
                <w:t>15</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Form of Michael J. Kasbar Stock-Settled Stock Appreciation Right Agreement (3-year Cliff Vesting) under the 2006 and 2016 Omnibus Plan</w:t>
            </w:r>
          </w:p>
        </w:tc>
      </w:tr>
      <w:tr>
        <w:trPr>
          <w:trHeight w:val="144"/>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(incorporated by reference herein from Exhibit 10.15 to our Annual Report on Form 10-K for the year ended December 31, 2016 filed on</w:t>
            </w: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February 21, 2017 ("2016 10-K"). *</w:t>
            </w:r>
          </w:p>
        </w:tc>
      </w:tr>
      <w:tr>
        <w:trPr>
          <w:trHeight w:val="181"/>
        </w:trPr>
        <w:tc>
          <w:tcPr>
            <w:tcW w:w="1060" w:type="dxa"/>
            <w:vAlign w:val="bottom"/>
            <w:gridSpan w:val="3"/>
          </w:tcPr>
          <w:p>
            <w:pPr>
              <w:ind w:left="20"/>
              <w:spacing w:after="0" w:line="181" w:lineRule="exact"/>
              <w:rPr>
                <w:rFonts w:ascii="Arial" w:cs="Arial" w:eastAsia="Arial" w:hAnsi="Arial"/>
                <w:sz w:val="16"/>
                <w:szCs w:val="16"/>
                <w:color w:val="0000FF"/>
              </w:rPr>
            </w:pPr>
            <w:hyperlink r:id="rId75">
              <w:r>
                <w:rPr>
                  <w:rFonts w:ascii="Arial" w:cs="Arial" w:eastAsia="Arial" w:hAnsi="Arial"/>
                  <w:sz w:val="16"/>
                  <w:szCs w:val="16"/>
                  <w:color w:val="0000FF"/>
                </w:rPr>
                <w:t>10.</w:t>
              </w:r>
              <w:r>
                <w:rPr>
                  <w:rFonts w:ascii="Arial" w:cs="Arial" w:eastAsia="Arial" w:hAnsi="Arial"/>
                  <w:sz w:val="16"/>
                  <w:szCs w:val="16"/>
                  <w:u w:val="single" w:color="auto"/>
                  <w:color w:val="0000FF"/>
                </w:rPr>
                <w:t>16</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Form of Ira M. Birns Restricted Stock Unit Grant Agreement under the 2016 Omnibus Plan (incorporated by reference herein from Exhibit</w:t>
            </w:r>
          </w:p>
        </w:tc>
      </w:tr>
      <w:tr>
        <w:trPr>
          <w:trHeight w:val="177"/>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10.17 to our 2017 10-K). *</w:t>
            </w:r>
          </w:p>
        </w:tc>
      </w:tr>
      <w:tr>
        <w:trPr>
          <w:trHeight w:val="182"/>
        </w:trPr>
        <w:tc>
          <w:tcPr>
            <w:tcW w:w="1060" w:type="dxa"/>
            <w:vAlign w:val="bottom"/>
            <w:gridSpan w:val="3"/>
          </w:tcPr>
          <w:p>
            <w:pPr>
              <w:ind w:left="20"/>
              <w:spacing w:after="0" w:line="181" w:lineRule="exact"/>
              <w:rPr>
                <w:rFonts w:ascii="Arial" w:cs="Arial" w:eastAsia="Arial" w:hAnsi="Arial"/>
                <w:sz w:val="16"/>
                <w:szCs w:val="16"/>
                <w:color w:val="0000FF"/>
              </w:rPr>
            </w:pPr>
            <w:hyperlink r:id="rId76">
              <w:r>
                <w:rPr>
                  <w:rFonts w:ascii="Arial" w:cs="Arial" w:eastAsia="Arial" w:hAnsi="Arial"/>
                  <w:sz w:val="16"/>
                  <w:szCs w:val="16"/>
                  <w:color w:val="0000FF"/>
                </w:rPr>
                <w:t>10.</w:t>
              </w:r>
              <w:r>
                <w:rPr>
                  <w:rFonts w:ascii="Arial" w:cs="Arial" w:eastAsia="Arial" w:hAnsi="Arial"/>
                  <w:sz w:val="16"/>
                  <w:szCs w:val="16"/>
                  <w:u w:val="single" w:color="auto"/>
                  <w:color w:val="0000FF"/>
                </w:rPr>
                <w:t>17</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Form of Ira M. Birns Stock-Settled Stock Appreciation Right Agreement under the 2006 Omnibus Plan (incorporated by reference herein</w:t>
            </w:r>
          </w:p>
        </w:tc>
      </w:tr>
      <w:tr>
        <w:trPr>
          <w:trHeight w:val="177"/>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from Exhibit 10.2 to our 2014 10-Q). *</w:t>
            </w:r>
          </w:p>
        </w:tc>
      </w:tr>
      <w:tr>
        <w:trPr>
          <w:trHeight w:val="181"/>
        </w:trPr>
        <w:tc>
          <w:tcPr>
            <w:tcW w:w="1060" w:type="dxa"/>
            <w:vAlign w:val="bottom"/>
            <w:gridSpan w:val="3"/>
          </w:tcPr>
          <w:p>
            <w:pPr>
              <w:ind w:left="20"/>
              <w:spacing w:after="0" w:line="181" w:lineRule="exact"/>
              <w:rPr>
                <w:rFonts w:ascii="Arial" w:cs="Arial" w:eastAsia="Arial" w:hAnsi="Arial"/>
                <w:sz w:val="16"/>
                <w:szCs w:val="16"/>
                <w:color w:val="0000FF"/>
              </w:rPr>
            </w:pPr>
            <w:hyperlink r:id="rId77">
              <w:r>
                <w:rPr>
                  <w:rFonts w:ascii="Arial" w:cs="Arial" w:eastAsia="Arial" w:hAnsi="Arial"/>
                  <w:sz w:val="16"/>
                  <w:szCs w:val="16"/>
                  <w:color w:val="0000FF"/>
                </w:rPr>
                <w:t>10.</w:t>
              </w:r>
              <w:r>
                <w:rPr>
                  <w:rFonts w:ascii="Arial" w:cs="Arial" w:eastAsia="Arial" w:hAnsi="Arial"/>
                  <w:sz w:val="16"/>
                  <w:szCs w:val="16"/>
                  <w:u w:val="single" w:color="auto"/>
                  <w:color w:val="0000FF"/>
                </w:rPr>
                <w:t>18</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Form of Michael J. Crosby and John P. Rau 2016 Performance-Based Restricted Stock Unit Grant Agreement under the 2006 Omnibus</w:t>
            </w:r>
          </w:p>
        </w:tc>
      </w:tr>
      <w:tr>
        <w:trPr>
          <w:trHeight w:val="177"/>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Plan (incorporated by reference herein from Exhibit 10.21 to our 2017 10-K). *</w:t>
            </w:r>
          </w:p>
        </w:tc>
      </w:tr>
      <w:tr>
        <w:trPr>
          <w:trHeight w:val="182"/>
        </w:trPr>
        <w:tc>
          <w:tcPr>
            <w:tcW w:w="1060" w:type="dxa"/>
            <w:vAlign w:val="bottom"/>
            <w:gridSpan w:val="3"/>
          </w:tcPr>
          <w:p>
            <w:pPr>
              <w:ind w:left="20"/>
              <w:spacing w:after="0" w:line="181" w:lineRule="exact"/>
              <w:rPr>
                <w:rFonts w:ascii="Arial" w:cs="Arial" w:eastAsia="Arial" w:hAnsi="Arial"/>
                <w:sz w:val="16"/>
                <w:szCs w:val="16"/>
                <w:color w:val="0000FF"/>
              </w:rPr>
            </w:pPr>
            <w:hyperlink r:id="rId78">
              <w:r>
                <w:rPr>
                  <w:rFonts w:ascii="Arial" w:cs="Arial" w:eastAsia="Arial" w:hAnsi="Arial"/>
                  <w:sz w:val="16"/>
                  <w:szCs w:val="16"/>
                  <w:color w:val="0000FF"/>
                </w:rPr>
                <w:t>10.</w:t>
              </w:r>
              <w:r>
                <w:rPr>
                  <w:rFonts w:ascii="Arial" w:cs="Arial" w:eastAsia="Arial" w:hAnsi="Arial"/>
                  <w:sz w:val="16"/>
                  <w:szCs w:val="16"/>
                  <w:u w:val="single" w:color="auto"/>
                  <w:color w:val="0000FF"/>
                </w:rPr>
                <w:t>19</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Form of Michael J. Crosby and John P. Rau Restricted Stock Grant Agreement under the 2006 Omnibus Plan (incorporated by reference</w:t>
            </w:r>
          </w:p>
        </w:tc>
      </w:tr>
      <w:tr>
        <w:trPr>
          <w:trHeight w:val="177"/>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herein from Exhibit 10.4 to our 2017 10-Q). *</w:t>
            </w:r>
          </w:p>
        </w:tc>
      </w:tr>
      <w:tr>
        <w:trPr>
          <w:trHeight w:val="181"/>
        </w:trPr>
        <w:tc>
          <w:tcPr>
            <w:tcW w:w="1060" w:type="dxa"/>
            <w:vAlign w:val="bottom"/>
            <w:gridSpan w:val="3"/>
          </w:tcPr>
          <w:p>
            <w:pPr>
              <w:ind w:left="20"/>
              <w:spacing w:after="0" w:line="181" w:lineRule="exact"/>
              <w:rPr>
                <w:rFonts w:ascii="Arial" w:cs="Arial" w:eastAsia="Arial" w:hAnsi="Arial"/>
                <w:sz w:val="16"/>
                <w:szCs w:val="16"/>
                <w:color w:val="0000FF"/>
              </w:rPr>
            </w:pPr>
            <w:hyperlink r:id="rId79">
              <w:r>
                <w:rPr>
                  <w:rFonts w:ascii="Arial" w:cs="Arial" w:eastAsia="Arial" w:hAnsi="Arial"/>
                  <w:sz w:val="16"/>
                  <w:szCs w:val="16"/>
                  <w:color w:val="0000FF"/>
                </w:rPr>
                <w:t>10.</w:t>
              </w:r>
              <w:r>
                <w:rPr>
                  <w:rFonts w:ascii="Arial" w:cs="Arial" w:eastAsia="Arial" w:hAnsi="Arial"/>
                  <w:sz w:val="16"/>
                  <w:szCs w:val="16"/>
                  <w:u w:val="single" w:color="auto"/>
                  <w:color w:val="0000FF"/>
                </w:rPr>
                <w:t>20</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Form of Michael J. Crosby and John P. Rau Restricted Stock Unit Grant Agreement under the 2006 Omnibus Plan (incorporated by</w:t>
            </w:r>
          </w:p>
        </w:tc>
      </w:tr>
      <w:tr>
        <w:trPr>
          <w:trHeight w:val="177"/>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reference herein from Exhibit 10.24 to our 2017 10-K). *</w:t>
            </w:r>
          </w:p>
        </w:tc>
      </w:tr>
      <w:tr>
        <w:trPr>
          <w:trHeight w:val="182"/>
        </w:trPr>
        <w:tc>
          <w:tcPr>
            <w:tcW w:w="1060" w:type="dxa"/>
            <w:vAlign w:val="bottom"/>
            <w:gridSpan w:val="3"/>
          </w:tcPr>
          <w:p>
            <w:pPr>
              <w:ind w:left="20"/>
              <w:spacing w:after="0" w:line="181" w:lineRule="exact"/>
              <w:rPr>
                <w:rFonts w:ascii="Arial" w:cs="Arial" w:eastAsia="Arial" w:hAnsi="Arial"/>
                <w:sz w:val="16"/>
                <w:szCs w:val="16"/>
                <w:color w:val="0000FF"/>
              </w:rPr>
            </w:pPr>
            <w:hyperlink r:id="rId80">
              <w:r>
                <w:rPr>
                  <w:rFonts w:ascii="Arial" w:cs="Arial" w:eastAsia="Arial" w:hAnsi="Arial"/>
                  <w:sz w:val="16"/>
                  <w:szCs w:val="16"/>
                  <w:color w:val="0000FF"/>
                </w:rPr>
                <w:t>10.</w:t>
              </w:r>
              <w:r>
                <w:rPr>
                  <w:rFonts w:ascii="Arial" w:cs="Arial" w:eastAsia="Arial" w:hAnsi="Arial"/>
                  <w:sz w:val="16"/>
                  <w:szCs w:val="16"/>
                  <w:u w:val="single" w:color="auto"/>
                  <w:color w:val="0000FF"/>
                </w:rPr>
                <w:t>21</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Form of Named Executive Officer Stock-Settled Stock Appreciation Right Agreement under the 2016 Omnibus Plan (incorporated by</w:t>
            </w:r>
          </w:p>
        </w:tc>
      </w:tr>
      <w:tr>
        <w:trPr>
          <w:trHeight w:val="177"/>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reference herein from Exhibit 10.24 to our 2020 10-K). *</w:t>
            </w:r>
          </w:p>
        </w:tc>
      </w:tr>
      <w:tr>
        <w:trPr>
          <w:trHeight w:val="181"/>
        </w:trPr>
        <w:tc>
          <w:tcPr>
            <w:tcW w:w="1060" w:type="dxa"/>
            <w:vAlign w:val="bottom"/>
            <w:gridSpan w:val="3"/>
          </w:tcPr>
          <w:p>
            <w:pPr>
              <w:ind w:left="20"/>
              <w:spacing w:after="0" w:line="181" w:lineRule="exact"/>
              <w:rPr>
                <w:rFonts w:ascii="Arial" w:cs="Arial" w:eastAsia="Arial" w:hAnsi="Arial"/>
                <w:sz w:val="16"/>
                <w:szCs w:val="16"/>
                <w:color w:val="0000FF"/>
              </w:rPr>
            </w:pPr>
            <w:hyperlink r:id="rId81">
              <w:r>
                <w:rPr>
                  <w:rFonts w:ascii="Arial" w:cs="Arial" w:eastAsia="Arial" w:hAnsi="Arial"/>
                  <w:sz w:val="16"/>
                  <w:szCs w:val="16"/>
                  <w:color w:val="0000FF"/>
                </w:rPr>
                <w:t>10.</w:t>
              </w:r>
              <w:r>
                <w:rPr>
                  <w:rFonts w:ascii="Arial" w:cs="Arial" w:eastAsia="Arial" w:hAnsi="Arial"/>
                  <w:sz w:val="16"/>
                  <w:szCs w:val="16"/>
                  <w:u w:val="single" w:color="auto"/>
                  <w:color w:val="0000FF"/>
                </w:rPr>
                <w:t>22</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Amended and Restated Employment Agreement, dated November 10, 2022, between World Fuel Services Corporation and Michael J.</w:t>
            </w:r>
          </w:p>
        </w:tc>
      </w:tr>
      <w:tr>
        <w:trPr>
          <w:trHeight w:val="144"/>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Kasbar (incorporated by reference herein from Exhibit 10.1 to our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on November 14, 2022 (SEC Accession</w:t>
            </w: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No. 0001157523-22-001610). *</w:t>
            </w:r>
          </w:p>
        </w:tc>
      </w:tr>
      <w:tr>
        <w:trPr>
          <w:trHeight w:val="181"/>
        </w:trPr>
        <w:tc>
          <w:tcPr>
            <w:tcW w:w="1060" w:type="dxa"/>
            <w:vAlign w:val="bottom"/>
            <w:gridSpan w:val="3"/>
          </w:tcPr>
          <w:p>
            <w:pPr>
              <w:ind w:left="20"/>
              <w:spacing w:after="0" w:line="181" w:lineRule="exact"/>
              <w:rPr>
                <w:rFonts w:ascii="Arial" w:cs="Arial" w:eastAsia="Arial" w:hAnsi="Arial"/>
                <w:sz w:val="16"/>
                <w:szCs w:val="16"/>
                <w:color w:val="0000FF"/>
              </w:rPr>
            </w:pPr>
            <w:hyperlink r:id="rId82">
              <w:r>
                <w:rPr>
                  <w:rFonts w:ascii="Arial" w:cs="Arial" w:eastAsia="Arial" w:hAnsi="Arial"/>
                  <w:sz w:val="16"/>
                  <w:szCs w:val="16"/>
                  <w:color w:val="0000FF"/>
                </w:rPr>
                <w:t>10.</w:t>
              </w:r>
              <w:r>
                <w:rPr>
                  <w:rFonts w:ascii="Arial" w:cs="Arial" w:eastAsia="Arial" w:hAnsi="Arial"/>
                  <w:sz w:val="16"/>
                  <w:szCs w:val="16"/>
                  <w:u w:val="single" w:color="auto"/>
                  <w:color w:val="0000FF"/>
                </w:rPr>
                <w:t>23</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Consulting Agreement, effective as of April 1, 2022, between World Fuel Services and Michael J. Crosby (incorporated by reference herein</w:t>
            </w:r>
          </w:p>
        </w:tc>
      </w:tr>
      <w:tr>
        <w:trPr>
          <w:trHeight w:val="177"/>
        </w:trPr>
        <w:tc>
          <w:tcPr>
            <w:tcW w:w="2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from Exhibit 10.1 to our Current Report on Form 8-K filed on March 23, 2022).*</w:t>
            </w:r>
          </w:p>
        </w:tc>
      </w:tr>
      <w:tr>
        <w:trPr>
          <w:trHeight w:val="181"/>
        </w:trPr>
        <w:tc>
          <w:tcPr>
            <w:tcW w:w="1060" w:type="dxa"/>
            <w:vAlign w:val="bottom"/>
            <w:gridSpan w:val="3"/>
          </w:tcPr>
          <w:p>
            <w:pPr>
              <w:ind w:left="20"/>
              <w:spacing w:after="0" w:line="181" w:lineRule="exact"/>
              <w:rPr>
                <w:rFonts w:ascii="Arial" w:cs="Arial" w:eastAsia="Arial" w:hAnsi="Arial"/>
                <w:sz w:val="16"/>
                <w:szCs w:val="16"/>
                <w:color w:val="0000FF"/>
              </w:rPr>
            </w:pPr>
            <w:hyperlink r:id="rId83">
              <w:r>
                <w:rPr>
                  <w:rFonts w:ascii="Arial" w:cs="Arial" w:eastAsia="Arial" w:hAnsi="Arial"/>
                  <w:sz w:val="16"/>
                  <w:szCs w:val="16"/>
                  <w:color w:val="0000FF"/>
                </w:rPr>
                <w:t>10.</w:t>
              </w:r>
              <w:r>
                <w:rPr>
                  <w:rFonts w:ascii="Arial" w:cs="Arial" w:eastAsia="Arial" w:hAnsi="Arial"/>
                  <w:sz w:val="16"/>
                  <w:szCs w:val="16"/>
                  <w:u w:val="single" w:color="auto"/>
                  <w:color w:val="0000FF"/>
                </w:rPr>
                <w:t>24</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Fourth Amended and Restated Credit Agreement, dated as of October 10, 2013, among World Fuel Services Corporation, World Fuel</w:t>
            </w:r>
          </w:p>
        </w:tc>
      </w:tr>
      <w:tr>
        <w:trPr>
          <w:trHeight w:val="144"/>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Services Europe, Ltd. and World Fuel Services (Singapore) Pte Ltd, as borrowers, Bank of America, N.A., as administrative agent, and the</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financial institutions named therein as lenders (incorporated herein by reference to Exhibit 10.1 to our Current Report on Form 8-K filed on</w:t>
            </w: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October 11, 2013).*</w:t>
            </w:r>
          </w:p>
        </w:tc>
      </w:tr>
      <w:tr>
        <w:trPr>
          <w:trHeight w:val="181"/>
        </w:trPr>
        <w:tc>
          <w:tcPr>
            <w:tcW w:w="1060" w:type="dxa"/>
            <w:vAlign w:val="bottom"/>
            <w:gridSpan w:val="3"/>
          </w:tcPr>
          <w:p>
            <w:pPr>
              <w:ind w:left="20"/>
              <w:spacing w:after="0" w:line="181" w:lineRule="exact"/>
              <w:rPr>
                <w:rFonts w:ascii="Arial" w:cs="Arial" w:eastAsia="Arial" w:hAnsi="Arial"/>
                <w:sz w:val="16"/>
                <w:szCs w:val="16"/>
                <w:color w:val="0000FF"/>
              </w:rPr>
            </w:pPr>
            <w:hyperlink r:id="rId84">
              <w:r>
                <w:rPr>
                  <w:rFonts w:ascii="Arial" w:cs="Arial" w:eastAsia="Arial" w:hAnsi="Arial"/>
                  <w:sz w:val="16"/>
                  <w:szCs w:val="16"/>
                  <w:color w:val="0000FF"/>
                </w:rPr>
                <w:t>10.</w:t>
              </w:r>
              <w:r>
                <w:rPr>
                  <w:rFonts w:ascii="Arial" w:cs="Arial" w:eastAsia="Arial" w:hAnsi="Arial"/>
                  <w:sz w:val="16"/>
                  <w:szCs w:val="16"/>
                  <w:u w:val="single" w:color="auto"/>
                  <w:color w:val="0000FF"/>
                </w:rPr>
                <w:t>25</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Amendment No. 1 to the Fourth Amended and Restated Credit Agreement, and Joinder Agreement, dated as of January 30, 2015, among</w:t>
            </w:r>
          </w:p>
        </w:tc>
      </w:tr>
      <w:tr>
        <w:trPr>
          <w:trHeight w:val="144"/>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World Fuel Services Corporation, World Fuel Services Europe, Ltd. and World Fuel Services (Singapore) Pte Ltd, as borrowers, Bank of</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America, N.A., as administrative agent, and the financial institutions named therein as lenders (incorporated by reference herein from</w:t>
            </w: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February 5, 2015).</w:t>
            </w:r>
          </w:p>
        </w:tc>
      </w:tr>
      <w:tr>
        <w:trPr>
          <w:trHeight w:val="182"/>
        </w:trPr>
        <w:tc>
          <w:tcPr>
            <w:tcW w:w="1060" w:type="dxa"/>
            <w:vAlign w:val="bottom"/>
            <w:gridSpan w:val="3"/>
          </w:tcPr>
          <w:p>
            <w:pPr>
              <w:ind w:left="20"/>
              <w:spacing w:after="0" w:line="181" w:lineRule="exact"/>
              <w:rPr>
                <w:rFonts w:ascii="Arial" w:cs="Arial" w:eastAsia="Arial" w:hAnsi="Arial"/>
                <w:sz w:val="16"/>
                <w:szCs w:val="16"/>
                <w:color w:val="0000FF"/>
              </w:rPr>
            </w:pPr>
            <w:hyperlink r:id="rId85">
              <w:r>
                <w:rPr>
                  <w:rFonts w:ascii="Arial" w:cs="Arial" w:eastAsia="Arial" w:hAnsi="Arial"/>
                  <w:sz w:val="16"/>
                  <w:szCs w:val="16"/>
                  <w:color w:val="0000FF"/>
                </w:rPr>
                <w:t>10.</w:t>
              </w:r>
              <w:r>
                <w:rPr>
                  <w:rFonts w:ascii="Arial" w:cs="Arial" w:eastAsia="Arial" w:hAnsi="Arial"/>
                  <w:sz w:val="16"/>
                  <w:szCs w:val="16"/>
                  <w:u w:val="single" w:color="auto"/>
                  <w:color w:val="0000FF"/>
                </w:rPr>
                <w:t>26</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Amendment No. 2 to the Fourth Amended and Restated Credit Agreement, and Joinder Agreement, dated as of October 26, 2016, among</w:t>
            </w:r>
          </w:p>
        </w:tc>
      </w:tr>
      <w:tr>
        <w:trPr>
          <w:trHeight w:val="144"/>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World Fuel Services Corporation, World Fuel Services Europe, Ltd. and World Fuel Services (Singapore) Pte Ltd, as borrowers, Bank of</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America, N.A., as administrative agent, and the financial institutions named therein as lenders (incorporated by reference herein from</w:t>
            </w: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October 27, 2016).</w:t>
            </w:r>
          </w:p>
        </w:tc>
      </w:tr>
      <w:tr>
        <w:trPr>
          <w:trHeight w:val="182"/>
        </w:trPr>
        <w:tc>
          <w:tcPr>
            <w:tcW w:w="1060" w:type="dxa"/>
            <w:vAlign w:val="bottom"/>
            <w:gridSpan w:val="3"/>
          </w:tcPr>
          <w:p>
            <w:pPr>
              <w:ind w:left="20"/>
              <w:spacing w:after="0" w:line="181" w:lineRule="exact"/>
              <w:rPr>
                <w:rFonts w:ascii="Arial" w:cs="Arial" w:eastAsia="Arial" w:hAnsi="Arial"/>
                <w:sz w:val="16"/>
                <w:szCs w:val="16"/>
                <w:color w:val="0000FF"/>
              </w:rPr>
            </w:pPr>
            <w:hyperlink r:id="rId86">
              <w:r>
                <w:rPr>
                  <w:rFonts w:ascii="Arial" w:cs="Arial" w:eastAsia="Arial" w:hAnsi="Arial"/>
                  <w:sz w:val="16"/>
                  <w:szCs w:val="16"/>
                  <w:color w:val="0000FF"/>
                </w:rPr>
                <w:t>10.</w:t>
              </w:r>
              <w:r>
                <w:rPr>
                  <w:rFonts w:ascii="Arial" w:cs="Arial" w:eastAsia="Arial" w:hAnsi="Arial"/>
                  <w:sz w:val="16"/>
                  <w:szCs w:val="16"/>
                  <w:u w:val="single" w:color="auto"/>
                  <w:color w:val="0000FF"/>
                </w:rPr>
                <w:t>27</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Amendment No. 3 to the Fourth Amended and Restated Credit Agreement, dated as of May 12, 2017, among World Fuel Services</w:t>
            </w:r>
          </w:p>
        </w:tc>
      </w:tr>
      <w:tr>
        <w:trPr>
          <w:trHeight w:val="144"/>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Corporation, World Fuel Services Europe, Ltd. and World Fuel Services (Singapore) Pte Ltd, as borrowers, Bank of America, N.A., as</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administrative agent, and the financial institutions named therein as lenders (incorporated by reference herein from Exhibit 10.2 to our 2017</w:t>
            </w: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10-Q).</w:t>
            </w:r>
          </w:p>
        </w:tc>
      </w:tr>
      <w:tr>
        <w:trPr>
          <w:trHeight w:val="181"/>
        </w:trPr>
        <w:tc>
          <w:tcPr>
            <w:tcW w:w="1060" w:type="dxa"/>
            <w:vAlign w:val="bottom"/>
            <w:gridSpan w:val="3"/>
          </w:tcPr>
          <w:p>
            <w:pPr>
              <w:ind w:left="20"/>
              <w:spacing w:after="0" w:line="181" w:lineRule="exact"/>
              <w:rPr>
                <w:rFonts w:ascii="Arial" w:cs="Arial" w:eastAsia="Arial" w:hAnsi="Arial"/>
                <w:sz w:val="16"/>
                <w:szCs w:val="16"/>
                <w:color w:val="0000FF"/>
              </w:rPr>
            </w:pPr>
            <w:hyperlink r:id="rId87">
              <w:r>
                <w:rPr>
                  <w:rFonts w:ascii="Arial" w:cs="Arial" w:eastAsia="Arial" w:hAnsi="Arial"/>
                  <w:sz w:val="16"/>
                  <w:szCs w:val="16"/>
                  <w:color w:val="0000FF"/>
                </w:rPr>
                <w:t>10.</w:t>
              </w:r>
              <w:r>
                <w:rPr>
                  <w:rFonts w:ascii="Arial" w:cs="Arial" w:eastAsia="Arial" w:hAnsi="Arial"/>
                  <w:sz w:val="16"/>
                  <w:szCs w:val="16"/>
                  <w:u w:val="single" w:color="auto"/>
                  <w:color w:val="0000FF"/>
                </w:rPr>
                <w:t>28</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Amendment No. 4 to the Fourth Amended and Restated Credit Agreement, dated as January 30, 2018, among World Fuel Services</w:t>
            </w:r>
          </w:p>
        </w:tc>
      </w:tr>
      <w:tr>
        <w:trPr>
          <w:trHeight w:val="144"/>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Corporation, World Fuel Services Europe, Ltd. and World Fuel Services (Singapore) Pte Ltd, as borrowers, Bank of America, N.A., as</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administrative agent, and the financial institutions named therein as lenders (incorporated by reference herein from Exhibit 10.30 to our</w:t>
            </w: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2017 10-K).</w:t>
            </w:r>
          </w:p>
        </w:tc>
      </w:tr>
      <w:tr>
        <w:trPr>
          <w:trHeight w:val="182"/>
        </w:trPr>
        <w:tc>
          <w:tcPr>
            <w:tcW w:w="1060" w:type="dxa"/>
            <w:vAlign w:val="bottom"/>
            <w:gridSpan w:val="3"/>
          </w:tcPr>
          <w:p>
            <w:pPr>
              <w:ind w:left="20"/>
              <w:spacing w:after="0" w:line="181" w:lineRule="exact"/>
              <w:rPr>
                <w:rFonts w:ascii="Arial" w:cs="Arial" w:eastAsia="Arial" w:hAnsi="Arial"/>
                <w:sz w:val="16"/>
                <w:szCs w:val="16"/>
                <w:color w:val="0000FF"/>
              </w:rPr>
            </w:pPr>
            <w:hyperlink r:id="rId88">
              <w:r>
                <w:rPr>
                  <w:rFonts w:ascii="Arial" w:cs="Arial" w:eastAsia="Arial" w:hAnsi="Arial"/>
                  <w:sz w:val="16"/>
                  <w:szCs w:val="16"/>
                  <w:color w:val="0000FF"/>
                </w:rPr>
                <w:t>10.</w:t>
              </w:r>
              <w:r>
                <w:rPr>
                  <w:rFonts w:ascii="Arial" w:cs="Arial" w:eastAsia="Arial" w:hAnsi="Arial"/>
                  <w:sz w:val="16"/>
                  <w:szCs w:val="16"/>
                  <w:u w:val="single" w:color="auto"/>
                  <w:color w:val="0000FF"/>
                </w:rPr>
                <w:t>29</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Amendment No. 5 to the Fourth Amended and Restated Credit Agreement, dated as of October 26, 2016, among World Fuel Services</w:t>
            </w:r>
          </w:p>
        </w:tc>
      </w:tr>
      <w:tr>
        <w:trPr>
          <w:trHeight w:val="144"/>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10.1 to our Current Report on Form 8-K filed on July 24, 2019).</w:t>
            </w:r>
          </w:p>
        </w:tc>
      </w:tr>
      <w:tr>
        <w:trPr>
          <w:trHeight w:val="182"/>
        </w:trPr>
        <w:tc>
          <w:tcPr>
            <w:tcW w:w="1060" w:type="dxa"/>
            <w:vAlign w:val="bottom"/>
            <w:gridSpan w:val="3"/>
          </w:tcPr>
          <w:p>
            <w:pPr>
              <w:ind w:left="20"/>
              <w:spacing w:after="0" w:line="181" w:lineRule="exact"/>
              <w:rPr>
                <w:rFonts w:ascii="Arial" w:cs="Arial" w:eastAsia="Arial" w:hAnsi="Arial"/>
                <w:sz w:val="16"/>
                <w:szCs w:val="16"/>
                <w:color w:val="0000FF"/>
              </w:rPr>
            </w:pPr>
            <w:hyperlink r:id="rId89">
              <w:r>
                <w:rPr>
                  <w:rFonts w:ascii="Arial" w:cs="Arial" w:eastAsia="Arial" w:hAnsi="Arial"/>
                  <w:sz w:val="16"/>
                  <w:szCs w:val="16"/>
                  <w:color w:val="0000FF"/>
                </w:rPr>
                <w:t>10.</w:t>
              </w:r>
              <w:r>
                <w:rPr>
                  <w:rFonts w:ascii="Arial" w:cs="Arial" w:eastAsia="Arial" w:hAnsi="Arial"/>
                  <w:sz w:val="16"/>
                  <w:szCs w:val="16"/>
                  <w:u w:val="single" w:color="auto"/>
                  <w:color w:val="0000FF"/>
                </w:rPr>
                <w:t>30</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Amendment No. 6 to the Fourth Amended and Restated Credit Agreement, dated as of November 24, 2021, among World Fuel Services</w:t>
            </w:r>
          </w:p>
        </w:tc>
      </w:tr>
      <w:tr>
        <w:trPr>
          <w:trHeight w:val="144"/>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10.28 to our Annual Report on Form 10-K filed on February 25, 2022).</w:t>
            </w:r>
          </w:p>
        </w:tc>
      </w:tr>
      <w:tr>
        <w:trPr>
          <w:trHeight w:val="181"/>
        </w:trPr>
        <w:tc>
          <w:tcPr>
            <w:tcW w:w="1060" w:type="dxa"/>
            <w:vAlign w:val="bottom"/>
            <w:gridSpan w:val="3"/>
          </w:tcPr>
          <w:p>
            <w:pPr>
              <w:ind w:left="20"/>
              <w:spacing w:after="0" w:line="181" w:lineRule="exact"/>
              <w:rPr>
                <w:rFonts w:ascii="Arial" w:cs="Arial" w:eastAsia="Arial" w:hAnsi="Arial"/>
                <w:sz w:val="16"/>
                <w:szCs w:val="16"/>
                <w:color w:val="0000FF"/>
              </w:rPr>
            </w:pPr>
            <w:hyperlink r:id="rId90">
              <w:r>
                <w:rPr>
                  <w:rFonts w:ascii="Arial" w:cs="Arial" w:eastAsia="Arial" w:hAnsi="Arial"/>
                  <w:sz w:val="16"/>
                  <w:szCs w:val="16"/>
                  <w:color w:val="0000FF"/>
                </w:rPr>
                <w:t>10.</w:t>
              </w:r>
              <w:r>
                <w:rPr>
                  <w:rFonts w:ascii="Arial" w:cs="Arial" w:eastAsia="Arial" w:hAnsi="Arial"/>
                  <w:sz w:val="16"/>
                  <w:szCs w:val="16"/>
                  <w:u w:val="single" w:color="auto"/>
                  <w:color w:val="0000FF"/>
                </w:rPr>
                <w:t>31</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Amendment No. 7 to the Fourth Amended and Restated Credit Agreement, dated as of November 26, 2021, among World Fuel Services</w:t>
            </w:r>
          </w:p>
        </w:tc>
      </w:tr>
      <w:tr>
        <w:trPr>
          <w:trHeight w:val="144"/>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10.29 to our Annual Report on Form 10-K filed on February 25, 2022).</w:t>
            </w:r>
          </w:p>
        </w:tc>
      </w:tr>
      <w:tr>
        <w:trPr>
          <w:trHeight w:val="182"/>
        </w:trPr>
        <w:tc>
          <w:tcPr>
            <w:tcW w:w="1060" w:type="dxa"/>
            <w:vAlign w:val="bottom"/>
            <w:gridSpan w:val="3"/>
          </w:tcPr>
          <w:p>
            <w:pPr>
              <w:ind w:left="20"/>
              <w:spacing w:after="0" w:line="181" w:lineRule="exact"/>
              <w:rPr>
                <w:rFonts w:ascii="Arial" w:cs="Arial" w:eastAsia="Arial" w:hAnsi="Arial"/>
                <w:sz w:val="16"/>
                <w:szCs w:val="16"/>
                <w:color w:val="0000FF"/>
              </w:rPr>
            </w:pPr>
            <w:hyperlink r:id="rId91">
              <w:r>
                <w:rPr>
                  <w:rFonts w:ascii="Arial" w:cs="Arial" w:eastAsia="Arial" w:hAnsi="Arial"/>
                  <w:sz w:val="16"/>
                  <w:szCs w:val="16"/>
                  <w:color w:val="0000FF"/>
                </w:rPr>
                <w:t>10.</w:t>
              </w:r>
              <w:r>
                <w:rPr>
                  <w:rFonts w:ascii="Arial" w:cs="Arial" w:eastAsia="Arial" w:hAnsi="Arial"/>
                  <w:sz w:val="16"/>
                  <w:szCs w:val="16"/>
                  <w:u w:val="single" w:color="auto"/>
                  <w:color w:val="0000FF"/>
                </w:rPr>
                <w:t>32</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Amendment No. 8 to Fourth Amended and Restated Credit Agreement, dated as of April 1, 2022, among World Fuel Services Corporation,</w:t>
            </w:r>
          </w:p>
        </w:tc>
      </w:tr>
      <w:tr>
        <w:trPr>
          <w:trHeight w:val="144"/>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World Fuel Services Europe, Ltd., World Fuel Services (Singapore) Pte Ltd, and certain other Subsidiaries, as borrowers, Bank of America,</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N.A., as administrative agent, and the financial institutions named therein as lenders (incorporated by reference herein from Exhibit 10.1 to</w:t>
            </w:r>
          </w:p>
        </w:tc>
      </w:tr>
      <w:tr>
        <w:trPr>
          <w:trHeight w:val="19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our Current Report on Form 8-K filed on April 1,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1060" w:type="dxa"/>
            <w:vAlign w:val="bottom"/>
            <w:tcBorders>
              <w:top w:val="single" w:sz="8" w:color="auto"/>
            </w:tcBorders>
            <w:gridSpan w:val="4"/>
          </w:tcPr>
          <w:p>
            <w:pPr>
              <w:ind w:left="20"/>
              <w:spacing w:after="0" w:line="175" w:lineRule="exact"/>
              <w:rPr>
                <w:rFonts w:ascii="Arial" w:cs="Arial" w:eastAsia="Arial" w:hAnsi="Arial"/>
                <w:sz w:val="16"/>
                <w:szCs w:val="16"/>
                <w:color w:val="0000FF"/>
              </w:rPr>
            </w:pPr>
            <w:hyperlink r:id="rId93">
              <w:r>
                <w:rPr>
                  <w:rFonts w:ascii="Arial" w:cs="Arial" w:eastAsia="Arial" w:hAnsi="Arial"/>
                  <w:sz w:val="16"/>
                  <w:szCs w:val="16"/>
                  <w:color w:val="0000FF"/>
                </w:rPr>
                <w:t>10.</w:t>
              </w:r>
              <w:r>
                <w:rPr>
                  <w:rFonts w:ascii="Arial" w:cs="Arial" w:eastAsia="Arial" w:hAnsi="Arial"/>
                  <w:sz w:val="16"/>
                  <w:szCs w:val="16"/>
                  <w:u w:val="single" w:color="auto"/>
                  <w:color w:val="0000FF"/>
                </w:rPr>
                <w:t>33</w:t>
              </w:r>
            </w:hyperlink>
          </w:p>
        </w:tc>
        <w:tc>
          <w:tcPr>
            <w:tcW w:w="100" w:type="dxa"/>
            <w:vAlign w:val="bottom"/>
          </w:tcPr>
          <w:p>
            <w:pPr>
              <w:spacing w:after="0"/>
              <w:rPr>
                <w:sz w:val="15"/>
                <w:szCs w:val="15"/>
                <w:color w:val="auto"/>
              </w:rPr>
            </w:pPr>
          </w:p>
        </w:tc>
        <w:tc>
          <w:tcPr>
            <w:tcW w:w="1008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6"/>
                <w:szCs w:val="16"/>
                <w:color w:val="auto"/>
              </w:rPr>
              <w:t>Amendment No. 9 to the Fourth Amended and Restated Credit Agreement, dated as of July 12, 2022, among World Fuel Services</w:t>
            </w:r>
          </w:p>
        </w:tc>
      </w:tr>
      <w:tr>
        <w:trPr>
          <w:trHeight w:val="144"/>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Corporation, World Fuel Services Europe, Ltd., World Fuel Services (Singapore) Pte Ltd, and certain other Subsidiaries, as borrowers, Bank</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of America, N.A., as administrative agent, and the financial institutions named therein as lenders (incorporated by reference herein from</w:t>
            </w: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Exhibit 10.2 to our Quarterly Report on Form 10-Q filed on July 29, 2022).</w:t>
            </w:r>
          </w:p>
        </w:tc>
      </w:tr>
      <w:tr>
        <w:trPr>
          <w:trHeight w:val="182"/>
        </w:trPr>
        <w:tc>
          <w:tcPr>
            <w:tcW w:w="1060" w:type="dxa"/>
            <w:vAlign w:val="bottom"/>
            <w:gridSpan w:val="4"/>
          </w:tcPr>
          <w:p>
            <w:pPr>
              <w:ind w:left="20"/>
              <w:spacing w:after="0" w:line="181" w:lineRule="exact"/>
              <w:rPr>
                <w:rFonts w:ascii="Arial" w:cs="Arial" w:eastAsia="Arial" w:hAnsi="Arial"/>
                <w:sz w:val="16"/>
                <w:szCs w:val="16"/>
                <w:color w:val="0000FF"/>
              </w:rPr>
            </w:pPr>
            <w:hyperlink r:id="rId94">
              <w:r>
                <w:rPr>
                  <w:rFonts w:ascii="Arial" w:cs="Arial" w:eastAsia="Arial" w:hAnsi="Arial"/>
                  <w:sz w:val="16"/>
                  <w:szCs w:val="16"/>
                  <w:color w:val="0000FF"/>
                </w:rPr>
                <w:t>10.</w:t>
              </w:r>
              <w:r>
                <w:rPr>
                  <w:rFonts w:ascii="Arial" w:cs="Arial" w:eastAsia="Arial" w:hAnsi="Arial"/>
                  <w:sz w:val="16"/>
                  <w:szCs w:val="16"/>
                  <w:u w:val="single" w:color="auto"/>
                  <w:color w:val="0000FF"/>
                </w:rPr>
                <w:t>34</w:t>
              </w:r>
            </w:hyperlink>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Purchase Agreement, dated as of October 28, 2021, by and among World Fuel Services, Inc., World Fuel Services Corporation, Flyers</w:t>
            </w:r>
          </w:p>
        </w:tc>
      </w:tr>
      <w:tr>
        <w:trPr>
          <w:trHeight w:val="144"/>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80" w:type="dxa"/>
            <w:vAlign w:val="bottom"/>
          </w:tcPr>
          <w:p>
            <w:pPr>
              <w:ind w:left="20"/>
              <w:spacing w:after="0" w:line="144" w:lineRule="exact"/>
              <w:rPr>
                <w:sz w:val="20"/>
                <w:szCs w:val="20"/>
                <w:color w:val="auto"/>
              </w:rPr>
            </w:pPr>
            <w:r>
              <w:rPr>
                <w:rFonts w:ascii="Arial" w:cs="Arial" w:eastAsia="Arial" w:hAnsi="Arial"/>
                <w:sz w:val="16"/>
                <w:szCs w:val="16"/>
                <w:color w:val="auto"/>
              </w:rPr>
              <w:t>Energy Group, LLC, Speedy Investments, LP, Eclipse Investments, LP, TAD Family Limited Partnership, David Dwelle Family Limited</w:t>
            </w: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80" w:type="dxa"/>
            <w:vAlign w:val="bottom"/>
          </w:tcPr>
          <w:p>
            <w:pPr>
              <w:ind w:left="20"/>
              <w:spacing w:after="0" w:line="162" w:lineRule="exact"/>
              <w:rPr>
                <w:sz w:val="20"/>
                <w:szCs w:val="20"/>
                <w:color w:val="auto"/>
              </w:rPr>
            </w:pPr>
            <w:r>
              <w:rPr>
                <w:rFonts w:ascii="Arial" w:cs="Arial" w:eastAsia="Arial" w:hAnsi="Arial"/>
                <w:sz w:val="16"/>
                <w:szCs w:val="16"/>
                <w:color w:val="auto"/>
              </w:rPr>
              <w:t>Partnership, Thomas A. Dwelle, Stephen B. Dwelle, Walter A. Dwelle, David W. Dwelle, and Walter A. Dwelle in his capacity as the Seller</w:t>
            </w:r>
          </w:p>
        </w:tc>
      </w:t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Representative (incorporated by reference herein from Exhibit 10.30 to our Annual Report on Form 10-K filed on February 25, 2022).</w:t>
            </w:r>
          </w:p>
        </w:tc>
      </w:tr>
      <w:tr>
        <w:trPr>
          <w:trHeight w:val="181"/>
        </w:trPr>
        <w:tc>
          <w:tcPr>
            <w:tcW w:w="20" w:type="dxa"/>
            <w:vAlign w:val="bottom"/>
          </w:tcPr>
          <w:p>
            <w:pPr>
              <w:spacing w:after="0"/>
              <w:rPr>
                <w:sz w:val="15"/>
                <w:szCs w:val="15"/>
                <w:color w:val="auto"/>
              </w:rPr>
            </w:pPr>
          </w:p>
        </w:tc>
        <w:tc>
          <w:tcPr>
            <w:tcW w:w="320" w:type="dxa"/>
            <w:vAlign w:val="bottom"/>
            <w:tcBorders>
              <w:bottom w:val="single" w:sz="8" w:color="0000FF"/>
            </w:tcBorders>
          </w:tcPr>
          <w:p>
            <w:pPr>
              <w:spacing w:after="0" w:line="181" w:lineRule="exact"/>
              <w:rPr>
                <w:sz w:val="20"/>
                <w:szCs w:val="20"/>
                <w:color w:val="auto"/>
              </w:rPr>
            </w:pPr>
            <w:r>
              <w:rPr>
                <w:rFonts w:ascii="Arial" w:cs="Arial" w:eastAsia="Arial" w:hAnsi="Arial"/>
                <w:sz w:val="16"/>
                <w:szCs w:val="16"/>
                <w:color w:val="0000FF"/>
                <w:w w:val="96"/>
              </w:rPr>
              <w:t>21.</w:t>
            </w:r>
            <w:r>
              <w:rPr>
                <w:rFonts w:ascii="Arial" w:cs="Arial" w:eastAsia="Arial" w:hAnsi="Arial"/>
                <w:sz w:val="16"/>
                <w:szCs w:val="16"/>
                <w:u w:val="single" w:color="auto"/>
                <w:color w:val="0000FF"/>
                <w:w w:val="96"/>
              </w:rPr>
              <w:t>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Arial" w:cs="Arial" w:eastAsia="Arial" w:hAnsi="Arial"/>
                <w:sz w:val="16"/>
                <w:szCs w:val="16"/>
                <w:color w:val="auto"/>
              </w:rPr>
              <w:t>Subsidiaries of the Registrant.</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23.</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Certification of the Chief Executive Officer pursuant to Rule 13a</w:t>
            </w:r>
            <w:r>
              <w:rPr>
                <w:rFonts w:ascii="MS PGothic" w:cs="MS PGothic" w:eastAsia="MS PGothic" w:hAnsi="MS PGothic"/>
                <w:sz w:val="16"/>
                <w:szCs w:val="16"/>
                <w:color w:val="auto"/>
              </w:rPr>
              <w:t>‑</w:t>
            </w:r>
            <w:r>
              <w:rPr>
                <w:rFonts w:ascii="Arial" w:cs="Arial" w:eastAsia="Arial" w:hAnsi="Arial"/>
                <w:sz w:val="16"/>
                <w:szCs w:val="16"/>
                <w:color w:val="auto"/>
              </w:rPr>
              <w:t>14(a) or Rule 15d</w:t>
            </w:r>
            <w:r>
              <w:rPr>
                <w:rFonts w:ascii="MS PGothic" w:cs="MS PGothic" w:eastAsia="MS PGothic" w:hAnsi="MS PGothic"/>
                <w:sz w:val="16"/>
                <w:szCs w:val="16"/>
                <w:color w:val="auto"/>
              </w:rPr>
              <w:t>‑</w:t>
            </w:r>
            <w:r>
              <w:rPr>
                <w:rFonts w:ascii="Arial" w:cs="Arial" w:eastAsia="Arial" w:hAnsi="Arial"/>
                <w:sz w:val="16"/>
                <w:szCs w:val="16"/>
                <w:color w:val="auto"/>
              </w:rPr>
              <w:t>14(a).</w:t>
            </w: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Certification of the Chief Financial Officer pursuant to Rule 13a</w:t>
            </w:r>
            <w:r>
              <w:rPr>
                <w:rFonts w:ascii="MS PGothic" w:cs="MS PGothic" w:eastAsia="MS PGothic" w:hAnsi="MS PGothic"/>
                <w:sz w:val="16"/>
                <w:szCs w:val="16"/>
                <w:color w:val="auto"/>
              </w:rPr>
              <w:t>‑</w:t>
            </w:r>
            <w:r>
              <w:rPr>
                <w:rFonts w:ascii="Arial" w:cs="Arial" w:eastAsia="Arial" w:hAnsi="Arial"/>
                <w:sz w:val="16"/>
                <w:szCs w:val="16"/>
                <w:color w:val="auto"/>
              </w:rPr>
              <w:t>14(a) or Rule 15d</w:t>
            </w:r>
            <w:r>
              <w:rPr>
                <w:rFonts w:ascii="MS PGothic" w:cs="MS PGothic" w:eastAsia="MS PGothic" w:hAnsi="MS PGothic"/>
                <w:sz w:val="16"/>
                <w:szCs w:val="16"/>
                <w:color w:val="auto"/>
              </w:rPr>
              <w:t>‑</w:t>
            </w:r>
            <w:r>
              <w:rPr>
                <w:rFonts w:ascii="Arial" w:cs="Arial" w:eastAsia="Arial" w:hAnsi="Arial"/>
                <w:sz w:val="16"/>
                <w:szCs w:val="16"/>
                <w:color w:val="auto"/>
              </w:rPr>
              <w:t>14(a).</w:t>
            </w:r>
          </w:p>
        </w:tc>
      </w:tr>
      <w:tr>
        <w:trPr>
          <w:trHeight w:val="196"/>
        </w:trPr>
        <w:tc>
          <w:tcPr>
            <w:tcW w:w="340" w:type="dxa"/>
            <w:vAlign w:val="bottom"/>
            <w:gridSpan w:val="2"/>
          </w:tcPr>
          <w:p>
            <w:pPr>
              <w:ind w:left="20"/>
              <w:spacing w:after="0"/>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Pr>
          <w:p>
            <w:pPr>
              <w:ind w:left="20"/>
              <w:spacing w:after="0" w:line="184" w:lineRule="exact"/>
              <w:rPr>
                <w:sz w:val="20"/>
                <w:szCs w:val="20"/>
                <w:color w:val="auto"/>
              </w:rPr>
            </w:pPr>
            <w:r>
              <w:rPr>
                <w:rFonts w:ascii="Arial" w:cs="Arial" w:eastAsia="Arial" w:hAnsi="Arial"/>
                <w:sz w:val="16"/>
                <w:szCs w:val="16"/>
                <w:color w:val="auto"/>
              </w:rPr>
              <w:t>Statement of Chief Executive Officer and Chief Financial Officer under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(18 U.S.C.</w:t>
            </w:r>
          </w:p>
        </w:tc>
      </w:tr>
      <w:tr>
        <w:trPr>
          <w:trHeight w:val="177"/>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7" w:lineRule="exact"/>
              <w:rPr>
                <w:sz w:val="20"/>
                <w:szCs w:val="20"/>
                <w:color w:val="auto"/>
              </w:rPr>
            </w:pPr>
            <w:r>
              <w:rPr>
                <w:rFonts w:ascii="Arial" w:cs="Arial" w:eastAsia="Arial" w:hAnsi="Arial"/>
                <w:sz w:val="16"/>
                <w:szCs w:val="16"/>
                <w:color w:val="auto"/>
              </w:rPr>
              <w:t>Section 1350).</w:t>
            </w:r>
          </w:p>
        </w:tc>
      </w:tr>
    </w:tbl>
    <w:p>
      <w:pPr>
        <w:spacing w:after="0" w:line="21" w:lineRule="exact"/>
        <w:rPr>
          <w:sz w:val="20"/>
          <w:szCs w:val="20"/>
          <w:color w:val="auto"/>
        </w:rPr>
      </w:pPr>
    </w:p>
    <w:p>
      <w:pPr>
        <w:jc w:val="both"/>
        <w:ind w:left="1180" w:right="20" w:hanging="1154"/>
        <w:spacing w:after="0" w:line="211" w:lineRule="auto"/>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following materials from World Fuel Services Corporation’s Annual Report on Form 10-K for the year ended December 31, 2022, formatted in XBRL (Extensible Business Reporting Language); (i) Consolidated Balance Sheets, (ii) Consolidated Statements of Income and Comprehensive Income, (iii) Consolidated Statements of Shareholders’ Equity, (iv) Consolidated Statements of Cash Flows, and</w:t>
      </w:r>
    </w:p>
    <w:p>
      <w:pPr>
        <w:ind w:left="1180"/>
        <w:spacing w:after="0"/>
        <w:rPr>
          <w:rFonts w:ascii="Arial" w:cs="Arial" w:eastAsia="Arial" w:hAnsi="Arial"/>
          <w:sz w:val="16"/>
          <w:szCs w:val="16"/>
          <w:color w:val="auto"/>
        </w:rPr>
      </w:pPr>
      <w:r>
        <w:rPr>
          <w:rFonts w:ascii="Arial" w:cs="Arial" w:eastAsia="Arial" w:hAnsi="Arial"/>
          <w:sz w:val="16"/>
          <w:szCs w:val="16"/>
          <w:color w:val="auto"/>
        </w:rPr>
        <w:t>(v) Notes to the Consolidated Financial Statements.</w:t>
      </w:r>
    </w:p>
    <w:p>
      <w:pPr>
        <w:spacing w:after="0" w:line="32"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file (formatted in Inline XBRL and contained in Exhibit 101).</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exhibits to this form, pursuant to Item 15(b).</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660"/>
        <w:spacing w:after="0" w:line="414" w:lineRule="auto"/>
        <w:rPr>
          <w:sz w:val="20"/>
          <w:szCs w:val="20"/>
          <w:color w:val="auto"/>
        </w:rPr>
      </w:pPr>
      <w:r>
        <w:rPr>
          <w:rFonts w:ascii="Arial" w:cs="Arial" w:eastAsia="Arial" w:hAnsi="Arial"/>
          <w:sz w:val="21"/>
          <w:szCs w:val="21"/>
          <w:b w:val="1"/>
          <w:bCs w:val="1"/>
          <w:color w:val="auto"/>
        </w:rPr>
        <w:t xml:space="preserve">REPORT OF INDEPENDENT REGISTERED PUBLIC ACCOUNTING FIRM </w:t>
      </w:r>
      <w:r>
        <w:rPr>
          <w:rFonts w:ascii="Arial" w:cs="Arial" w:eastAsia="Arial" w:hAnsi="Arial"/>
          <w:sz w:val="21"/>
          <w:szCs w:val="21"/>
          <w:color w:val="auto"/>
        </w:rPr>
        <w:t>To the Board of Directors and Shareholders of World Fuel Services Corporation</w:t>
      </w: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World Fuel Services Corporation and its subsidiaries (the “Company”) as of December 31, 2022 and 2021, and the related consolidated statements of income and comprehensive income, of shareholders'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Flyers Energy Group, LLC from its assessment of internal control over financial reporting as of December 31, 2022, because it was acquired by the Company in a purchase business combination during 2022. We have also excluded Flyers Energy Group, LLC from our audit of internal control over financial reporting. Flyers Energy Group, LLC is a wholly-owned subsidiary whose total assets and total revenues excluded from management’s assessment and our audit of internal control over financial reporting represent approximately 11% and 6%, respectively, of the related consolidated financial statement amounts as of and for the year ended December 31, 2022.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Flyers Energy Group, LLC – Valuation of Customer Relationships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described in Notes 1 and 3 to the consolidated financial statements, the Company closed the acquisition of Flyers Energy Group, LLC for total consideration of $795 million on January 3, 2022. The acquisition was accounted for as a business combination which resulted in the Company recording $191.8 million of identifiable intangible assets, of which a significant portion relates to customer relationships. The Company accounts for business combinations under the acquisition method of accounting. Under the acquisition method, the purchase price is allocated to all identifiable assets acquired, all liabilities assumed and any noncontrolling interest at the fair value as of the acquisition date. The fair value of the customer relationships acquired is estimated using an income approach. Management applied significant judgment in estimating the fair value of the customer relationships acquired, which involved the use of significant estimates and assumptions with respect to the expected growth rates, profitability, customer attrition rates, and the discount rate.</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customer relationships acquired in the acquisition of Flyers Energy Group, LLC is a critical audit matter are the significant judgment by management when developing the fair value of the customer relationships acquired, which in turn led to a high degree of auditor judgment, subjectivity, and effort in performing procedures and evaluating management’s significant assumptions related to expected growth rates, profitability, customer attrition rates, and the discount rate. In addition, the audit effort involved the use of professionals with specialized skill and knowledge.</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the customer relationships acquired. These procedures also included, among others, reading the purchase agreement, testing management’s process for developing the fair value of the customer relationships acquired, which included evaluating the appropriateness of the income approach; testing the completeness and accuracy of underlying data used in the income approach; and evaluating the reasonableness of the significant assumptions related to expected growth rates, profitability, customer attrition rates, and the discount rate. Evaluating management’s assumptions related to expected growth rates and profitability involved evaluating whether the assumptions were reasonable by considering</w:t>
      </w:r>
    </w:p>
    <w:p>
      <w:pPr>
        <w:spacing w:after="0" w:line="3" w:lineRule="exact"/>
        <w:rPr>
          <w:sz w:val="20"/>
          <w:szCs w:val="20"/>
          <w:color w:val="auto"/>
        </w:rPr>
      </w:pPr>
    </w:p>
    <w:p>
      <w:pPr>
        <w:jc w:val="both"/>
        <w:ind w:firstLine="8"/>
        <w:spacing w:after="0" w:line="256"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past performance of the acquired business and (ii) the consistency with economic and industry forecasts. Professionals with specialized skill and knowledge were used to assist in evaluating the appropriateness of the income approach and evaluating the reasonableness of the discount rate and customer attrition rate assumptions.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Aviation and Land Reporting Units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described in Notes 1 and 6 to the consolidated financial statements, the Company’s consolidated goodwill balance was $ 1,233 million as of December 31, 2022, which is allocated among the Aviation and Land reporting units. Goodwill is evaluated for impairment at the reporting unit level as of December 31 of each year, or more frequently if events or circumstances indicate that the carrying value of the goodwill may be impaired. To perform the quantitative impairment test, management compares the fair value of each reporting unit to its respective carrying amount, including goodwill. In calculating fair value, management uses a combination of both an income and market approach. As disclosed by management, under the income approach, management calculates the fair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value of each reporting unit based on the present value of estimated future cash flows, which include assumptions related to expected growth rates, profitability, and a discount rate that corresponds to a weighted-average cost of capital. Under the market approach, management uses a selection of global companies that correspond to each reporting unit to derive a market-based multiple.</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of the Aviation and Land reporting units is a critical audit matter are the significant judgment by management when developing the fair value of the Aviation and Land reporting units, which in turn led to a high degree of auditor judgment, subjectivity, and effort in performing procedures and evaluating management’s significant assumptions related to expected growth rates, profitability, and the discount rates. In addition, the audit effort involved the use of professionals with specialized skill and knowledge.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determination of the reporting units and significant assumptions used in the estimated future cash flows. These procedures also included, among others, testing management’s process for developing the fair value of the Aviation and Land reporting units, which included evaluating the appropriateness of the income and market approaches; testing the completeness and accuracy of underlying data used in the income and market approaches; and evaluating the reasonableness of the significant assumptions related to expected growth rates, profitability, and the discount rates. Evaluating management’s assumptions related to expected growth rates and profitability involved evaluating whether the assumptions used were reasonable considering (i) the current and past performance of the Aviation and Land reporting units; (ii) the consistency with external market and industry data; and (iii) whether these assumptions were consistent with evidence obtained in other areas of the audit. Professionals with specialized skill and knowledge were used to assist in evaluating the appropriateness of the income and market approaches and evaluating the reasonableness of the discount rate assumptions.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Hallandale Beach,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Pr>
          <w:p>
            <w:pPr>
              <w:spacing w:after="0"/>
              <w:rPr>
                <w:sz w:val="20"/>
                <w:szCs w:val="20"/>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2021</w:t>
            </w: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r>
      <w:tr>
        <w:trPr>
          <w:trHeight w:val="202"/>
        </w:trPr>
        <w:tc>
          <w:tcPr>
            <w:tcW w:w="6700" w:type="dxa"/>
            <w:vAlign w:val="bottom"/>
          </w:tcPr>
          <w:p>
            <w:pPr>
              <w:ind w:left="140"/>
              <w:spacing w:after="0" w:line="201" w:lineRule="exact"/>
              <w:rPr>
                <w:sz w:val="20"/>
                <w:szCs w:val="20"/>
                <w:color w:val="auto"/>
              </w:rPr>
            </w:pPr>
            <w:r>
              <w:rPr>
                <w:rFonts w:ascii="Arial" w:cs="Arial" w:eastAsia="Arial" w:hAnsi="Arial"/>
                <w:sz w:val="18"/>
                <w:szCs w:val="18"/>
                <w:color w:val="auto"/>
              </w:rPr>
              <w:t>Accounts receivable, net of allowance for credit losses of $14.1 million and $26.1</w:t>
            </w: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7"/>
        </w:trPr>
        <w:tc>
          <w:tcPr>
            <w:tcW w:w="6700" w:type="dxa"/>
            <w:vAlign w:val="bottom"/>
          </w:tcPr>
          <w:p>
            <w:pPr>
              <w:ind w:left="140"/>
              <w:spacing w:after="0"/>
              <w:rPr>
                <w:sz w:val="20"/>
                <w:szCs w:val="20"/>
                <w:color w:val="auto"/>
              </w:rPr>
            </w:pPr>
            <w:r>
              <w:rPr>
                <w:rFonts w:ascii="Arial" w:cs="Arial" w:eastAsia="Arial" w:hAnsi="Arial"/>
                <w:sz w:val="18"/>
                <w:szCs w:val="18"/>
                <w:color w:val="auto"/>
              </w:rPr>
              <w:t>million as of December 31, 2022 and 2021, respectively</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3,294.1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2,355.3</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assets, net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484.2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348.9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Identifiable intangible assets,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336.2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w:t>
            </w: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5,942.4</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3,529.5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2,399.6</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liabilities, net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268.9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205.5</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4,608.6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3,096.7</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Non-current income tax liabilities,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212.7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213.9</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4,025.6</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 Fuel shareholders' equity:</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Preferred stock, $1.00 par value; 0.1 shares authorized, none issued</w:t>
            </w:r>
          </w:p>
        </w:tc>
        <w:tc>
          <w:tcPr>
            <w:tcW w:w="200" w:type="dxa"/>
            <w:vAlign w:val="bottom"/>
          </w:tcPr>
          <w:p>
            <w:pPr>
              <w:spacing w:after="0"/>
              <w:rPr>
                <w:sz w:val="19"/>
                <w:szCs w:val="19"/>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7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Common stock, $0.01 par value; 100.0 shares authorized, 62.0 and 61.7 issued</w:t>
            </w: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outstanding as of December 31, 2022 and 2021, respectively</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182.4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168.1</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World Fuel shareholders' equity</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1,912.7</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1,916.8</w:t>
            </w: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5,942.4</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59,043.1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31,337.0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20,358.3</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57,954.1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30,548.8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19,506.5</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Fuel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60" w:type="dxa"/>
            <w:vAlign w:val="bottom"/>
          </w:tcPr>
          <w:p>
            <w:pPr>
              <w:ind w:left="20"/>
              <w:spacing w:after="0" w:line="203" w:lineRule="exact"/>
              <w:rPr>
                <w:sz w:val="20"/>
                <w:szCs w:val="20"/>
                <w:color w:val="auto"/>
              </w:rPr>
            </w:pPr>
            <w:r>
              <w:rPr>
                <w:rFonts w:ascii="Arial" w:cs="Arial" w:eastAsia="Arial" w:hAnsi="Arial"/>
                <w:sz w:val="18"/>
                <w:szCs w:val="18"/>
                <w:color w:val="auto"/>
              </w:rPr>
              <w:t>Basic earnings (loss)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6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88"/>
        </w:trPr>
        <w:tc>
          <w:tcPr>
            <w:tcW w:w="6960" w:type="dxa"/>
            <w:vAlign w:val="bottom"/>
          </w:tcPr>
          <w:p>
            <w:pPr>
              <w:ind w:left="140"/>
              <w:spacing w:after="0" w:line="189" w:lineRule="exact"/>
              <w:rPr>
                <w:sz w:val="20"/>
                <w:szCs w:val="20"/>
                <w:color w:val="auto"/>
              </w:rPr>
            </w:pPr>
            <w:r>
              <w:rPr>
                <w:rFonts w:ascii="Arial" w:cs="Arial" w:eastAsia="Arial" w:hAnsi="Arial"/>
                <w:sz w:val="18"/>
                <w:szCs w:val="18"/>
                <w:color w:val="auto"/>
              </w:rPr>
              <w:t>Cash flow hedges, net of income tax expense (benefit) of $7.6, $3.3, and $0.0 for</w:t>
            </w:r>
          </w:p>
        </w:tc>
        <w:tc>
          <w:tcPr>
            <w:tcW w:w="3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21.6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9.6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4"/>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2022, 2021, and 2020, respectively</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Comprehensive income (loss) including noncontrolling interest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World Fuel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30" w:lineRule="exact"/>
        <w:rPr>
          <w:sz w:val="20"/>
          <w:szCs w:val="20"/>
          <w:color w:val="auto"/>
        </w:rPr>
      </w:pPr>
    </w:p>
    <w:p>
      <w:pPr>
        <w:ind w:right="4880"/>
        <w:spacing w:after="0" w:line="220" w:lineRule="auto"/>
        <w:rPr>
          <w:sz w:val="20"/>
          <w:szCs w:val="20"/>
          <w:color w:val="auto"/>
        </w:rPr>
      </w:pPr>
      <w:r>
        <w:rPr>
          <w:rFonts w:ascii="Arial" w:cs="Arial" w:eastAsia="Arial" w:hAnsi="Arial"/>
          <w:sz w:val="22"/>
          <w:szCs w:val="22"/>
          <w:b w:val="1"/>
          <w:bCs w:val="1"/>
          <w:color w:val="auto"/>
        </w:rPr>
        <w:t xml:space="preserve">CONSOLIDATED STATEMENTS OF SHAREHOLDERS’ EQUITY </w:t>
      </w:r>
      <w:r>
        <w:rPr>
          <w:rFonts w:ascii="Arial" w:cs="Arial" w:eastAsia="Arial" w:hAnsi="Arial"/>
          <w:sz w:val="17"/>
          <w:szCs w:val="17"/>
          <w:color w:val="auto"/>
        </w:rPr>
        <w:t>(In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40" w:type="dxa"/>
            <w:vAlign w:val="bottom"/>
          </w:tcPr>
          <w:p>
            <w:pPr>
              <w:spacing w:after="0"/>
              <w:rPr>
                <w:sz w:val="15"/>
                <w:szCs w:val="15"/>
                <w:color w:val="auto"/>
              </w:rPr>
            </w:pPr>
          </w:p>
        </w:tc>
        <w:tc>
          <w:tcPr>
            <w:tcW w:w="166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Capital in</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Total World Fuel</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ind w:left="80"/>
              <w:spacing w:after="0" w:line="122" w:lineRule="exact"/>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4"/>
                <w:szCs w:val="4"/>
                <w:color w:val="auto"/>
              </w:rPr>
            </w:pPr>
          </w:p>
        </w:tc>
        <w:tc>
          <w:tcPr>
            <w:tcW w:w="84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rPr>
              <w:t>Shareholders’</w:t>
            </w:r>
          </w:p>
        </w:tc>
        <w:tc>
          <w:tcPr>
            <w:tcW w:w="120" w:type="dxa"/>
            <w:vAlign w:val="bottom"/>
          </w:tcPr>
          <w:p>
            <w:pPr>
              <w:spacing w:after="0"/>
              <w:rPr>
                <w:sz w:val="4"/>
                <w:szCs w:val="4"/>
                <w:color w:val="auto"/>
              </w:rPr>
            </w:pPr>
          </w:p>
        </w:tc>
        <w:tc>
          <w:tcPr>
            <w:tcW w:w="128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4"/>
                <w:szCs w:val="4"/>
                <w:color w:val="auto"/>
              </w:rPr>
            </w:pPr>
          </w:p>
        </w:tc>
        <w:tc>
          <w:tcPr>
            <w:tcW w:w="620" w:type="dxa"/>
            <w:vAlign w:val="bottom"/>
            <w:vMerge w:val="restart"/>
          </w:tcPr>
          <w:p>
            <w:pPr>
              <w:jc w:val="right"/>
              <w:ind w:right="148"/>
              <w:spacing w:after="0" w:line="12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Equity</w:t>
            </w:r>
          </w:p>
        </w:tc>
        <w:tc>
          <w:tcPr>
            <w:tcW w:w="14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1,761.3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1,893.9</w:t>
            </w: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7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of change in accounting</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principle</w:t>
            </w: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7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
              <w:spacing w:after="0"/>
              <w:rPr>
                <w:sz w:val="20"/>
                <w:szCs w:val="20"/>
                <w:color w:val="auto"/>
              </w:rPr>
            </w:pPr>
            <w:r>
              <w:rPr>
                <w:rFonts w:ascii="Arial" w:cs="Arial" w:eastAsia="Arial" w:hAnsi="Arial"/>
                <w:sz w:val="14"/>
                <w:szCs w:val="14"/>
                <w:color w:val="auto"/>
              </w:rPr>
              <w:t>Issuance (cancellation) of common stock</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common stock tendered by</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employees to satisfy the required</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withholding taxes related to share-based</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awards</w:t>
            </w: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rPr>
                <w:sz w:val="20"/>
                <w:szCs w:val="20"/>
                <w:color w:val="auto"/>
              </w:rPr>
            </w:pPr>
            <w:r>
              <w:rPr>
                <w:rFonts w:ascii="Arial" w:cs="Arial" w:eastAsia="Arial" w:hAnsi="Arial"/>
                <w:sz w:val="14"/>
                <w:szCs w:val="14"/>
                <w:color w:val="auto"/>
              </w:rPr>
              <w:t>Purchases of common stock</w:t>
            </w:r>
          </w:p>
        </w:tc>
        <w:tc>
          <w:tcPr>
            <w:tcW w:w="7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rPr>
                <w:sz w:val="20"/>
                <w:szCs w:val="20"/>
                <w:color w:val="auto"/>
              </w:rPr>
            </w:pPr>
            <w:r>
              <w:rPr>
                <w:rFonts w:ascii="Arial" w:cs="Arial" w:eastAsia="Arial" w:hAnsi="Arial"/>
                <w:sz w:val="14"/>
                <w:szCs w:val="14"/>
                <w:color w:val="auto"/>
              </w:rPr>
              <w:t>Other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2"/>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1,909.3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1,912.9</w:t>
            </w:r>
          </w:p>
        </w:tc>
        <w:tc>
          <w:tcPr>
            <w:tcW w:w="0" w:type="dxa"/>
            <w:vAlign w:val="bottom"/>
          </w:tcPr>
          <w:p>
            <w:pPr>
              <w:spacing w:after="0"/>
              <w:rPr>
                <w:sz w:val="1"/>
                <w:szCs w:val="1"/>
                <w:color w:val="auto"/>
              </w:rPr>
            </w:pPr>
          </w:p>
        </w:tc>
      </w:tr>
      <w:tr>
        <w:trPr>
          <w:trHeight w:val="197"/>
        </w:trPr>
        <w:tc>
          <w:tcPr>
            <w:tcW w:w="2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67"/>
        </w:trPr>
        <w:tc>
          <w:tcPr>
            <w:tcW w:w="2740" w:type="dxa"/>
            <w:vAlign w:val="bottom"/>
          </w:tcPr>
          <w:p>
            <w:pPr>
              <w:ind w:left="20"/>
              <w:spacing w:after="0"/>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(cancellation) of common stock</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
              <w:spacing w:after="0"/>
              <w:rPr>
                <w:sz w:val="20"/>
                <w:szCs w:val="20"/>
                <w:color w:val="auto"/>
              </w:rPr>
            </w:pPr>
            <w:r>
              <w:rPr>
                <w:rFonts w:ascii="Arial" w:cs="Arial" w:eastAsia="Arial" w:hAnsi="Arial"/>
                <w:sz w:val="14"/>
                <w:szCs w:val="14"/>
                <w:color w:val="auto"/>
              </w:rPr>
              <w:t>Purchases of common stock tendered by</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20"/>
              <w:spacing w:after="0" w:line="149" w:lineRule="exact"/>
              <w:rPr>
                <w:sz w:val="20"/>
                <w:szCs w:val="20"/>
                <w:color w:val="auto"/>
              </w:rPr>
            </w:pPr>
            <w:r>
              <w:rPr>
                <w:rFonts w:ascii="Arial" w:cs="Arial" w:eastAsia="Arial" w:hAnsi="Arial"/>
                <w:sz w:val="14"/>
                <w:szCs w:val="14"/>
                <w:color w:val="auto"/>
              </w:rPr>
              <w:t>employees to satisfy the required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4"/>
                <w:szCs w:val="14"/>
                <w:color w:val="auto"/>
              </w:rPr>
              <w:t>withholding taxes related to share-based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78"/>
        </w:trPr>
        <w:tc>
          <w:tcPr>
            <w:tcW w:w="2740" w:type="dxa"/>
            <w:vAlign w:val="bottom"/>
          </w:tcPr>
          <w:p>
            <w:pPr>
              <w:ind w:left="20"/>
              <w:spacing w:after="0"/>
              <w:rPr>
                <w:sz w:val="20"/>
                <w:szCs w:val="20"/>
                <w:color w:val="auto"/>
              </w:rPr>
            </w:pPr>
            <w:r>
              <w:rPr>
                <w:rFonts w:ascii="Arial" w:cs="Arial" w:eastAsia="Arial" w:hAnsi="Arial"/>
                <w:sz w:val="14"/>
                <w:szCs w:val="14"/>
                <w:color w:val="auto"/>
              </w:rPr>
              <w:t>payment awards</w:t>
            </w: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97"/>
        </w:trPr>
        <w:tc>
          <w:tcPr>
            <w:tcW w:w="274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rPr>
                <w:sz w:val="20"/>
                <w:szCs w:val="20"/>
                <w:color w:val="auto"/>
              </w:rPr>
            </w:pPr>
            <w:r>
              <w:rPr>
                <w:rFonts w:ascii="Arial" w:cs="Arial" w:eastAsia="Arial" w:hAnsi="Arial"/>
                <w:sz w:val="14"/>
                <w:szCs w:val="14"/>
                <w:color w:val="auto"/>
              </w:rPr>
              <w:t>Balance as of December 31, 2021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1,880.6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1,912.7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1,916.8</w:t>
            </w: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197"/>
        </w:trPr>
        <w:tc>
          <w:tcPr>
            <w:tcW w:w="2740" w:type="dxa"/>
            <w:vAlign w:val="bottom"/>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7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
              <w:spacing w:after="0"/>
              <w:rPr>
                <w:sz w:val="20"/>
                <w:szCs w:val="20"/>
                <w:color w:val="auto"/>
              </w:rPr>
            </w:pPr>
            <w:r>
              <w:rPr>
                <w:rFonts w:ascii="Arial" w:cs="Arial" w:eastAsia="Arial" w:hAnsi="Arial"/>
                <w:sz w:val="14"/>
                <w:szCs w:val="14"/>
                <w:color w:val="auto"/>
              </w:rPr>
              <w:t>Issuance (cancellation) of common stock</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for acquisition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a business</w:t>
            </w: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20"/>
              <w:spacing w:after="0"/>
              <w:rPr>
                <w:sz w:val="20"/>
                <w:szCs w:val="20"/>
                <w:color w:val="auto"/>
              </w:rPr>
            </w:pPr>
            <w:r>
              <w:rPr>
                <w:rFonts w:ascii="Arial" w:cs="Arial" w:eastAsia="Arial" w:hAnsi="Arial"/>
                <w:sz w:val="14"/>
                <w:szCs w:val="14"/>
                <w:color w:val="auto"/>
              </w:rPr>
              <w:t>Purchases of common stock tendered by</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tcPr>
          <w:p>
            <w:pPr>
              <w:ind w:left="20"/>
              <w:spacing w:after="0" w:line="149" w:lineRule="exact"/>
              <w:rPr>
                <w:sz w:val="20"/>
                <w:szCs w:val="20"/>
                <w:color w:val="auto"/>
              </w:rPr>
            </w:pPr>
            <w:r>
              <w:rPr>
                <w:rFonts w:ascii="Arial" w:cs="Arial" w:eastAsia="Arial" w:hAnsi="Arial"/>
                <w:sz w:val="14"/>
                <w:szCs w:val="14"/>
                <w:color w:val="auto"/>
              </w:rPr>
              <w:t>employees to satisfy the required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4"/>
                <w:szCs w:val="14"/>
                <w:color w:val="auto"/>
              </w:rPr>
              <w:t>withholding taxes related to share-based</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8"/>
        </w:trPr>
        <w:tc>
          <w:tcPr>
            <w:tcW w:w="2740" w:type="dxa"/>
            <w:vAlign w:val="bottom"/>
          </w:tcPr>
          <w:p>
            <w:pPr>
              <w:ind w:left="20"/>
              <w:spacing w:after="0"/>
              <w:rPr>
                <w:sz w:val="20"/>
                <w:szCs w:val="20"/>
                <w:color w:val="auto"/>
              </w:rPr>
            </w:pPr>
            <w:r>
              <w:rPr>
                <w:rFonts w:ascii="Arial" w:cs="Arial" w:eastAsia="Arial" w:hAnsi="Arial"/>
                <w:sz w:val="14"/>
                <w:szCs w:val="14"/>
                <w:color w:val="auto"/>
              </w:rPr>
              <w:t>payment awards</w:t>
            </w: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97"/>
        </w:trPr>
        <w:tc>
          <w:tcPr>
            <w:tcW w:w="274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27"/>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1,990.7</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6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7"/>
          </w:tcPr>
          <w:p>
            <w:pPr>
              <w:jc w:val="right"/>
              <w:ind w:right="77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6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02"/>
        </w:trPr>
        <w:tc>
          <w:tcPr>
            <w:tcW w:w="66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Adjustments to reconcile net income including noncontrolling interest to net cash</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provided by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Unrealized (gain) loss on derivatives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 award compensation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foreign currency (gains) losses,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Loss (gain) on sale of business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1,300.3</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Short-term derivative assets,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Cash collateral with counterparties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(1,223.9)</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Short-term derivative liabilities,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income tax, net and other long-term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business, net of cash acquired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Proceeds from sale of business, net of divested cash</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259.6</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investing activities,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of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2,095.4</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(2,207.4)</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on common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as of the beginning of the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Cash and cash equivalents, as of the end of the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658.8</w:t>
            </w:r>
          </w:p>
        </w:tc>
      </w:tr>
      <w:tr>
        <w:trPr>
          <w:trHeight w:val="20"/>
        </w:trPr>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 – (CONTINUED)</w:t>
      </w:r>
    </w:p>
    <w:p>
      <w:pPr>
        <w:spacing w:after="0"/>
        <w:rPr>
          <w:sz w:val="20"/>
          <w:szCs w:val="20"/>
          <w:color w:val="auto"/>
        </w:rPr>
      </w:pPr>
      <w:r>
        <w:rPr>
          <w:rFonts w:ascii="Arial" w:cs="Arial" w:eastAsia="Arial" w:hAnsi="Arial"/>
          <w:sz w:val="18"/>
          <w:szCs w:val="18"/>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7"/>
          </w:tcPr>
          <w:p>
            <w:pPr>
              <w:jc w:val="right"/>
              <w:ind w:right="79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6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year for: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40"/>
              <w:spacing w:after="0"/>
              <w:rPr>
                <w:sz w:val="20"/>
                <w:szCs w:val="20"/>
                <w:color w:val="auto"/>
              </w:rPr>
            </w:pPr>
            <w:r>
              <w:rPr>
                <w:rFonts w:ascii="Arial" w:cs="Arial" w:eastAsia="Arial" w:hAnsi="Arial"/>
                <w:sz w:val="18"/>
                <w:szCs w:val="18"/>
                <w:color w:val="auto"/>
              </w:rPr>
              <w:t>Interest, net of capitalized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 NOTES TO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New Accounting Standards, and Significant Accounting Policies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("2022 10</w:t>
      </w:r>
      <w:r>
        <w:rPr>
          <w:rFonts w:ascii="MS PGothic" w:cs="MS PGothic" w:eastAsia="MS PGothic" w:hAnsi="MS PGothic"/>
          <w:sz w:val="18"/>
          <w:szCs w:val="18"/>
          <w:color w:val="auto"/>
        </w:rPr>
        <w:t>‑</w:t>
      </w:r>
      <w:r>
        <w:rPr>
          <w:rFonts w:ascii="Arial" w:cs="Arial" w:eastAsia="Arial" w:hAnsi="Arial"/>
          <w:sz w:val="18"/>
          <w:szCs w:val="18"/>
          <w:color w:val="auto"/>
        </w:rPr>
        <w:t>K Report") as "World Fuel," "we," "our" and "us."</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leading global energy management company, offering a broad suite of energy advisory, management and fulfillment services, digital and other technology solutions, as well as sustainability products and services across the energy product spectrum. We are principally involved in providing energy procurement and related products and services to commercial and industrial customers in the aviation, land, and marine transportation industries. We have also expanded our product and service offerings to include energy advisory services, sustainability and renewable energy solutions, as well as supply fulfillment for natural gas and power.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Consolidated Financial Statements and related Notes include our parent company and subsidiaries where we exercise control and include the operations of acquired businesses after the completion of their acquisition. The decision of whether or not to consolidate an entity requires consideration of majority voting interests, as well as effective economic or other control over the entity. The Consolidated Financial Statements are prepared in accordance with accounting principles generally accepted in the United States of America ("U.S. GAAP"). Our fiscal year-end is as of and for the year ended December 31 for each year presented. All intercompany transactions among our consolidated subsidiaries have been eliminated.</w:t>
      </w:r>
    </w:p>
    <w:p>
      <w:pPr>
        <w:spacing w:after="0" w:line="10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amounts in the Consolidated Financial Statements and accompanying Notes may not add due to rounding. All percentages have been calculated using unrounded amounts. Certain prior period amounts have been reclassified to conform to the current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New Accounting Standards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Accounting Standards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year ended December 31, 2022, there have been no accounting standards that, upon adoption, had a material impact on the Company's Consolidated Financial Statements or processes.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Disclosure of Supplier Finance Program Obligations. </w:t>
      </w:r>
      <w:r>
        <w:rPr>
          <w:rFonts w:ascii="Arial" w:cs="Arial" w:eastAsia="Arial" w:hAnsi="Arial"/>
          <w:sz w:val="18"/>
          <w:szCs w:val="18"/>
          <w:color w:val="auto"/>
        </w:rPr>
        <w:t>In September 2022, ASU 2022-04 was issued to require the buyer in a supplier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to disclose the key terms of the program, outstanding confirmed amounts as of the end of the period, a rollforward of such amounts during each annual period, and a description of where in the financial statements outstanding amounts are presented. The amendments do not affect the recognition, measurement or financial statement presentation of supplier finance program obligations. The amendments are effective for fiscal years beginning after December 15, 2022, including interim periods within those fiscal years. Early adoption is permitted. The amendments should be applied retrospectively to each period in which a balance sheet is presented, except for the rollforward, which should be applied prospectively. We are currently evaluating the provisions in the amendment to conclude if they will have a material impact to our disclosures or processes.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are no other recently issued accounting standards not yet adopted by us that, upon adoption, are expected to have a material impact on the Company’s Consolidated Financial Statements or processes.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Estimates and Assumptions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and Cash Equivalents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cash equivalents consist principally of overnight investments, bank money market accounts and bank time deposits which have an original maturity date of less than 90 days. These securities are carried at cost, which approximates market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Accounts Receivable and Allowance for Credit Losses</w:t>
      </w:r>
    </w:p>
    <w:p>
      <w:pPr>
        <w:spacing w:after="0" w:line="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adopted ASU 2016-13 effective January 1, 2020, and recognized $11.1 million as a reduction to the opening retained earnings balance as of the date of implementation.</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measured at amortized cost. The health of our accounts receivable is continuously monitored using a risk-based model, taking into consideration both the timeliness and predictability of collections from our customers. We maintain a provision for estimated credit losses based upon our historical experience with our customers, along with any specific customer collection issues that we have identified from current financial information and business prospects, as well as any political or economic conditions or other market factors, including certain assumptions based on reasonable forward-looking information from market sources. Principally based on these credit risk factors, portfolio segments are defined and an internally derived risk-based credit loss reserve is established and applied to each portfolio segment. Customer account balances that are deemed to be at high risk of collectability are reserved at higher rates than customer account balances which we expect to collect without difficulty.</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Individual receivables are written off when there is information indicating that the counterparty is in severe financial difficulty and the amounts are deemed uncollectible. An accounts receivable written off may still be subject to enforcement activities under our recovery procedures, taking into account legal advice where appropriate. Any subsequent recoveries made are recognized as income in the Consolidated Statements of Income and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Inventories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Inventories are valued primarily using weighted average cost and first-in-first-out in certain limited locations. Inventory is stated at the lower of average cost or net realizable value. When evidence exists that the net realizable value of inventory is lower than its cost, the difference is recognized as a loss in the Consolidated Statements of Income and Comprehensive Income in the period in which it occurs. We utilize a variety of fuel indices and other indicators to calculate the net realizable value. The cost of inventory includes fuel purchase costs, any related transportation or distribution costs and changes in the estimated fair market values for inventories included in a fair value hedge relationship.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Business Combinations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 business combination occurs when an entity obtains control of a business by acquiring its net assets, or some or all of its equity interests.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Before applying the acquisition method, we determine whether a transaction meets the definition of a business combination. For a transaction to be accounted for as a business combination, the entity or net assets acquired must meet the definition of a business as defined in ASC 805. Under the acquisition method, the purchase price is allocated to all identifiable assets acquired, all liabilities assumed and any noncontrolling interest at the fair value as of the acquisition date. Any residual difference with the consideration transferred is recognized as Goodwill. Goodwill arises because the purchase price paid reflects numerous factors, including the strategic value and expected synergies that the acquisition would bring to our existing operations. Acquisition-related costs incurred in connection with a business combination are expensed as incurred.</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assets acquired do not meet the definition of a business, we account for the transaction as an asset acquisition in which goodwill is not recognized, but rather any residual difference with the consideration transferred is allocated on a relative fair value basis to all qualifying identifiable net assets acquired.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Fair value is the price to sell an asset or transfer a liability and therefore represents an exit price in the principal market (or in the absence of a principal market, the most advantageous market). It represents a market-based measurement that contemplates a hypothetical transaction between market participants at the measurement date.</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calculate fair value using various methodologies, depending on the type of assets, including the income approach (e.g., based on the present value of estimated future cash flows), the market approach, the cost approach, or a combination thereof. The unique characteristics of an asset or liability and the availability of observable prices affect the number of valuation approaches and/or techniques used in a fair value analysis. We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measure fair value using observable and unobservable inputs. We give the highest priority to quoted prices (unadjusted) in active markets for identical assets or liabilities (Level 1 inputs) and the lowest priority to unobservable inputs (Level 3 inputs).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apply the following fair value hierarchy:</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 – Quoted prices in non-active markets or in active markets for similar assets or liabilities, observable inputs other than quoted prices; and inputs that are not directly observable but are corroborated by observable market data.</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 – Inputs that are unobservable.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pertaining to our fair value measurements, see Note 5. Fair Value Measurements.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Derivatives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derivative contracts, except for those designated as normal purchase normal sale, are recognized at their estimated fair market value. The fair value of our derivatives is derived using observable and certain unobservable inputs, such as basis differentials, which are based on the difference between the historical prices of our prior transactions and underlying observable data; and incorporates the effect of nonperformance risk.</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the derivative instrument is not designated as a hedge, changes in the estimated fair market value are recognized as a component of Revenue, Cost of revenue or Other income (expense), net (based on the underlying transaction type) in the Consolidated Statements of Income and Comprehensive Income. Derivatives that qualify for hedge accounting may be designated as either a fair value or cash flow hedge. At the inception, and on an ongoing basis, we assess the hedging relationship to determine its effectiveness in offsetting changes in cash flows or fair value attributable to the hedged risk. For our fair value hedges, changes in the estimated fair market value of the hedging instrument and the hedged item are recognized in the same line item as the underlying transaction type in the Consolidated Statements of Income and Comprehensive Income. For our cash flow hedges, the changes in the fair market value of the hedging instrument are initially recognized in other comprehensive income as a separate component of shareholders’ equity and subsequently reclassified into the same line item as the underlying forecasted transaction in the Consolidated Statements of Income and Comprehensive Income when both are settled or deemed probable of not occurring.</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flows of derivatives that do not contain an other-than-insignificant financing element and are designated in cash flow or fair value hedges are classified in the same category as the cash flow from the hedged items in our Consolidated Statement of Cash Flows. If for any reason hedge accounting is discontinued, then any cash flows subsequent to the date of discontinuance will be classified in a manner consistent with the nature of the instrument. Cash flows related to all other non-hedging derivatives are classified in accordance with the nature of the derivative instrument and how it is used in the context of the entity’s business.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derivatives, see Note 4. Derivative Instruments.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Property and Equipment</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primarily by using the straight-line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Long-lived assets held and used by us (including property and equipment) are assessed for impairment whenever events or changes in circumstances indicate that the carrying amount of an asset may not be recoverable.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Purchases of computer software and external costs and certain internal costs directly associated with developing significant computer software applications for internal use are capitalized within property and equipment, which also includes hosting arrangements when we have the contractual right to take possession of the software at any time during the hosting period and it is feasible for us to either run the software in our own hardware or contract with another unrelated party to host the software. Amortization of such costs is calculated primarily by using the straight-line method over the estimated useful life of the software.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Goodwill is evaluated for impairment at the reporting unit level as of December 31 of each year, or more frequently if events or circumstances indicate that the carrying value of goodwill may be impaired.</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the option to perform a qualitative assessment of goodwill rather than completing the quantitative impairment test. Under this qualitative assessment, if we conclude it is not more likely than not that the fair value of the reporting unit is less than its carrying amount, no further analysis is needed.</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perform the quantitative impairment test, we compare the fair value of each reporting unit to its respective carrying amount, including goodwill. In calculating the fair value, we use a combination of both an income and market approach. Under the market approach, we use a selection of global companies that correspond to each reporting unit to derive a market-based multiple. Under the income approach, we calculate the fair value of each reporting unit based on the present value of estimated future cash flows. The estimated future cash flows are based on the best information available as of the testing date, including our annual operating plan that is approved by our Board of Directors. The estimated cash flows are discounted using rates that correspond to a weighted-average cost of capital consistent with those used internally for investment decisions. All our estimates are considered supportable assumptions that are based on a number of factors including industry experience, internal benchmarks and the economic environment. We believe these assumptions are reasonable and are consistent with those we believe a market participant would use.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Identifiable Intangible Assets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acquisitions, we recognize identifiable intangible assets at fair value. After the initial recognition of the asset, the accounting treatment depends on the period over which the asset is expected to contribute directly or indirectly to the future cash flows of the company. Identifiable intangible assets with finite useful lives are amortized over their estimated useful lives and are assessed for impairment at the asset group level whenever events or changes in circumstances indicate that the carrying amount of an asset may not be recoverable. Intangible assets with indefinite useful life are not subject to amortization but are tested for impairment at least annually during the fourth quarter. This analysis generally involves the use of qualitative and quantitative information to conclude whether the fair value is greater than or equal to the carrying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Investments</w:t>
      </w:r>
    </w:p>
    <w:p>
      <w:pPr>
        <w:spacing w:after="0" w:line="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hold investments which are primarily accounted for under the equity method as we have the ability to exercise significant influence over the operating and financial policies of the investee, but do not have control.</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carrying amount of an equity method investment is increased to reflect our share of income and is reduced to reflect our share of losses of the investee, dividends received and other-than-temporary impairments. Investments accounted for under the equity method are assessed for impairment whenever events or changes in circumstances indicate that the carrying amount of an investment may not be recoverable.</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our intent and/or ability to recover the carrying amount of the investment over a long period. However, if the fair value of the investment is less than its carrying amount, and the investment will not recover in the near term, then an other-than-temporary impairment is recognized. Impairments of equity method investments are classified as Asset impairments within the Consolidated Statements of Income and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Revenue Recognition</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We generally recognize fuel sales and services revenue on a gross basis as we have control of the products or services before they are delivered to our customers. In drawing this conclusion, we considered various factors, including inventory risk management, latitude in establishing the sales price, discretion in the supplier selection and that we are normally the primary obligor in our sales arrangements.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the sale of fuel is recognized when our customers obtain control of the fuel, which is typically upon delivery of each promised gallon or barrel to an agreed-upon delivery point. Revenue from services, including energy procurement advisory services and international trip planning support, are recognized over the contract period when services have been performed and we have the right to invoice for those services.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Shipping and handling related fees incurred before control of the goods or services are transferred to the customer, are considered activities to fulfill the promise and not a separately promised service. When we coordinate shipping and handling activities after our customer obtains control of goods or services, we have elected to account for these shipping and handling costs as activities to fulfill the promise to transfer the goods.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elected not to adjust the contract consideration for the effect of a significant financing component for any contract in which the period between when the Company transfers the promises in the contract and when the customer pays is a year or less. In addition, we have elected to exclude from the transaction price the amount of certain taxes assessed by a government authority that we collect (or recover) from our customer and remit in connection with our sales transactions, such as certain sales or excise taxes.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elected to apply the optional exemption from estimating and disclosing the variable consideration from our remaining performance obligations when the transaction price is only estimated for disclosures purpose, including contracts in which the right to consideration corresponds directly with the value to the customer of the entity's performance to date. Also, we have elected to apply the exemption for contracts with fixed consideration an original expected duration of less than one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Share-Based Payment Awards</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account for share-based payment awards on a fair value basis of the equity instrument issued. Under fair value accounting, the grant-date fair value of the share-based payment award is amortized as compensation expense, on a straight-line basis, over the service period (generally, the vesting period) for both graded and cliff vesting awards. We have elected to account for forfeitures as they occur.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Foreign Currency</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Generally, the functional currency of our subsidiaries is the U.S. dollar, except for certain foreign subsidiaries which utilize their respective local currency as their functional currency. Monetary assets and liabilities denominated in a currency that is different from the functional currency are remeasured from the applicable currency to the functional currency using month-end exchange rates. Foreign currency transaction gains and losses are included in other income (expense), net, in the accompanying Consolidated Statements of Income and Comprehensive Income in the period incurred.</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 translation gain and loss adjustments are recorded in Accumulated Other Comprehensive Income as a separate component of Shareholders’ Equity.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Income Taxes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remaining carrying value of our deferred tax assets, after recording the valuation allowance on our deferred tax assets, is based on our present belief that it is more likely than not that we will be able to generate sufficient future taxable income in certain tax jurisdictions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of the remaining deferred tax assets will not be realized, we must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Earnings per Common Share</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Basic earnings per common share is computed by dividing net income attributable to World Fuel and available to common shareholders by the weighted average number of shares of common stock outstanding for the period. Diluted earnings per common share is computed by dividing net income attributable to World Fuel and available to common shareholders by the sum of the weighted average number of shares of common stock outstanding for the period and the number of additional shares of common stock that would have been outstanding if our outstanding potentially dilutive securities had been issued. Potentially dilutive securities include awards of restricted stock subject to forfeitable dividends, non-vested restricted stock units ("RSUs"), performance stock units where the performance requirements have been met, and settled stock appreciation rights awards ("SSARs"). The dilutive effect of potentially dilutive securities is reflected in diluted earnings per common share by application of the treasury stock method, except if its impact is anti-dilutive. Under the treasury stock method, an increase in the fair market value of our common stock can result in a greater dilutive effect from potentially dilutive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Leases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determine if an arrangement is a lease at contract inception. Determining whether a contract contains a lease includes judgment regarding whether the contract conveys the right to control the use of identified property or equipment for a period of time in exchange for consideration.</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a lessee, we account for our lease-related assets and liabilities based on their classification as operating leases or finance leases, following the relevant accounting guidance. We have elected an accounting policy to combine non-lease components with the related-lease components and treat the combined items as a lease for accounting purposes. We measure lease related assets and liabilities based on the present value of lease payments, including in-substance fixed payments, variable payments that depend on an index or rate measured at the commencement date, and the amount we believe is probable we will pay the lessor under residual value guarantees when applicable. We discount lease payments based on our estimated incremental borrowing rate at lease commencement (or modification), which is primarily based on our estimated credit rating, the lease term at commencement, and the contract currency of the lease arrangement. We have elected to exclude short term leases (leases with an original lease term less than one year) from the measurement of lease-related assets and liabilities.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assess right-of-use assets for impairment at the asset group level whenever events or changes in circumstances indicate that the carrying amount of an asset may not be recoverable.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Loss Contingencies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determining whether an accrual for a loss contingency is required, we first assess the likelihood of occurrence of the future event or events that will confirm the loss. When a loss is probable (the future event or events are likely to occur) and the amount of the loss can be reasonably estimated, the estimated loss is accrued. If the reasonable estimate of the loss is a range and an amount within the range appears to be a better estimate than any other amount within the range, that amount is accrued. However, if no amount within the range is a better estimate, the minimum amount in the range should be accrued.</w:t>
      </w:r>
    </w:p>
    <w:p>
      <w:pPr>
        <w:spacing w:after="0" w:line="9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When a loss is reasonably possible (the chance of the future event or events occurring is more than remote but less than likely), no accrual is recognized.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we extend credit on an unsecured basis, our exposure to credit losses depends on the financial condition of our customers and macroeconomic factors beyond our control, such as global economic conditions or adverse impacts in the industries we serve, changes in oil prices and political instability.</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actively monitor and manage our credit exposure and work to respond to both changes in our customers' financial conditions or macroeconomic events. Based on the ongoing credit evaluations of our customers, we adjust credit limits based upon payment history and our customers' current creditworthiness. However, because we extend credit on an unsecured basis to most of our customers, there is a possibility that any accounts receivable not collected may ultimately need to be written off.</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had accounts receivable, net of $3.3 billion and $2.4 billion and an allowance for expected credit losses, primarily related to accounts receivable, of $17.3 million and $29.8 million, as of December 31, 2022 and 2021, respectively. Changes to the expected credit loss provision during the year ended December 31, 2022 include global economic outlook considerations as a result of the Company's assessment of reasonable and supportable forward -looking information. Write-offs of uncollectible receivables during the year ended December 31, 2022 resulted principally from pre-existing financial difficulties experienced by certain customers. Based on an aging analysis as of December 31, 2022, 96% of our accounts receivable were outstanding less than 60 days.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expected credit losses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Charges to allowance for credit losses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uncollectible receivables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Recoveries of credit losses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sale programs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receivable purchase agreements ("RPAs") that allow for the sale of our qualifying accounts receivable in exchange for cash consideration equal to the total balance, less a discount margin, depending on the outstanding accounts receivable at any given time. During 2020 and 2021, we amended our RPAs to, among other things, extend the renewal option term through 2024 and increase the aggregate purchase limit as well as the individual customer limits.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receivable sold under the RPAs are accounted for as sales and excluded from Accounts receivable, net of allowance for credit losses on the accompanying Consolidated Balance Sheets. Fees paid under the RPAs are recorded within Interest expense and other financing costs, net on the Consolidated Statements of Income and Comprehensive Income.</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years ended December 31, 2022, 2021, and 2020, we sold receivables under the RPAs with an aggregate face value of $13.1 billion, $9.2 billion, and $4.3 billion, respectively, and recognized fees of $44.5 million, $20.2 million, and $11.8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Acquisitions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28, 2021, we entered into a definitive agreement (the "Purchase Agreement") to acquire all of the outstanding equity interest in Flyers Energy Group, LLC ("Flyers"). Flyers' operations include transportation, commercial fleet fueling, lubricants distribution, and the supply of wholesale, branded and renewable fuels.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acquisition closed on January 3, 2022 for total estimated consideration of $792.2 million, subject to customary adjustments relating to net working capital, indebtedness and transaction expenses. At closing, $642.7 million, inclusive of $19.7 million for estimated net working capital adjustments, was paid in cash and, at the election of the Company, $ 50.0 million was satisfied through the delivery of 1,768,034 shares of the Company's common stock at a price of $28.28 per share. The remaining $100.0 million was held back to satisfy potential indemnification and other obligations of the seller, with one-half to be released on the first and second anniversary of the closing of the acquisition, in each case subject to reduction in respect to amounts claimed under the Purchase Agreement. The total purchase consideration also included a receivable of $0.5 million from the seller for estimated working capital adjustments. During the second quarter, the working capital adjustments were updated and as a result the working capital payable to seller increased to $2.3 million, which was paid on July 1, 2022. The acquisition was accounted for as a business combination and is reported in the land segment.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purchase price allocation was finalized during the third quarter of 2022. The following table summarizes the fair value of the aggregate consideration as well as the final allocation of the purchase price to the fair value of the assets acquired and liabilities assumed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b w:val="1"/>
                <w:bCs w:val="1"/>
                <w:color w:val="auto"/>
              </w:rPr>
              <w:t>Final Purchase Price</w:t>
            </w:r>
          </w:p>
        </w:tc>
      </w:tr>
      <w:tr>
        <w:trPr>
          <w:trHeight w:val="241"/>
        </w:trPr>
        <w:tc>
          <w:tcPr>
            <w:tcW w:w="90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Allocation</w:t>
            </w:r>
          </w:p>
        </w:tc>
      </w:tr>
      <w:tr>
        <w:trPr>
          <w:trHeight w:val="212"/>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Cash paid at closing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642.7</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adjustment paid to seller</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Common stock issued to seller</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9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Amount due to sellers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9040" w:type="dxa"/>
            <w:vAlign w:val="bottom"/>
          </w:tcPr>
          <w:p>
            <w:pPr>
              <w:ind w:left="20"/>
              <w:spacing w:after="0"/>
              <w:rPr>
                <w:sz w:val="20"/>
                <w:szCs w:val="20"/>
                <w:color w:val="auto"/>
              </w:rPr>
            </w:pPr>
            <w:r>
              <w:rPr>
                <w:rFonts w:ascii="Arial" w:cs="Arial" w:eastAsia="Arial" w:hAnsi="Arial"/>
                <w:sz w:val="18"/>
                <w:szCs w:val="18"/>
                <w:color w:val="auto"/>
              </w:rPr>
              <w:t>Total fair value of consideration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7"/>
        </w:trPr>
        <w:tc>
          <w:tcPr>
            <w:tcW w:w="9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Assets acquired and liabilities assumed:</w:t>
            </w: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29"/>
        </w:trPr>
        <w:tc>
          <w:tcPr>
            <w:tcW w:w="9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Identifiable intangible assets subject to amortization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30"/>
        </w:trPr>
        <w:tc>
          <w:tcPr>
            <w:tcW w:w="9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Identifiable intangible assets not subject to amortization </w:t>
            </w:r>
            <w:r>
              <w:rPr>
                <w:rFonts w:ascii="Arial" w:cs="Arial" w:eastAsia="Arial" w:hAnsi="Arial"/>
                <w:sz w:val="23"/>
                <w:szCs w:val="23"/>
                <w:color w:val="auto"/>
                <w:vertAlign w:val="superscript"/>
              </w:rPr>
              <w:t>(3)</w:t>
            </w: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9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assets and liabilities, net </w:t>
            </w:r>
            <w:r>
              <w:rPr>
                <w:rFonts w:ascii="Arial" w:cs="Arial" w:eastAsia="Arial" w:hAnsi="Arial"/>
                <w:sz w:val="23"/>
                <w:szCs w:val="23"/>
                <w:color w:val="auto"/>
                <w:vertAlign w:val="superscript"/>
              </w:rPr>
              <w:t>(4)</w:t>
            </w: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r>
      <w:tr>
        <w:trPr>
          <w:trHeight w:val="223"/>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identifiable assets acquired</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r>
      <w:tr>
        <w:trPr>
          <w:trHeight w:val="229"/>
        </w:trPr>
        <w:tc>
          <w:tcPr>
            <w:tcW w:w="9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3"/>
                <w:szCs w:val="23"/>
                <w:color w:val="auto"/>
                <w:vertAlign w:val="superscript"/>
              </w:rPr>
              <w:t>(5)</w:t>
            </w: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hanging="332"/>
        <w:spacing w:after="0" w:line="220"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 January 2023, $50 million of the remaining purchase consideration was paid to the seller, with the remaining $50 million expected to be settled in January 2024.</w:t>
      </w:r>
    </w:p>
    <w:p>
      <w:pPr>
        <w:spacing w:after="0" w:line="121" w:lineRule="exact"/>
        <w:rPr>
          <w:rFonts w:ascii="Arial" w:cs="Arial" w:eastAsia="Arial" w:hAnsi="Arial"/>
          <w:sz w:val="23"/>
          <w:szCs w:val="23"/>
          <w:color w:val="auto"/>
          <w:vertAlign w:val="superscript"/>
        </w:rPr>
      </w:pPr>
    </w:p>
    <w:p>
      <w:pPr>
        <w:ind w:left="340" w:right="20" w:hanging="332"/>
        <w:spacing w:after="0" w:line="220"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Identifiable intangible assets subject to amortization primarily consist of customer and network relationships and other identifiable assets which will be amortized over a weighted average life of 11.6 years.</w:t>
      </w:r>
    </w:p>
    <w:p>
      <w:pPr>
        <w:sectPr>
          <w:pgSz w:w="11900" w:h="16838" w:orient="portrait"/>
          <w:cols w:equalWidth="0" w:num="1">
            <w:col w:w="11240"/>
          </w:cols>
          <w:pgMar w:left="320" w:top="140" w:right="3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not subject to amortization include trademarks and trade names acquired.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Includes the recognition of right of use assets of $45.0 million and lease liabilities of $46.0 million.</w:t>
      </w:r>
    </w:p>
    <w:p>
      <w:pPr>
        <w:spacing w:after="0" w:line="131" w:lineRule="exact"/>
        <w:rPr>
          <w:sz w:val="20"/>
          <w:szCs w:val="20"/>
          <w:color w:val="auto"/>
        </w:rPr>
      </w:pPr>
    </w:p>
    <w:p>
      <w:pPr>
        <w:sectPr>
          <w:pgSz w:w="11900" w:h="16838" w:orient="portrait"/>
          <w:cols w:equalWidth="0" w:num="2">
            <w:col w:w="160" w:space="160"/>
            <w:col w:w="10920"/>
          </w:cols>
          <w:pgMar w:left="320" w:top="140" w:right="339" w:bottom="1440" w:gutter="0" w:footer="0" w:header="0"/>
          <w:type w:val="continuous"/>
        </w:sectPr>
      </w:pPr>
    </w:p>
    <w:p>
      <w:pPr>
        <w:jc w:val="both"/>
        <w:ind w:left="340" w:hanging="332"/>
        <w:spacing w:after="0" w:line="229"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Goodwill is attributable primarily to the expected synergies and other benefits that we believe will result from combining the acquired operations with the operations of our land segment. We anticipate that all of the goodwill assigned to the land segment will be deductible for tax purposes.</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revenue and income before income taxes of Flyers included in the Company's Consolidated Statement of Income for the period from the date of acquisition through December 31, 2022 were $3.4 billion and $71.2 million, respectively.</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presents unaudited pro forma combined financial information of the Company for the year ended December 31, 2021 as if the acquisition of Flyers had been completed on January 1, 2021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jc w:val="right"/>
              <w:ind w:right="310"/>
              <w:spacing w:after="0"/>
              <w:rPr>
                <w:sz w:val="20"/>
                <w:szCs w:val="20"/>
                <w:color w:val="auto"/>
              </w:rPr>
            </w:pPr>
            <w:r>
              <w:rPr>
                <w:rFonts w:ascii="Arial" w:cs="Arial" w:eastAsia="Arial" w:hAnsi="Arial"/>
                <w:sz w:val="18"/>
                <w:szCs w:val="18"/>
                <w:b w:val="1"/>
                <w:bCs w:val="1"/>
                <w:color w:val="auto"/>
              </w:rPr>
              <w:t>For the Year Ended</w:t>
            </w:r>
          </w:p>
        </w:tc>
      </w:tr>
      <w:tr>
        <w:trPr>
          <w:trHeight w:val="23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(unaudited)</w:t>
            </w: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33,849.2</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Net income attributable to World Fuel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112.5</w:t>
            </w: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unaudited pro forma combined financial information was based on the historical financial information of World Fuel and Flyers and includes (i) incremental amortization expense to be incurred based on the fair values of the identifiable intangible assets acquired; (ii) additional interest expense associated with the incremental borrowings under our Credit Facility to finance the acquisition; (iii) nonrecurring transaction costs recognized in connection with the transaction; and (iv) the tax effect of the pro forma adjustments as well as the recognition of income tax expense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associated with Flyers' historical statements, calculated using statutory tax rates, as Flyers was comprised of limited liability companies not subject to federal and state income taxes prior to the acquisition. The unaudited pro forma combined financial information does not necessarily reflect what the combined company's financial condition or results of operations would have been had the transaction and the related financing occurred on the dates indicated. The unaudited pro forma financial information also may not be useful in predicting the future financial condition and results of operations of the combined company following the transaction. In addition, the unaudited pro forma combined financial information does not give effect to any cost savings, operating synergies or revenue synergies that may result from the transaction, or the costs to achieve any such synergies.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2022, we also completed an acquisition within our aviation segment. The financial position, results of operations and cash flows of the acquisition have been included in our Consolidated Financial Statements since the acquisition date and did not have a material impact on our Consolidated Financial Statements as of and for the year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1, 2021, we completed the acquisition of a liquid fuel business which services business and residential customers for a total purchase price of $41.4 million. The transaction was accounted for as a business combination and is reported in our land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Divestiture</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30, 2020, we completed the sale of our Multi Service payment solutions business ("MSTS") pursuant to the definitive agreement signed on July 30, 2020, for gross cash proceeds at closing of $303.5 million, subject to working capital adjustments, and a deferred payment of $75.0 million, of which $50.0 million is conditioned on MSTS's achievement of certain financial targets in 2021 and 2022. The contingent consideration was measured at fair value as of the closing date. The sale resulted in a pre-tax gain of $80.0 million, net of costs to sell, recognized during the year ended December 31, 2020. The gain is reported in Other income (expense), net within our Consolidated Statements of Income and Comprehensive Income. Prior to the sale, MSTS was a reporting unit principally reported within the land segment. The sale did not meet the criteria to be reported as a discontinued operation.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third quarter of 2021, we collected $25.0 million of the deferred payment related to a note receivable originally due in 2026. No consideration was received with respect to 2021 as the financial targets were not met. As of December 31, 2022, we expect that the amount to be collected based on 2022 financial targets is lower than the original fair value estimated. As a result, a loss of $7.7 million was recognized during the year ended December 31, 2022. The loss is reported in Other income (expense), net within our Consolidated Statements of Income and Comprehensive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4, 2020, we completed the acquisition of the aviation fuel business from Universal Weather and Aviation, Inc. ("UVair fuel business"), which serves business and general aviation customers worldwide. The acquisition was accounted for as a business combination.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purchase price allocation was finalized in the third quarter of 2020. The following table summarizes the final aggregate consideration, updated for certain working capital items, and the final fair value of the assets acquired and liabilities assumed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Total</w:t>
            </w:r>
          </w:p>
        </w:tc>
      </w:tr>
      <w:tr>
        <w:trPr>
          <w:trHeight w:val="223"/>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acquisition of business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29"/>
        </w:trPr>
        <w:tc>
          <w:tcPr>
            <w:tcW w:w="9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Amounts due to sellers </w:t>
            </w:r>
            <w:r>
              <w:rPr>
                <w:rFonts w:ascii="Arial" w:cs="Arial" w:eastAsia="Arial" w:hAnsi="Arial"/>
                <w:sz w:val="23"/>
                <w:szCs w:val="23"/>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identifiable intangible assets</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Other current and long-term assets</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90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and long-term liabilities</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Purchase price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total consideration includes a deferred payment that remains partially outstanding as of December 31, 2022.</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in the amount of $79.1 million was recorded, $70.2 million of which was determined to be deductible for tax purposes. The goodwill was assigned to the aviation segment and is attributable primarily to the expected synergies and other benefits that we believe will result from combining the acquired operations with the operations of our aviation segment. The identifiable intangible assets were $44.3 million and primarily consisted of customer relationships and other identifiable assets.</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financial position, results of operations and cash flows of this acquisition has been included in our Consolidated Financial Statements since the acquisition date and did not have a material impact on our consolidated revenue and net income for the year ended December 31, 2020; accordingly, pro forma information has not been provided.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exposed to a variety of risks including but not limited to, changes in the prices of commodities that we buy or sell, changes in foreign currency exchange rates, changes in interest rates, and the creditworthiness of each of our counterparties. While we attempt to mitigate these fluctuations through hedging, such hedges may not be fully effective.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risk management program includes the following types of derivative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Derivative contracts we hold to hedge the risk of changes in the price of our 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Derivative contracts we execute to mitigate the risk of price and interest rate volatility in forecasted transactions.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Derivatives we primarily transact to mitigate the risk of market price fluctuations in swaps or futures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certain forward fixed price purchase and sale contracts to hedge the risk of currency rate fluctuations and for portfolio optimization.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gross notional values of our derivative contracts used for risk management purposes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00" w:type="dxa"/>
            <w:vAlign w:val="bottom"/>
          </w:tcPr>
          <w:p>
            <w:pPr>
              <w:spacing w:after="0"/>
              <w:rPr>
                <w:sz w:val="20"/>
                <w:szCs w:val="20"/>
                <w:color w:val="auto"/>
              </w:rPr>
            </w:pPr>
          </w:p>
        </w:tc>
        <w:tc>
          <w:tcPr>
            <w:tcW w:w="1900" w:type="dxa"/>
            <w:vAlign w:val="bottom"/>
            <w:gridSpan w:val="2"/>
          </w:tcPr>
          <w:p>
            <w:pPr>
              <w:ind w:left="700"/>
              <w:spacing w:after="0"/>
              <w:rPr>
                <w:sz w:val="20"/>
                <w:szCs w:val="20"/>
                <w:color w:val="auto"/>
              </w:rPr>
            </w:pPr>
            <w:r>
              <w:rPr>
                <w:rFonts w:ascii="Arial" w:cs="Arial" w:eastAsia="Arial" w:hAnsi="Arial"/>
                <w:sz w:val="18"/>
                <w:szCs w:val="18"/>
                <w:b w:val="1"/>
                <w:bCs w:val="1"/>
                <w:color w:val="333333"/>
              </w:rPr>
              <w:t>Unit</w:t>
            </w:r>
          </w:p>
        </w:tc>
        <w:tc>
          <w:tcPr>
            <w:tcW w:w="234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2022</w:t>
            </w:r>
          </w:p>
        </w:tc>
      </w:tr>
      <w:tr>
        <w:trPr>
          <w:trHeight w:val="210"/>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1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Long</w:t>
            </w:r>
          </w:p>
        </w:tc>
        <w:tc>
          <w:tcPr>
            <w:tcW w:w="1900" w:type="dxa"/>
            <w:vAlign w:val="bottom"/>
            <w:gridSpan w:val="2"/>
          </w:tcPr>
          <w:p>
            <w:pPr>
              <w:ind w:left="700"/>
              <w:spacing w:after="0"/>
              <w:rPr>
                <w:sz w:val="20"/>
                <w:szCs w:val="20"/>
                <w:color w:val="auto"/>
              </w:rPr>
            </w:pPr>
            <w:r>
              <w:rPr>
                <w:rFonts w:ascii="Arial" w:cs="Arial" w:eastAsia="Arial" w:hAnsi="Arial"/>
                <w:sz w:val="18"/>
                <w:szCs w:val="18"/>
                <w:color w:val="auto"/>
              </w:rPr>
              <w:t>BBL</w:t>
            </w:r>
          </w:p>
        </w:tc>
        <w:tc>
          <w:tcPr>
            <w:tcW w:w="234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w:t>
            </w:r>
          </w:p>
        </w:tc>
        <w:tc>
          <w:tcPr>
            <w:tcW w:w="1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BBL</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57"/>
        </w:trPr>
        <w:tc>
          <w:tcPr>
            <w:tcW w:w="70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exchange contracts: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Sell U.S. dollar, buy other currencies</w:t>
            </w:r>
          </w:p>
        </w:tc>
        <w:tc>
          <w:tcPr>
            <w:tcW w:w="1900" w:type="dxa"/>
            <w:vAlign w:val="bottom"/>
            <w:gridSpan w:val="2"/>
          </w:tcPr>
          <w:p>
            <w:pPr>
              <w:ind w:left="680"/>
              <w:spacing w:after="0"/>
              <w:rPr>
                <w:sz w:val="20"/>
                <w:szCs w:val="20"/>
                <w:color w:val="auto"/>
              </w:rPr>
            </w:pPr>
            <w:r>
              <w:rPr>
                <w:rFonts w:ascii="Arial" w:cs="Arial" w:eastAsia="Arial" w:hAnsi="Arial"/>
                <w:sz w:val="18"/>
                <w:szCs w:val="18"/>
                <w:color w:val="auto"/>
              </w:rPr>
              <w:t>USD</w:t>
            </w:r>
          </w:p>
        </w:tc>
        <w:tc>
          <w:tcPr>
            <w:tcW w:w="2340" w:type="dxa"/>
            <w:vAlign w:val="bottom"/>
          </w:tcPr>
          <w:p>
            <w:pPr>
              <w:jc w:val="right"/>
              <w:spacing w:after="0"/>
              <w:rPr>
                <w:sz w:val="20"/>
                <w:szCs w:val="20"/>
                <w:color w:val="auto"/>
              </w:rPr>
            </w:pPr>
            <w:r>
              <w:rPr>
                <w:rFonts w:ascii="Arial" w:cs="Arial" w:eastAsia="Arial" w:hAnsi="Arial"/>
                <w:sz w:val="18"/>
                <w:szCs w:val="18"/>
                <w:color w:val="auto"/>
              </w:rPr>
              <w:t>(662.4)</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Buy U.S. dollar, sell other currencies</w:t>
            </w:r>
          </w:p>
        </w:tc>
        <w:tc>
          <w:tcPr>
            <w:tcW w:w="1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USD</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r>
      <w:tr>
        <w:trPr>
          <w:trHeight w:val="216"/>
        </w:trPr>
        <w:tc>
          <w:tcPr>
            <w:tcW w:w="7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1900" w:type="dxa"/>
            <w:vAlign w:val="bottom"/>
            <w:gridSpan w:val="2"/>
          </w:tcPr>
          <w:p>
            <w:pPr>
              <w:ind w:left="680"/>
              <w:spacing w:after="0"/>
              <w:rPr>
                <w:sz w:val="20"/>
                <w:szCs w:val="20"/>
                <w:color w:val="auto"/>
              </w:rPr>
            </w:pPr>
            <w:r>
              <w:rPr>
                <w:rFonts w:ascii="Arial" w:cs="Arial" w:eastAsia="Arial" w:hAnsi="Arial"/>
                <w:sz w:val="18"/>
                <w:szCs w:val="18"/>
                <w:color w:val="auto"/>
              </w:rPr>
              <w:t>USD</w:t>
            </w:r>
          </w:p>
        </w:tc>
        <w:tc>
          <w:tcPr>
            <w:tcW w:w="2340" w:type="dxa"/>
            <w:vAlign w:val="bottom"/>
          </w:tcPr>
          <w:p>
            <w:pPr>
              <w:jc w:val="right"/>
              <w:spacing w:after="0"/>
              <w:rPr>
                <w:sz w:val="20"/>
                <w:szCs w:val="20"/>
                <w:color w:val="auto"/>
              </w:rPr>
            </w:pPr>
            <w:r>
              <w:rPr>
                <w:rFonts w:ascii="Arial" w:cs="Arial" w:eastAsia="Arial" w:hAnsi="Arial"/>
                <w:sz w:val="18"/>
                <w:szCs w:val="18"/>
                <w:color w:val="auto"/>
              </w:rPr>
              <w:t>300.0</w:t>
            </w: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While the majority of our foreign currency exchange contracts and the volume related to our commodities contracts are expected to settle within the next year, our interest rate swap agreement matures in March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w:t>
      </w:r>
    </w:p>
    <w:p>
      <w:pPr>
        <w:spacing w:after="0" w:line="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Consolidated Balance Sheets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Gross Derivative Assets</w:t>
            </w:r>
          </w:p>
        </w:tc>
        <w:tc>
          <w:tcPr>
            <w:tcW w:w="180" w:type="dxa"/>
            <w:vAlign w:val="bottom"/>
          </w:tcPr>
          <w:p>
            <w:pPr>
              <w:spacing w:after="0"/>
              <w:rPr>
                <w:sz w:val="16"/>
                <w:szCs w:val="16"/>
                <w:color w:val="auto"/>
              </w:rPr>
            </w:pPr>
          </w:p>
        </w:tc>
        <w:tc>
          <w:tcPr>
            <w:tcW w:w="22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Gross Derivative Liabilities</w:t>
            </w:r>
          </w:p>
        </w:tc>
      </w:tr>
      <w:tr>
        <w:trPr>
          <w:trHeight w:val="208"/>
        </w:trPr>
        <w:tc>
          <w:tcPr>
            <w:tcW w:w="20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8"/>
                <w:szCs w:val="18"/>
                <w:color w:val="auto"/>
              </w:rPr>
            </w:pPr>
          </w:p>
        </w:tc>
        <w:tc>
          <w:tcPr>
            <w:tcW w:w="222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Consolidated Balance Sheets location</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r>
      <w:tr>
        <w:trPr>
          <w:trHeight w:val="202"/>
        </w:trPr>
        <w:tc>
          <w:tcPr>
            <w:tcW w:w="63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7"/>
        </w:trPr>
        <w:tc>
          <w:tcPr>
            <w:tcW w:w="202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09"/>
        </w:trPr>
        <w:tc>
          <w:tcPr>
            <w:tcW w:w="20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70"/>
        </w:trPr>
        <w:tc>
          <w:tcPr>
            <w:tcW w:w="20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03"/>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contract</w:t>
            </w: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2020" w:type="dxa"/>
            <w:vAlign w:val="bottom"/>
          </w:tcPr>
          <w:p>
            <w:pPr>
              <w:spacing w:after="0"/>
              <w:rPr>
                <w:sz w:val="17"/>
                <w:szCs w:val="17"/>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0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90"/>
        </w:trPr>
        <w:tc>
          <w:tcPr>
            <w:tcW w:w="63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28.2</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256"/>
        </w:trPr>
        <w:tc>
          <w:tcPr>
            <w:tcW w:w="2020" w:type="dxa"/>
            <w:vAlign w:val="bottom"/>
            <w:shd w:val="clear" w:color="auto" w:fill="CCEEFF"/>
          </w:tcPr>
          <w:p>
            <w:pPr>
              <w:spacing w:after="0"/>
              <w:rPr>
                <w:sz w:val="22"/>
                <w:szCs w:val="22"/>
                <w:color w:val="auto"/>
              </w:rPr>
            </w:pPr>
          </w:p>
        </w:tc>
        <w:tc>
          <w:tcPr>
            <w:tcW w:w="4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196"/>
        </w:trPr>
        <w:tc>
          <w:tcPr>
            <w:tcW w:w="6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337.5</w:t>
            </w:r>
          </w:p>
        </w:tc>
      </w:tr>
      <w:tr>
        <w:trPr>
          <w:trHeight w:val="196"/>
        </w:trPr>
        <w:tc>
          <w:tcPr>
            <w:tcW w:w="2020" w:type="dxa"/>
            <w:vAlign w:val="bottom"/>
          </w:tcPr>
          <w:p>
            <w:pPr>
              <w:spacing w:after="0"/>
              <w:rPr>
                <w:sz w:val="17"/>
                <w:szCs w:val="17"/>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293.3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66.9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27.6</w:t>
            </w:r>
          </w:p>
        </w:tc>
      </w:tr>
      <w:tr>
        <w:trPr>
          <w:trHeight w:val="209"/>
        </w:trPr>
        <w:tc>
          <w:tcPr>
            <w:tcW w:w="20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w:t>
            </w:r>
          </w:p>
        </w:tc>
      </w:tr>
      <w:tr>
        <w:trPr>
          <w:trHeight w:val="196"/>
        </w:trPr>
        <w:tc>
          <w:tcPr>
            <w:tcW w:w="2020" w:type="dxa"/>
            <w:vAlign w:val="bottom"/>
          </w:tcPr>
          <w:p>
            <w:pPr>
              <w:spacing w:after="0"/>
              <w:rPr>
                <w:sz w:val="17"/>
                <w:szCs w:val="17"/>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399.8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82.1</w:t>
            </w:r>
          </w:p>
        </w:tc>
      </w:tr>
      <w:tr>
        <w:trPr>
          <w:trHeight w:val="276"/>
        </w:trPr>
        <w:tc>
          <w:tcPr>
            <w:tcW w:w="202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197"/>
        </w:trPr>
        <w:tc>
          <w:tcPr>
            <w:tcW w:w="202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Short-term derivative assets, net</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8"/>
        </w:trPr>
        <w:tc>
          <w:tcPr>
            <w:tcW w:w="20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non-current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2020" w:type="dxa"/>
            <w:vAlign w:val="bottom"/>
          </w:tcPr>
          <w:p>
            <w:pPr>
              <w:spacing w:after="0"/>
              <w:rPr>
                <w:sz w:val="17"/>
                <w:szCs w:val="17"/>
                <w:color w:val="auto"/>
              </w:rPr>
            </w:pPr>
          </w:p>
        </w:tc>
        <w:tc>
          <w:tcPr>
            <w:tcW w:w="4280" w:type="dxa"/>
            <w:vAlign w:val="bottom"/>
            <w:gridSpan w:val="2"/>
          </w:tcPr>
          <w:p>
            <w:pPr>
              <w:ind w:left="280"/>
              <w:spacing w:after="0"/>
              <w:rPr>
                <w:sz w:val="20"/>
                <w:szCs w:val="20"/>
                <w:color w:val="auto"/>
              </w:rPr>
            </w:pPr>
            <w:r>
              <w:rPr>
                <w:rFonts w:ascii="Arial" w:cs="Arial" w:eastAsia="Arial" w:hAnsi="Arial"/>
                <w:sz w:val="14"/>
                <w:szCs w:val="14"/>
                <w:color w:val="auto"/>
              </w:rPr>
              <w:t>Short-term derivative liabilities, net</w:t>
            </w:r>
          </w:p>
        </w:tc>
        <w:tc>
          <w:tcPr>
            <w:tcW w:w="2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08"/>
        </w:trPr>
        <w:tc>
          <w:tcPr>
            <w:tcW w:w="20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3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1,319.2</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766.3</w:t>
            </w:r>
          </w:p>
        </w:tc>
        <w:tc>
          <w:tcPr>
            <w:tcW w:w="1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1,484.1</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738.1</w:t>
            </w:r>
          </w:p>
        </w:tc>
      </w:tr>
      <w:tr>
        <w:trPr>
          <w:trHeight w:val="22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4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1,347.4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773.6</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1,490.8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748.5</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5. Fair Value Measurements.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amounts were recorded within our Consolidated Balance Sheets related to cumulative basis adjustments for fair value hedges (in millions):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Line Item in the Consolidated Balance Sheets</w:t>
            </w:r>
          </w:p>
        </w:tc>
        <w:tc>
          <w:tcPr>
            <w:tcW w:w="3660" w:type="dxa"/>
            <w:vAlign w:val="bottom"/>
          </w:tcPr>
          <w:p>
            <w:pPr>
              <w:spacing w:after="0"/>
              <w:rPr>
                <w:sz w:val="14"/>
                <w:szCs w:val="14"/>
                <w:color w:val="auto"/>
              </w:rPr>
            </w:pPr>
          </w:p>
        </w:tc>
        <w:tc>
          <w:tcPr>
            <w:tcW w:w="3980" w:type="dxa"/>
            <w:vAlign w:val="bottom"/>
          </w:tcPr>
          <w:p>
            <w:pPr>
              <w:jc w:val="center"/>
              <w:ind w:left="208"/>
              <w:spacing w:after="0"/>
              <w:rPr>
                <w:sz w:val="20"/>
                <w:szCs w:val="20"/>
                <w:color w:val="auto"/>
              </w:rPr>
            </w:pPr>
            <w:r>
              <w:rPr>
                <w:rFonts w:ascii="Arial" w:cs="Arial" w:eastAsia="Arial" w:hAnsi="Arial"/>
                <w:sz w:val="14"/>
                <w:szCs w:val="14"/>
                <w:b w:val="1"/>
                <w:bCs w:val="1"/>
                <w:color w:val="auto"/>
              </w:rPr>
              <w:t>Cumulative Amount of Fair Value Hedging Adjustment</w:t>
            </w:r>
          </w:p>
        </w:tc>
        <w:tc>
          <w:tcPr>
            <w:tcW w:w="0" w:type="dxa"/>
            <w:vAlign w:val="bottom"/>
          </w:tcPr>
          <w:p>
            <w:pPr>
              <w:spacing w:after="0"/>
              <w:rPr>
                <w:sz w:val="1"/>
                <w:szCs w:val="1"/>
                <w:color w:val="auto"/>
              </w:rPr>
            </w:pPr>
          </w:p>
        </w:tc>
      </w:tr>
      <w:tr>
        <w:trPr>
          <w:trHeight w:val="149"/>
        </w:trPr>
        <w:tc>
          <w:tcPr>
            <w:tcW w:w="3340" w:type="dxa"/>
            <w:vAlign w:val="bottom"/>
            <w:vMerge w:val="continue"/>
          </w:tcPr>
          <w:p>
            <w:pPr>
              <w:spacing w:after="0"/>
              <w:rPr>
                <w:sz w:val="12"/>
                <w:szCs w:val="12"/>
                <w:color w:val="auto"/>
              </w:rPr>
            </w:pPr>
          </w:p>
        </w:tc>
        <w:tc>
          <w:tcPr>
            <w:tcW w:w="36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Carrying Amount of Hedged Asset/(Liabilities)</w:t>
            </w:r>
          </w:p>
        </w:tc>
        <w:tc>
          <w:tcPr>
            <w:tcW w:w="39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rPr>
              <w:t>Included in the Carrying Amount of the Hedged</w:t>
            </w:r>
          </w:p>
        </w:tc>
        <w:tc>
          <w:tcPr>
            <w:tcW w:w="0" w:type="dxa"/>
            <w:vAlign w:val="bottom"/>
          </w:tcPr>
          <w:p>
            <w:pPr>
              <w:spacing w:after="0"/>
              <w:rPr>
                <w:sz w:val="1"/>
                <w:szCs w:val="1"/>
                <w:color w:val="auto"/>
              </w:rPr>
            </w:pPr>
          </w:p>
        </w:tc>
      </w:tr>
      <w:tr>
        <w:trPr>
          <w:trHeight w:val="190"/>
        </w:trPr>
        <w:tc>
          <w:tcPr>
            <w:tcW w:w="3340" w:type="dxa"/>
            <w:vAlign w:val="bottom"/>
          </w:tcPr>
          <w:p>
            <w:pPr>
              <w:jc w:val="center"/>
              <w:ind w:right="168"/>
              <w:spacing w:after="0"/>
              <w:rPr>
                <w:sz w:val="20"/>
                <w:szCs w:val="20"/>
                <w:color w:val="auto"/>
              </w:rPr>
            </w:pPr>
            <w:r>
              <w:rPr>
                <w:rFonts w:ascii="Arial" w:cs="Arial" w:eastAsia="Arial" w:hAnsi="Arial"/>
                <w:sz w:val="14"/>
                <w:szCs w:val="14"/>
                <w:b w:val="1"/>
                <w:bCs w:val="1"/>
                <w:color w:val="auto"/>
              </w:rPr>
              <w:t>in Which the Hedged Item is Included</w:t>
            </w:r>
          </w:p>
        </w:tc>
        <w:tc>
          <w:tcPr>
            <w:tcW w:w="3660" w:type="dxa"/>
            <w:vAlign w:val="bottom"/>
            <w:vMerge w:val="continue"/>
          </w:tcPr>
          <w:p>
            <w:pPr>
              <w:spacing w:after="0"/>
              <w:rPr>
                <w:sz w:val="16"/>
                <w:szCs w:val="16"/>
                <w:color w:val="auto"/>
              </w:rPr>
            </w:pPr>
          </w:p>
        </w:tc>
        <w:tc>
          <w:tcPr>
            <w:tcW w:w="3980" w:type="dxa"/>
            <w:vAlign w:val="bottom"/>
          </w:tcPr>
          <w:p>
            <w:pPr>
              <w:jc w:val="center"/>
              <w:ind w:left="228"/>
              <w:spacing w:after="0"/>
              <w:rPr>
                <w:sz w:val="20"/>
                <w:szCs w:val="20"/>
                <w:color w:val="auto"/>
              </w:rPr>
            </w:pPr>
            <w:r>
              <w:rPr>
                <w:rFonts w:ascii="Arial" w:cs="Arial" w:eastAsia="Arial" w:hAnsi="Arial"/>
                <w:sz w:val="14"/>
                <w:szCs w:val="14"/>
                <w:b w:val="1"/>
                <w:bCs w:val="1"/>
                <w:color w:val="auto"/>
              </w:rPr>
              <w:t>Asset/(Liabilities)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719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3" w:lineRule="exact"/>
        <w:rPr>
          <w:sz w:val="20"/>
          <w:szCs w:val="20"/>
          <w:color w:val="auto"/>
        </w:rPr>
      </w:pPr>
    </w:p>
    <w:p>
      <w:pPr>
        <w:jc w:val="center"/>
        <w:ind w:left="316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20320</wp:posOffset>
            </wp:positionV>
            <wp:extent cx="23914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 w:lineRule="exact"/>
        <w:rPr>
          <w:sz w:val="20"/>
          <w:szCs w:val="20"/>
          <w:color w:val="auto"/>
        </w:rPr>
      </w:pPr>
    </w:p>
    <w:p>
      <w:pPr>
        <w:ind w:left="4000"/>
        <w:spacing w:after="0"/>
        <w:tabs>
          <w:tab w:leader="none" w:pos="594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07199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7">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20320</wp:posOffset>
            </wp:positionV>
            <wp:extent cx="25031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spacing w:after="0"/>
        <w:tabs>
          <w:tab w:leader="none" w:pos="202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56" w:lineRule="exact"/>
        <w:rPr>
          <w:sz w:val="20"/>
          <w:szCs w:val="20"/>
          <w:color w:val="auto"/>
        </w:rPr>
      </w:pPr>
    </w:p>
    <w:p>
      <w:pPr>
        <w:sectPr>
          <w:pgSz w:w="11900" w:h="16838" w:orient="portrait"/>
          <w:cols w:equalWidth="0" w:num="2">
            <w:col w:w="7220" w:space="720"/>
            <w:col w:w="3300"/>
          </w:cols>
          <w:pgMar w:left="320" w:top="140" w:right="339" w:bottom="1440" w:gutter="0" w:footer="0" w:header="0"/>
          <w:type w:val="continuous"/>
        </w:sectPr>
      </w:pPr>
    </w:p>
    <w:p>
      <w:pPr>
        <w:ind w:left="20"/>
        <w:spacing w:after="0"/>
        <w:tabs>
          <w:tab w:leader="none" w:pos="3300" w:val="left"/>
          <w:tab w:leader="none" w:pos="4660" w:val="left"/>
          <w:tab w:leader="none" w:pos="5240" w:val="left"/>
          <w:tab w:leader="none" w:pos="6620" w:val="left"/>
          <w:tab w:leader="none" w:pos="7200" w:val="left"/>
          <w:tab w:leader="none" w:pos="8720" w:val="left"/>
          <w:tab w:leader="none" w:pos="9200" w:val="left"/>
          <w:tab w:leader="none" w:pos="10800" w:val="left"/>
        </w:tabs>
        <w:rPr>
          <w:sz w:val="20"/>
          <w:szCs w:val="20"/>
          <w:color w:val="auto"/>
        </w:rPr>
      </w:pPr>
      <w:r>
        <w:rPr>
          <w:rFonts w:ascii="Arial" w:cs="Arial" w:eastAsia="Arial" w:hAnsi="Arial"/>
          <w:sz w:val="18"/>
          <w:szCs w:val="18"/>
          <w:color w:val="auto"/>
        </w:rPr>
        <w:t>Inventory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60.7</w:t>
        <w:tab/>
        <w:t>$</w:t>
      </w:r>
      <w:r>
        <w:rPr>
          <w:sz w:val="20"/>
          <w:szCs w:val="20"/>
          <w:color w:val="auto"/>
        </w:rPr>
        <w:tab/>
      </w:r>
      <w:r>
        <w:rPr>
          <w:rFonts w:ascii="Arial" w:cs="Arial" w:eastAsia="Arial" w:hAnsi="Arial"/>
          <w:sz w:val="18"/>
          <w:szCs w:val="18"/>
          <w:color w:val="auto"/>
        </w:rPr>
        <w:t>59.3</w:t>
        <w:tab/>
        <w:t>$</w:t>
      </w:r>
      <w:r>
        <w:rPr>
          <w:sz w:val="20"/>
          <w:szCs w:val="20"/>
          <w:color w:val="auto"/>
        </w:rPr>
        <w:tab/>
      </w:r>
      <w:r>
        <w:rPr>
          <w:rFonts w:ascii="Arial" w:cs="Arial" w:eastAsia="Arial" w:hAnsi="Arial"/>
          <w:sz w:val="18"/>
          <w:szCs w:val="18"/>
          <w:color w:val="auto"/>
        </w:rPr>
        <w:t>1.2</w:t>
        <w:tab/>
        <w:t>$</w:t>
      </w:r>
      <w:r>
        <w:rPr>
          <w:sz w:val="20"/>
          <w:szCs w:val="20"/>
          <w:color w:val="auto"/>
        </w:rPr>
        <w:tab/>
      </w:r>
      <w:r>
        <w:rPr>
          <w:rFonts w:ascii="Arial" w:cs="Arial" w:eastAsia="Arial" w:hAnsi="Arial"/>
          <w:sz w:val="17"/>
          <w:szCs w:val="17"/>
          <w:color w:val="auto"/>
        </w:rPr>
        <w:t>0.6</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and Other Comprehensive Income (Loss)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Designated as Hedging Instruments</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on a pre-tax basis, the location and amount of gains (losses) on fair value and cash flow hedges recognized in income in our Consolidated Statements of Income and Comprehensive Income (in millions):</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amounts of income and</w:t>
      </w:r>
    </w:p>
    <w:p>
      <w:pPr>
        <w:ind w:left="20"/>
        <w:spacing w:after="0" w:line="211" w:lineRule="auto"/>
        <w:rPr>
          <w:sz w:val="20"/>
          <w:szCs w:val="20"/>
          <w:color w:val="auto"/>
        </w:rPr>
      </w:pPr>
      <w:r>
        <w:rPr>
          <w:rFonts w:ascii="Arial" w:cs="Arial" w:eastAsia="Arial" w:hAnsi="Arial"/>
          <w:sz w:val="14"/>
          <w:szCs w:val="14"/>
          <w:color w:val="auto"/>
        </w:rPr>
        <w:t>expense line items in which the effects of fair value or cash flow</w:t>
      </w:r>
    </w:p>
    <w:p>
      <w:pPr>
        <w:ind w:left="20"/>
        <w:spacing w:after="0"/>
        <w:rPr>
          <w:sz w:val="20"/>
          <w:szCs w:val="20"/>
          <w:color w:val="auto"/>
        </w:rPr>
      </w:pPr>
      <w:r>
        <w:rPr>
          <w:rFonts w:ascii="Arial" w:cs="Arial" w:eastAsia="Arial" w:hAnsi="Arial"/>
          <w:sz w:val="14"/>
          <w:szCs w:val="14"/>
          <w:color w:val="auto"/>
        </w:rPr>
        <w:t>hedged are recorded</w:t>
      </w:r>
    </w:p>
    <w:p>
      <w:pPr>
        <w:spacing w:after="0" w:line="42" w:lineRule="exact"/>
        <w:rPr>
          <w:sz w:val="20"/>
          <w:szCs w:val="20"/>
          <w:color w:val="auto"/>
        </w:rPr>
      </w:pPr>
    </w:p>
    <w:p>
      <w:pPr>
        <w:ind w:left="140" w:right="160"/>
        <w:spacing w:after="0" w:line="239" w:lineRule="auto"/>
        <w:rPr>
          <w:sz w:val="20"/>
          <w:szCs w:val="20"/>
          <w:color w:val="auto"/>
        </w:rPr>
      </w:pPr>
      <w:r>
        <w:rPr>
          <w:rFonts w:ascii="Arial" w:cs="Arial" w:eastAsia="Arial" w:hAnsi="Arial"/>
          <w:sz w:val="14"/>
          <w:szCs w:val="14"/>
          <w:color w:val="auto"/>
        </w:rPr>
        <w:t>Gains (losses) on fair value hedge relationships:</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Commodity contracts: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Hedged item</w:t>
      </w:r>
    </w:p>
    <w:p>
      <w:pPr>
        <w:spacing w:after="0" w:line="42" w:lineRule="exact"/>
        <w:rPr>
          <w:sz w:val="20"/>
          <w:szCs w:val="20"/>
          <w:color w:val="auto"/>
        </w:rPr>
      </w:pPr>
    </w:p>
    <w:p>
      <w:pPr>
        <w:ind w:left="360" w:right="40"/>
        <w:spacing w:after="0" w:line="239" w:lineRule="auto"/>
        <w:rPr>
          <w:sz w:val="20"/>
          <w:szCs w:val="20"/>
          <w:color w:val="auto"/>
        </w:rPr>
      </w:pPr>
      <w:r>
        <w:rPr>
          <w:rFonts w:ascii="Arial" w:cs="Arial" w:eastAsia="Arial" w:hAnsi="Arial"/>
          <w:sz w:val="14"/>
          <w:szCs w:val="14"/>
          <w:color w:val="auto"/>
        </w:rPr>
        <w:t>Derivatives designated as hedging instruments</w:t>
      </w:r>
    </w:p>
    <w:p>
      <w:pPr>
        <w:spacing w:after="0" w:line="17" w:lineRule="exact"/>
        <w:rPr>
          <w:sz w:val="20"/>
          <w:szCs w:val="20"/>
          <w:color w:val="auto"/>
        </w:rPr>
      </w:pPr>
    </w:p>
    <w:p>
      <w:pPr>
        <w:ind w:left="140" w:right="140"/>
        <w:spacing w:after="0" w:line="239" w:lineRule="auto"/>
        <w:rPr>
          <w:sz w:val="20"/>
          <w:szCs w:val="20"/>
          <w:color w:val="auto"/>
        </w:rPr>
      </w:pPr>
      <w:r>
        <w:rPr>
          <w:rFonts w:ascii="Arial" w:cs="Arial" w:eastAsia="Arial" w:hAnsi="Arial"/>
          <w:sz w:val="14"/>
          <w:szCs w:val="14"/>
          <w:color w:val="auto"/>
        </w:rPr>
        <w:t>Gains (losses) on cash flow hedge relationships:</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Commodity contracts:</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Amount of gains (losses)</w:t>
      </w:r>
    </w:p>
    <w:p>
      <w:pPr>
        <w:ind w:left="360" w:right="500"/>
        <w:spacing w:after="0" w:line="211" w:lineRule="auto"/>
        <w:rPr>
          <w:sz w:val="20"/>
          <w:szCs w:val="20"/>
          <w:color w:val="auto"/>
        </w:rPr>
      </w:pPr>
      <w:r>
        <w:rPr>
          <w:rFonts w:ascii="Arial" w:cs="Arial" w:eastAsia="Arial" w:hAnsi="Arial"/>
          <w:sz w:val="14"/>
          <w:szCs w:val="14"/>
          <w:color w:val="auto"/>
        </w:rPr>
        <w:t>reclassified from Accumulated other</w:t>
      </w:r>
    </w:p>
    <w:p>
      <w:pPr>
        <w:ind w:left="360"/>
        <w:spacing w:after="0" w:line="222" w:lineRule="auto"/>
        <w:rPr>
          <w:sz w:val="20"/>
          <w:szCs w:val="20"/>
          <w:color w:val="auto"/>
        </w:rPr>
      </w:pPr>
      <w:r>
        <w:rPr>
          <w:rFonts w:ascii="Arial" w:cs="Arial" w:eastAsia="Arial" w:hAnsi="Arial"/>
          <w:sz w:val="14"/>
          <w:szCs w:val="14"/>
          <w:color w:val="auto"/>
        </w:rPr>
        <w:t>comprehensive income</w:t>
      </w:r>
    </w:p>
    <w:p>
      <w:pPr>
        <w:ind w:left="360" w:right="300"/>
        <w:spacing w:after="0" w:line="229" w:lineRule="auto"/>
        <w:rPr>
          <w:sz w:val="20"/>
          <w:szCs w:val="20"/>
          <w:color w:val="auto"/>
        </w:rPr>
      </w:pPr>
      <w:r>
        <w:rPr>
          <w:rFonts w:ascii="Arial" w:cs="Arial" w:eastAsia="Arial" w:hAnsi="Arial"/>
          <w:sz w:val="14"/>
          <w:szCs w:val="14"/>
          <w:color w:val="auto"/>
        </w:rPr>
        <w:t>(loss) into Net income (loss)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rate contract:</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Amount of gains (losses)</w:t>
      </w:r>
    </w:p>
    <w:p>
      <w:pPr>
        <w:ind w:left="360" w:right="500"/>
        <w:spacing w:after="0" w:line="211" w:lineRule="auto"/>
        <w:rPr>
          <w:sz w:val="20"/>
          <w:szCs w:val="20"/>
          <w:color w:val="auto"/>
        </w:rPr>
      </w:pPr>
      <w:r>
        <w:rPr>
          <w:rFonts w:ascii="Arial" w:cs="Arial" w:eastAsia="Arial" w:hAnsi="Arial"/>
          <w:sz w:val="14"/>
          <w:szCs w:val="14"/>
          <w:color w:val="auto"/>
        </w:rPr>
        <w:t>reclassified from Accumulated other</w:t>
      </w:r>
    </w:p>
    <w:p>
      <w:pPr>
        <w:ind w:left="360"/>
        <w:spacing w:after="0" w:line="222" w:lineRule="auto"/>
        <w:rPr>
          <w:sz w:val="20"/>
          <w:szCs w:val="20"/>
          <w:color w:val="auto"/>
        </w:rPr>
      </w:pPr>
      <w:r>
        <w:rPr>
          <w:rFonts w:ascii="Arial" w:cs="Arial" w:eastAsia="Arial" w:hAnsi="Arial"/>
          <w:sz w:val="14"/>
          <w:szCs w:val="14"/>
          <w:color w:val="auto"/>
        </w:rPr>
        <w:t>comprehensive income</w:t>
      </w:r>
    </w:p>
    <w:p>
      <w:pPr>
        <w:ind w:left="360" w:right="300"/>
        <w:spacing w:after="0" w:line="229" w:lineRule="auto"/>
        <w:rPr>
          <w:sz w:val="20"/>
          <w:szCs w:val="20"/>
          <w:color w:val="auto"/>
        </w:rPr>
      </w:pPr>
      <w:r>
        <w:rPr>
          <w:rFonts w:ascii="Arial" w:cs="Arial" w:eastAsia="Arial" w:hAnsi="Arial"/>
          <w:sz w:val="14"/>
          <w:szCs w:val="14"/>
          <w:color w:val="auto"/>
        </w:rPr>
        <w:t>(loss) into Net income (loss)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amount of income and</w:t>
      </w:r>
    </w:p>
    <w:p>
      <w:pPr>
        <w:ind w:left="20" w:right="180"/>
        <w:spacing w:after="0" w:line="229" w:lineRule="auto"/>
        <w:rPr>
          <w:sz w:val="20"/>
          <w:szCs w:val="20"/>
          <w:color w:val="auto"/>
        </w:rPr>
      </w:pPr>
      <w:r>
        <w:rPr>
          <w:rFonts w:ascii="Arial" w:cs="Arial" w:eastAsia="Arial" w:hAnsi="Arial"/>
          <w:sz w:val="14"/>
          <w:szCs w:val="14"/>
          <w:color w:val="auto"/>
        </w:rPr>
        <w:t>expense line items excluding the impact of hedges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Interest</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Interest</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rPr>
              <w:t>expense and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expense and</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expense and</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Cost of</w:t>
            </w:r>
          </w:p>
        </w:tc>
        <w:tc>
          <w:tcPr>
            <w:tcW w:w="120" w:type="dxa"/>
            <w:vAlign w:val="bottom"/>
          </w:tcPr>
          <w:p>
            <w:pPr>
              <w:spacing w:after="0"/>
              <w:rPr>
                <w:sz w:val="11"/>
                <w:szCs w:val="11"/>
                <w:color w:val="auto"/>
              </w:rPr>
            </w:pPr>
          </w:p>
        </w:tc>
        <w:tc>
          <w:tcPr>
            <w:tcW w:w="8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Revenue</w:t>
            </w: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financing</w:t>
            </w: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financing</w:t>
            </w: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89"/>
        </w:trPr>
        <w:tc>
          <w:tcPr>
            <w:tcW w:w="1020" w:type="dxa"/>
            <w:vAlign w:val="bottom"/>
            <w:gridSpan w:val="2"/>
            <w:vMerge w:val="continue"/>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costs, net</w:t>
            </w:r>
          </w:p>
        </w:tc>
        <w:tc>
          <w:tcPr>
            <w:tcW w:w="1000" w:type="dxa"/>
            <w:vAlign w:val="bottom"/>
            <w:gridSpan w:val="2"/>
            <w:vMerge w:val="continue"/>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costs, net</w:t>
            </w:r>
          </w:p>
        </w:tc>
        <w:tc>
          <w:tcPr>
            <w:tcW w:w="980" w:type="dxa"/>
            <w:vAlign w:val="bottom"/>
            <w:gridSpan w:val="2"/>
            <w:vMerge w:val="continue"/>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rPr>
              <w:t>costs, net</w:t>
            </w:r>
          </w:p>
        </w:tc>
        <w:tc>
          <w:tcPr>
            <w:tcW w:w="0" w:type="dxa"/>
            <w:vAlign w:val="bottom"/>
          </w:tcPr>
          <w:p>
            <w:pPr>
              <w:spacing w:after="0"/>
              <w:rPr>
                <w:sz w:val="1"/>
                <w:szCs w:val="1"/>
                <w:color w:val="auto"/>
              </w:rPr>
            </w:pPr>
          </w:p>
        </w:tc>
      </w:tr>
      <w:tr>
        <w:trPr>
          <w:trHeight w:val="603"/>
        </w:trPr>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   59,043.1</w:t>
            </w: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57,954.1</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110.6</w:t>
            </w: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31,337.0</w:t>
            </w: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30,548.8</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4"/>
                <w:szCs w:val="24"/>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   20,358.3</w:t>
            </w:r>
          </w:p>
        </w:tc>
        <w:tc>
          <w:tcPr>
            <w:tcW w:w="80" w:type="dxa"/>
            <w:vAlign w:val="bottom"/>
          </w:tcPr>
          <w:p>
            <w:pPr>
              <w:spacing w:after="0"/>
              <w:rPr>
                <w:sz w:val="24"/>
                <w:szCs w:val="24"/>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   19,506.5</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743"/>
        </w:trPr>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8"/>
        </w:trPr>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-1080770</wp:posOffset>
            </wp:positionV>
            <wp:extent cx="7132320" cy="403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9">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-462915</wp:posOffset>
            </wp:positionV>
            <wp:extent cx="7132320" cy="128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-206375</wp:posOffset>
            </wp:positionV>
            <wp:extent cx="7132320" cy="214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221615</wp:posOffset>
            </wp:positionV>
            <wp:extent cx="71323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0"/>
        <w:spacing w:after="0"/>
        <w:tabs>
          <w:tab w:leader="none" w:pos="1640" w:val="left"/>
          <w:tab w:leader="none" w:pos="2740" w:val="left"/>
          <w:tab w:leader="none" w:pos="3540" w:val="left"/>
          <w:tab w:leader="none" w:pos="4520" w:val="left"/>
          <w:tab w:leader="none" w:pos="5900" w:val="left"/>
          <w:tab w:leader="none" w:pos="6760" w:val="left"/>
          <w:tab w:leader="none" w:pos="7640" w:val="left"/>
          <w:tab w:leader="none" w:pos="8920" w:val="left"/>
        </w:tabs>
        <w:rPr>
          <w:sz w:val="20"/>
          <w:szCs w:val="20"/>
          <w:color w:val="auto"/>
        </w:rPr>
      </w:pPr>
      <w:r>
        <w:rPr>
          <w:rFonts w:ascii="Arial" w:cs="Arial" w:eastAsia="Arial" w:hAnsi="Arial"/>
          <w:sz w:val="14"/>
          <w:szCs w:val="14"/>
          <w:color w:val="auto"/>
        </w:rPr>
        <w:t>(164.5)</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(56.7)</w:t>
      </w:r>
      <w:r>
        <w:rPr>
          <w:sz w:val="20"/>
          <w:szCs w:val="20"/>
          <w:color w:val="auto"/>
        </w:rPr>
        <w:tab/>
      </w:r>
      <w:r>
        <w:rPr>
          <w:rFonts w:ascii="Arial" w:cs="Arial" w:eastAsia="Arial" w:hAnsi="Arial"/>
          <w:sz w:val="14"/>
          <w:szCs w:val="14"/>
          <w:color w:val="auto"/>
        </w:rPr>
        <w:t>319.0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31.3</w:t>
      </w:r>
      <w:r>
        <w:rPr>
          <w:sz w:val="20"/>
          <w:szCs w:val="20"/>
          <w:color w:val="auto"/>
        </w:rPr>
        <w:tab/>
      </w:r>
      <w:r>
        <w:rPr>
          <w:rFonts w:ascii="Arial" w:cs="Arial" w:eastAsia="Arial" w:hAnsi="Arial"/>
          <w:sz w:val="14"/>
          <w:szCs w:val="14"/>
          <w:color w:val="auto"/>
        </w:rPr>
        <w:t>(181.1)</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14605</wp:posOffset>
            </wp:positionV>
            <wp:extent cx="71323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439"/>
        </w:trPr>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   59,207.7</w:t>
            </w:r>
          </w:p>
        </w:tc>
        <w:tc>
          <w:tcPr>
            <w:tcW w:w="1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57,948.6</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31,393.6</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30,865.6</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20,327.0</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19,326.6</w:t>
            </w:r>
          </w:p>
        </w:tc>
        <w:tc>
          <w:tcPr>
            <w:tcW w:w="8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w:t>
            </w:r>
          </w:p>
        </w:tc>
      </w:tr>
      <w:tr>
        <w:trPr>
          <w:trHeight w:val="27"/>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-325120</wp:posOffset>
            </wp:positionV>
            <wp:extent cx="7132320"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40"/>
            <w:col w:w="9160"/>
          </w:cols>
          <w:pgMar w:left="320" w:top="140"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presents, on a pre-tax basis, the amounts not recorded in Accumulated other comprehensive income (loss) due to intra-period settlement but recognized in Revenue and Cost of revenue in our Consolidated Statements of Income and Comprehensive Income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Gain (loss) not recorded in Accumulated other</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9"/>
              </w:rPr>
              <w:t>Year Ended 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740" w:type="dxa"/>
            <w:vAlign w:val="bottom"/>
            <w:gridSpan w:val="2"/>
            <w:vMerge w:val="restart"/>
          </w:tcPr>
          <w:p>
            <w:pPr>
              <w:jc w:val="center"/>
              <w:ind w:right="120"/>
              <w:spacing w:after="0" w:line="122" w:lineRule="exact"/>
              <w:rPr>
                <w:sz w:val="20"/>
                <w:szCs w:val="20"/>
                <w:color w:val="auto"/>
              </w:rPr>
            </w:pPr>
            <w:r>
              <w:rPr>
                <w:rFonts w:ascii="Arial" w:cs="Arial" w:eastAsia="Arial" w:hAnsi="Arial"/>
                <w:sz w:val="13"/>
                <w:szCs w:val="13"/>
                <w:b w:val="1"/>
                <w:bCs w:val="1"/>
                <w:color w:val="auto"/>
              </w:rPr>
              <w:t>comprehensive income (loss) due to intra-period</w:t>
            </w:r>
          </w:p>
        </w:tc>
        <w:tc>
          <w:tcPr>
            <w:tcW w:w="2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4740" w:type="dxa"/>
            <w:vAlign w:val="bottom"/>
            <w:gridSpan w:val="2"/>
            <w:vMerge w:val="continue"/>
          </w:tcPr>
          <w:p>
            <w:pPr>
              <w:spacing w:after="0"/>
              <w:rPr>
                <w:sz w:val="4"/>
                <w:szCs w:val="4"/>
                <w:color w:val="auto"/>
              </w:rPr>
            </w:pPr>
          </w:p>
        </w:tc>
        <w:tc>
          <w:tcPr>
            <w:tcW w:w="21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settlement</w:t>
            </w:r>
          </w:p>
        </w:tc>
        <w:tc>
          <w:tcPr>
            <w:tcW w:w="120" w:type="dxa"/>
            <w:vAlign w:val="bottom"/>
            <w:vMerge w:val="restart"/>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81"/>
        </w:trPr>
        <w:tc>
          <w:tcPr>
            <w:tcW w:w="46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years ended December 31, 2022, 2021 and 2020, there were no gains or losses recognized in earnings related to our fair value or cash flow hedges that were excluded from the assessment of hedge effectiveness.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on a pre-tax basis, $1.2 million and $0.2 million is scheduled to be reclassified from Accumulated other comprehensive loss over the next twelve months as a decrease to Revenue and a decrease to Cost of revenue, respectively, related to designated commodity cash flow hedges that will mature within the next twelve months.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effect and financial statement location of our derivative instruments in cash flow hedging relationships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and in our Consolidated Statements of Income and Comprehensive Income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80" w:type="dxa"/>
            <w:vAlign w:val="bottom"/>
            <w:gridSpan w:val="2"/>
          </w:tcPr>
          <w:p>
            <w:pPr>
              <w:ind w:left="320"/>
              <w:spacing w:after="0"/>
              <w:rPr>
                <w:sz w:val="20"/>
                <w:szCs w:val="20"/>
                <w:color w:val="auto"/>
              </w:rPr>
            </w:pPr>
            <w:r>
              <w:rPr>
                <w:rFonts w:ascii="Arial" w:cs="Arial" w:eastAsia="Arial" w:hAnsi="Arial"/>
                <w:sz w:val="18"/>
                <w:szCs w:val="18"/>
                <w:b w:val="1"/>
                <w:bCs w:val="1"/>
                <w:color w:val="auto"/>
              </w:rPr>
              <w:t>Amount of gain (loss) recognized in Accumulated other comprehensive</w:t>
            </w: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50"/>
        </w:trPr>
        <w:tc>
          <w:tcPr>
            <w:tcW w:w="674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income (loss), net of income tax (expense) benefit</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Commodity contracts (Cost of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22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88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r>
      <w:tr>
        <w:trPr>
          <w:trHeight w:val="20"/>
        </w:trPr>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 of gain (loss) reclassified from Accumulated other</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24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rPr>
              <w:t>comprehensive income (loss) into Net income, net of</w:t>
            </w:r>
          </w:p>
        </w:tc>
        <w:tc>
          <w:tcPr>
            <w:tcW w:w="2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120" w:type="dxa"/>
            <w:vAlign w:val="bottom"/>
            <w:vMerge w:val="restart"/>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240" w:type="dxa"/>
            <w:vAlign w:val="bottom"/>
            <w:gridSpan w:val="2"/>
            <w:vMerge w:val="continue"/>
          </w:tcPr>
          <w:p>
            <w:pPr>
              <w:spacing w:after="0"/>
              <w:rPr>
                <w:sz w:val="5"/>
                <w:szCs w:val="5"/>
                <w:color w:val="auto"/>
              </w:rPr>
            </w:pPr>
          </w:p>
        </w:tc>
        <w:tc>
          <w:tcPr>
            <w:tcW w:w="25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9"/>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 tax (expense) benefit</w:t>
            </w:r>
          </w:p>
        </w:tc>
        <w:tc>
          <w:tcPr>
            <w:tcW w:w="10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188"/>
        </w:trPr>
        <w:tc>
          <w:tcPr>
            <w:tcW w:w="4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Interest expense and other</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 costs, net</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Not Designated as Hedging Instruments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amount and financial statement location in our Consolidated Statements of Income and Comprehensive Income of realized and unrealized gains (losses) recognized on derivative instruments not designated as hedging instruments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0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 Instruments -</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Non-designated</w:t>
            </w:r>
          </w:p>
        </w:tc>
        <w:tc>
          <w:tcPr>
            <w:tcW w:w="140" w:type="dxa"/>
            <w:vAlign w:val="bottom"/>
            <w:tcBorders>
              <w:bottom w:val="single" w:sz="8" w:color="CCEEFF"/>
            </w:tcBorders>
          </w:tcPr>
          <w:p>
            <w:pPr>
              <w:spacing w:after="0"/>
              <w:rPr>
                <w:sz w:val="21"/>
                <w:szCs w:val="21"/>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gains (losses)</w:t>
            </w:r>
          </w:p>
        </w:tc>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ind w:left="1640"/>
              <w:spacing w:after="0"/>
              <w:rPr>
                <w:sz w:val="20"/>
                <w:szCs w:val="20"/>
                <w:color w:val="auto"/>
              </w:rPr>
            </w:pPr>
            <w:r>
              <w:rPr>
                <w:rFonts w:ascii="Arial" w:cs="Arial" w:eastAsia="Arial" w:hAnsi="Arial"/>
                <w:sz w:val="14"/>
                <w:szCs w:val="14"/>
                <w:color w:val="auto"/>
              </w:rPr>
              <w:t>61</w:t>
            </w: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9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These credit events may include the requirement to post additional collateral or the immediate settlement of the derivative instruments upon the occurrence of a credit downgrade or if certain defined financial ratios fall below an established threshold.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potential collateral requirements for derivative liabilities with credit-risk-contingent features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p>
        </w:tc>
        <w:tc>
          <w:tcPr>
            <w:tcW w:w="31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liability positions with credit contingent features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72.5</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Collateral posted and held by our counterparties</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(28.7)</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additional potential collateral requirements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43.8</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carrying amounts of cash and cash equivalents, net accounts receivable, accounts payable and accrued expenses and other current liabilities approximate fair value based on their short-term maturities. The carrying values of our debt and notes receivable approximate fair value as these instruments bear interest either at variable rates or fixed rates, which are not significantly different from market rates. The fair value measurements for our debt and notes receivable are considered to be Level 2 measurements based on the fair value hierarchy.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present information about our gross assets and liabilities that are measured at fair value on a recurring basis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gridSpan w:val="10"/>
          </w:tcPr>
          <w:p>
            <w:pPr>
              <w:jc w:val="right"/>
              <w:ind w:right="690"/>
              <w:spacing w:after="0"/>
              <w:rPr>
                <w:sz w:val="20"/>
                <w:szCs w:val="20"/>
                <w:color w:val="auto"/>
              </w:rPr>
            </w:pPr>
            <w:r>
              <w:rPr>
                <w:rFonts w:ascii="Arial" w:cs="Arial" w:eastAsia="Arial" w:hAnsi="Arial"/>
                <w:sz w:val="18"/>
                <w:szCs w:val="18"/>
                <w:b w:val="1"/>
                <w:bCs w:val="1"/>
                <w:color w:val="auto"/>
              </w:rPr>
              <w:t>Fair Value Measurements as of December 31, 2022</w:t>
            </w: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Level 1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2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3 Inputs</w:t>
            </w:r>
          </w:p>
        </w:tc>
        <w:tc>
          <w:tcPr>
            <w:tcW w:w="200" w:type="dxa"/>
            <w:vAlign w:val="bottom"/>
          </w:tcPr>
          <w:p>
            <w:pPr>
              <w:spacing w:after="0"/>
              <w:rPr>
                <w:sz w:val="14"/>
                <w:szCs w:val="14"/>
                <w:color w:val="auto"/>
              </w:rPr>
            </w:pPr>
          </w:p>
        </w:tc>
        <w:tc>
          <w:tcPr>
            <w:tcW w:w="114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496.2</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4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1,361.8</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1,452.1</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4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552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rPr>
              <w:t>62</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1400" w:type="dxa"/>
            <w:vAlign w:val="bottom"/>
            <w:tcBorders>
              <w:top w:val="single" w:sz="8" w:color="0000FF"/>
            </w:tcBorders>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10"/>
          </w:tcPr>
          <w:p>
            <w:pPr>
              <w:jc w:val="right"/>
              <w:ind w:right="670"/>
              <w:spacing w:after="0"/>
              <w:rPr>
                <w:sz w:val="20"/>
                <w:szCs w:val="20"/>
                <w:color w:val="auto"/>
              </w:rPr>
            </w:pPr>
            <w:r>
              <w:rPr>
                <w:rFonts w:ascii="Arial" w:cs="Arial" w:eastAsia="Arial" w:hAnsi="Arial"/>
                <w:sz w:val="18"/>
                <w:szCs w:val="18"/>
                <w:b w:val="1"/>
                <w:bCs w:val="1"/>
                <w:color w:val="auto"/>
              </w:rPr>
              <w:t>Fair Value Measurements as of December 31, 2021</w:t>
            </w: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1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2 Inputs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Level 3 Inputs</w:t>
            </w:r>
          </w:p>
        </w:tc>
        <w:tc>
          <w:tcPr>
            <w:tcW w:w="180" w:type="dxa"/>
            <w:vAlign w:val="bottom"/>
          </w:tcPr>
          <w:p>
            <w:pPr>
              <w:spacing w:after="0"/>
              <w:rPr>
                <w:sz w:val="14"/>
                <w:szCs w:val="14"/>
                <w:color w:val="auto"/>
              </w:rPr>
            </w:pPr>
          </w:p>
        </w:tc>
        <w:tc>
          <w:tcPr>
            <w:tcW w:w="114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46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247.6</w:t>
            </w:r>
          </w:p>
        </w:tc>
        <w:tc>
          <w:tcPr>
            <w:tcW w:w="1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763.5</w:t>
            </w: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Interest rate contract</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Total liabilities at fair value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elected to offset the recognized fair value amounts for multiple derivative instruments executed with the same counterparty in our financial statements when a legal right of offset exists. The following tables summarize those derivative balances subject to the right of offset as presented on our Consolidated Balance Sheets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w w:val="98"/>
              </w:rPr>
              <w:t>Fair Value as of December 31, 2022</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3"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6"/>
                <w:szCs w:val="16"/>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80"/>
              <w:spacing w:after="0" w:line="185" w:lineRule="exact"/>
              <w:rPr>
                <w:sz w:val="20"/>
                <w:szCs w:val="20"/>
                <w:color w:val="auto"/>
              </w:rPr>
            </w:pPr>
            <w:r>
              <w:rPr>
                <w:rFonts w:ascii="Arial" w:cs="Arial" w:eastAsia="Arial" w:hAnsi="Arial"/>
                <w:sz w:val="18"/>
                <w:szCs w:val="18"/>
                <w:b w:val="1"/>
                <w:bCs w:val="1"/>
                <w:color w:val="auto"/>
                <w:w w:val="99"/>
              </w:rPr>
              <w:t>Amounts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333333"/>
              </w:rPr>
              <w:t>Net Amounts</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Cash</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Without</w:t>
            </w:r>
          </w:p>
        </w:tc>
        <w:tc>
          <w:tcPr>
            <w:tcW w:w="140" w:type="dxa"/>
            <w:vAlign w:val="bottom"/>
          </w:tcPr>
          <w:p>
            <w:pPr>
              <w:spacing w:after="0"/>
              <w:rPr>
                <w:sz w:val="15"/>
                <w:szCs w:val="15"/>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333333"/>
              </w:rPr>
              <w:t>Net</w:t>
            </w: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9"/>
              </w:rPr>
              <w:t>Amounts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9"/>
              </w:rPr>
              <w:t>Amounts</w:t>
            </w:r>
          </w:p>
        </w:tc>
        <w:tc>
          <w:tcPr>
            <w:tcW w:w="13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Right of</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Recognized</w:t>
            </w:r>
          </w:p>
        </w:tc>
        <w:tc>
          <w:tcPr>
            <w:tcW w:w="16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333333"/>
              </w:rPr>
              <w:t>Presented</w:t>
            </w: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Collateral</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333333"/>
                <w:w w:val="99"/>
              </w:rPr>
              <w:t>Amounts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756.8</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541.1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1,452.1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755.6</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777.7</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713.1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8"/>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color w:val="auto"/>
              </w:rPr>
              <w:t>63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5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2"/>
        </w:trPr>
        <w:tc>
          <w:tcPr>
            <w:tcW w:w="1400" w:type="dxa"/>
            <w:vAlign w:val="bottom"/>
            <w:tcBorders>
              <w:top w:val="single" w:sz="8" w:color="0000FF"/>
            </w:tcBorders>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w w:val="98"/>
              </w:rPr>
              <w:t>Fair Value as of December 31, 2021</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4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3"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6"/>
                <w:szCs w:val="16"/>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80"/>
              <w:spacing w:after="0" w:line="185" w:lineRule="exact"/>
              <w:rPr>
                <w:sz w:val="20"/>
                <w:szCs w:val="20"/>
                <w:color w:val="auto"/>
              </w:rPr>
            </w:pPr>
            <w:r>
              <w:rPr>
                <w:rFonts w:ascii="Arial" w:cs="Arial" w:eastAsia="Arial" w:hAnsi="Arial"/>
                <w:sz w:val="18"/>
                <w:szCs w:val="18"/>
                <w:b w:val="1"/>
                <w:bCs w:val="1"/>
                <w:color w:val="auto"/>
                <w:w w:val="99"/>
              </w:rPr>
              <w:t>Amounts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333333"/>
              </w:rPr>
              <w:t>Net Amounts</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Cash</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Without</w:t>
            </w:r>
          </w:p>
        </w:tc>
        <w:tc>
          <w:tcPr>
            <w:tcW w:w="140" w:type="dxa"/>
            <w:vAlign w:val="bottom"/>
          </w:tcPr>
          <w:p>
            <w:pPr>
              <w:spacing w:after="0"/>
              <w:rPr>
                <w:sz w:val="15"/>
                <w:szCs w:val="15"/>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333333"/>
              </w:rPr>
              <w:t>Net</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9"/>
              </w:rPr>
              <w:t>Amounts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9"/>
              </w:rPr>
              <w:t>Amounts</w:t>
            </w:r>
          </w:p>
        </w:tc>
        <w:tc>
          <w:tcPr>
            <w:tcW w:w="13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Right of</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Recognized</w:t>
            </w:r>
          </w:p>
        </w:tc>
        <w:tc>
          <w:tcPr>
            <w:tcW w:w="16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333333"/>
              </w:rPr>
              <w:t>Presented</w:t>
            </w: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Collateral</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Offset</w:t>
            </w:r>
          </w:p>
        </w:tc>
        <w:tc>
          <w:tcPr>
            <w:tcW w:w="1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333333"/>
                <w:w w:val="99"/>
              </w:rPr>
              <w:t>Amounts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513.1</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513.1</w:t>
            </w:r>
          </w:p>
        </w:tc>
        <w:tc>
          <w:tcPr>
            <w:tcW w:w="14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2022 and 2021, we did not present any amounts gross on our Consolidated Balance Sheets where we had the right to offset.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individual over-the-counter ("OTC") counterparty exposure is managed within predetermined credit limits and includes the use of cash-call margins when appropriate, thereby reducing the risk of significant nonperformance. At December 31, 2022, three of our counterparties with a total exposure of $171.2 million represented over 10% of our credit exposure to OTC derivative counterparties, for which we held cash collateral of $14.8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values of nonrecurring assets or liabilities measured using Level 3 inputs were not material as of December 31, 2022 and 2021, respectively. The Flyers assets acquired and liabilities assumed were measured and recorded at their acquisition date fair values during the year ended December 31, 2022 as discussed in Note 3. Acquisitions and Divestitures.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quarter of 2021, we identified an impairment indicator with respect to certain long-lived assets within the land segment. We determined that the carrying amount of the asset group was not recoverable and recognized an asset impairment of $4.7 million during the year ended December 31, 2021. The fair value of the asset group was measured using an income approach based on estimated future cash flows as of the measurement date. Due to the significance of unobservable inputs, the measurement is categorized as Level 3.</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fourth quarter of 2020, we measured and recorded at fair value an equity method investment as a result of an other-than-temporary impairment. In calculating fair value, we used a combination of an income and market approach. Under the market approach, we used a selection of global companies that compares with the investment. Under the income approach, we used estimated future cash flows based on information available to us. Due to the significance of unobservable inputs, the measurement is categorized in Level 3.</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tcPr>
          <w:p>
            <w:pPr>
              <w:spacing w:after="0"/>
              <w:rPr>
                <w:sz w:val="20"/>
                <w:szCs w:val="20"/>
                <w:color w:val="auto"/>
              </w:rPr>
            </w:pPr>
            <w:r>
              <w:rPr>
                <w:rFonts w:ascii="Arial" w:cs="Arial" w:eastAsia="Arial" w:hAnsi="Arial"/>
                <w:sz w:val="18"/>
                <w:szCs w:val="18"/>
                <w:b w:val="1"/>
                <w:bCs w:val="1"/>
                <w:color w:val="auto"/>
              </w:rPr>
              <w:t>6. Goodwill and Identifiable Intangible Assets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06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820" w:type="dxa"/>
            <w:vAlign w:val="bottom"/>
            <w:gridSpan w:val="4"/>
          </w:tcPr>
          <w:p>
            <w:pPr>
              <w:spacing w:after="0"/>
              <w:rPr>
                <w:sz w:val="20"/>
                <w:szCs w:val="20"/>
                <w:color w:val="auto"/>
              </w:rPr>
            </w:pPr>
            <w:r>
              <w:rPr>
                <w:rFonts w:ascii="Arial" w:cs="Arial" w:eastAsia="Arial" w:hAnsi="Arial"/>
                <w:sz w:val="18"/>
                <w:szCs w:val="18"/>
                <w:color w:val="auto"/>
              </w:rPr>
              <w:t>The following table provides information regarding changes in goodwill (in millions):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Aviation</w:t>
            </w:r>
          </w:p>
        </w:tc>
        <w:tc>
          <w:tcPr>
            <w:tcW w:w="28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Land</w:t>
            </w:r>
          </w:p>
        </w:tc>
        <w:tc>
          <w:tcPr>
            <w:tcW w:w="360" w:type="dxa"/>
            <w:vAlign w:val="bottom"/>
          </w:tcPr>
          <w:p>
            <w:pPr>
              <w:spacing w:after="0"/>
              <w:rPr>
                <w:sz w:val="24"/>
                <w:szCs w:val="24"/>
                <w:color w:val="auto"/>
              </w:rPr>
            </w:pPr>
          </w:p>
        </w:tc>
        <w:tc>
          <w:tcPr>
            <w:tcW w:w="13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Segment</w:t>
            </w:r>
          </w:p>
        </w:tc>
        <w:tc>
          <w:tcPr>
            <w:tcW w:w="280" w:type="dxa"/>
            <w:vAlign w:val="bottom"/>
          </w:tcPr>
          <w:p>
            <w:pPr>
              <w:spacing w:after="0"/>
              <w:rPr>
                <w:sz w:val="21"/>
                <w:szCs w:val="21"/>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Segment</w:t>
            </w:r>
          </w:p>
        </w:tc>
        <w:tc>
          <w:tcPr>
            <w:tcW w:w="3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2021 acquisition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8"/>
        </w:trPr>
        <w:tc>
          <w:tcPr>
            <w:tcW w:w="6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Foreign currency translation of non-USD functional currency subsidiary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As of December 31, 2021</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2022 acquisitions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188"/>
        </w:trPr>
        <w:tc>
          <w:tcPr>
            <w:tcW w:w="6060" w:type="dxa"/>
            <w:vAlign w:val="bottom"/>
          </w:tcPr>
          <w:p>
            <w:pPr>
              <w:ind w:left="20"/>
              <w:spacing w:after="0" w:line="189" w:lineRule="exact"/>
              <w:rPr>
                <w:sz w:val="20"/>
                <w:szCs w:val="20"/>
                <w:color w:val="auto"/>
              </w:rPr>
            </w:pPr>
            <w:r>
              <w:rPr>
                <w:rFonts w:ascii="Arial" w:cs="Arial" w:eastAsia="Arial" w:hAnsi="Arial"/>
                <w:sz w:val="18"/>
                <w:szCs w:val="18"/>
                <w:color w:val="auto"/>
              </w:rPr>
              <w:t>Foreign currency translation of non-USD functional currency subsidiary</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See Note 3. Acquisitions and Divestitures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identifiable intangible assets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As of December 31, 2022</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As of December 31, 2021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Gross</w:t>
            </w:r>
          </w:p>
        </w:tc>
        <w:tc>
          <w:tcPr>
            <w:tcW w:w="160" w:type="dxa"/>
            <w:vAlign w:val="bottom"/>
          </w:tcPr>
          <w:p>
            <w:pPr>
              <w:spacing w:after="0"/>
              <w:rPr>
                <w:sz w:val="14"/>
                <w:szCs w:val="1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Carrying</w:t>
            </w:r>
          </w:p>
        </w:tc>
        <w:tc>
          <w:tcPr>
            <w:tcW w:w="1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Carrying</w:t>
            </w:r>
          </w:p>
        </w:tc>
        <w:tc>
          <w:tcPr>
            <w:tcW w:w="16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21"/>
                <w:szCs w:val="21"/>
                <w:color w:val="auto"/>
              </w:rPr>
            </w:pPr>
          </w:p>
        </w:tc>
        <w:tc>
          <w:tcPr>
            <w:tcW w:w="1660" w:type="dxa"/>
            <w:vAlign w:val="bottom"/>
            <w:gridSpan w:val="2"/>
          </w:tcPr>
          <w:p>
            <w:pPr>
              <w:jc w:val="center"/>
              <w:ind w:right="300"/>
              <w:spacing w:after="0" w:line="243" w:lineRule="exact"/>
              <w:rPr>
                <w:sz w:val="20"/>
                <w:szCs w:val="20"/>
                <w:color w:val="auto"/>
              </w:rPr>
            </w:pPr>
            <w:r>
              <w:rPr>
                <w:rFonts w:ascii="Arial" w:cs="Arial" w:eastAsia="Arial" w:hAnsi="Arial"/>
                <w:sz w:val="18"/>
                <w:szCs w:val="18"/>
                <w:b w:val="1"/>
                <w:bCs w:val="1"/>
                <w:color w:val="auto"/>
                <w:w w:val="95"/>
              </w:rPr>
              <w:t xml:space="preserve">Amortization </w:t>
            </w:r>
            <w:r>
              <w:rPr>
                <w:rFonts w:ascii="Arial" w:cs="Arial" w:eastAsia="Arial" w:hAnsi="Arial"/>
                <w:sz w:val="23"/>
                <w:szCs w:val="23"/>
                <w:b w:val="1"/>
                <w:bCs w:val="1"/>
                <w:color w:val="auto"/>
                <w:w w:val="95"/>
                <w:vertAlign w:val="superscript"/>
              </w:rPr>
              <w:t>(1)</w:t>
            </w:r>
          </w:p>
        </w:tc>
        <w:tc>
          <w:tcPr>
            <w:tcW w:w="2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21"/>
                <w:szCs w:val="21"/>
                <w:color w:val="auto"/>
              </w:rPr>
            </w:pPr>
          </w:p>
        </w:tc>
        <w:tc>
          <w:tcPr>
            <w:tcW w:w="1680" w:type="dxa"/>
            <w:vAlign w:val="bottom"/>
            <w:gridSpan w:val="2"/>
          </w:tcPr>
          <w:p>
            <w:pPr>
              <w:jc w:val="center"/>
              <w:ind w:right="300"/>
              <w:spacing w:after="0" w:line="243" w:lineRule="exact"/>
              <w:rPr>
                <w:sz w:val="20"/>
                <w:szCs w:val="20"/>
                <w:color w:val="auto"/>
              </w:rPr>
            </w:pPr>
            <w:r>
              <w:rPr>
                <w:rFonts w:ascii="Arial" w:cs="Arial" w:eastAsia="Arial" w:hAnsi="Arial"/>
                <w:sz w:val="18"/>
                <w:szCs w:val="18"/>
                <w:b w:val="1"/>
                <w:bCs w:val="1"/>
                <w:color w:val="auto"/>
                <w:w w:val="97"/>
              </w:rPr>
              <w:t xml:space="preserve">Amortization </w:t>
            </w:r>
            <w:r>
              <w:rPr>
                <w:rFonts w:ascii="Arial" w:cs="Arial" w:eastAsia="Arial" w:hAnsi="Arial"/>
                <w:sz w:val="23"/>
                <w:szCs w:val="23"/>
                <w:b w:val="1"/>
                <w:bCs w:val="1"/>
                <w:color w:val="auto"/>
                <w:w w:val="97"/>
                <w:vertAlign w:val="superscript"/>
              </w:rPr>
              <w:t>(1)</w:t>
            </w: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308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Intangible assets subject to</w:t>
            </w: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509.0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292.6</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216.4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406.5</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261.9</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Supplier agreements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68"/>
        </w:trPr>
        <w:tc>
          <w:tcPr>
            <w:tcW w:w="30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Total intangible assets subject to</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Intangible assets not subject to</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 / trade name rights</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685.9</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foreign exchange.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2022, 2021 and 2020 was $43.4 million, $30.1 million and $33.1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future estimated amortization of our identifiable intangible assets is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5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2024</w:t>
            </w:r>
          </w:p>
        </w:tc>
        <w:tc>
          <w:tcPr>
            <w:tcW w:w="5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2026</w:t>
            </w:r>
          </w:p>
        </w:tc>
        <w:tc>
          <w:tcPr>
            <w:tcW w:w="5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5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3676"/>
              <w:spacing w:after="0"/>
              <w:rPr>
                <w:sz w:val="20"/>
                <w:szCs w:val="20"/>
                <w:color w:val="auto"/>
              </w:rPr>
            </w:pPr>
            <w:r>
              <w:rPr>
                <w:rFonts w:ascii="Arial" w:cs="Arial" w:eastAsia="Arial" w:hAnsi="Arial"/>
                <w:sz w:val="14"/>
                <w:szCs w:val="14"/>
                <w:color w:val="auto"/>
              </w:rPr>
              <w:t>65</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38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880" w:type="dxa"/>
            <w:vAlign w:val="bottom"/>
            <w:tcBorders>
              <w:bottom w:val="single" w:sz="8" w:color="9A9A9A"/>
            </w:tcBorders>
          </w:tcPr>
          <w:p>
            <w:pPr>
              <w:spacing w:after="0"/>
              <w:rPr>
                <w:sz w:val="19"/>
                <w:szCs w:val="19"/>
                <w:color w:val="auto"/>
              </w:rPr>
            </w:pPr>
          </w:p>
        </w:tc>
        <w:tc>
          <w:tcPr>
            <w:tcW w:w="558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tcPr>
          <w:p>
            <w:pPr>
              <w:spacing w:after="0"/>
              <w:rPr>
                <w:sz w:val="20"/>
                <w:szCs w:val="20"/>
                <w:color w:val="auto"/>
              </w:rPr>
            </w:pPr>
            <w:r>
              <w:rPr>
                <w:rFonts w:ascii="Arial" w:cs="Arial" w:eastAsia="Arial" w:hAnsi="Arial"/>
                <w:sz w:val="18"/>
                <w:szCs w:val="18"/>
                <w:b w:val="1"/>
                <w:bCs w:val="1"/>
                <w:color w:val="auto"/>
              </w:rPr>
              <w:t>7. Debt, Interest Income, Expense, and Other Finance Costs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The following table provides information about our debt (in millions):</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78"/>
        </w:trPr>
        <w:tc>
          <w:tcPr>
            <w:tcW w:w="778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4"/>
                <w:szCs w:val="24"/>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488.4</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484.1</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 of long-term debt and finance leases</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30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See Note 13. Leases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Credit Agreement matures in April 2027 and provides for a revolving credit facility and term loan borrowings. On April 1, 2022, we entered into Amendment No. 8 to the Fourth Amended and Restated Credit Agreement, as further modified by Amendment No. 9 dated July 12, 2022 (as amended, the "Credit Agreement"), to: (i) increase the revolving credit facility provided under the Credit Agreement (the "Credit Facility") to $1.5 billion and provide a term loan of $500.0 million ("Term Loan"), thereby replacing the existing term loan and increasing the total facility to $2.0 billion; (ii) modify the pricing of the loans, including the reference rates for various currencies to reflect the discontinuation of LIBOR; (iii) extend the maturity to April 1, 2027; and (iv) modify certain financial and other covenants to provide greater operating flexibility.</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Credit Facility, up to $1.5 billion aggregate principal amount may be borrowed, repaid and redrawn, based upon specific financial ratios and subject to the satisfaction of other customary conditions to borrowing. Our Credit Facility includes a sublimit of $400.0 million for the issuance of letters of credit and bankers' acceptances, and we have the right to request increases in available borrowings up to an additional $200.0 million, subject to the satisfaction of certain conditions.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and 2021, we had issued letters of credit under the Credit Facility totaling $38.3 million and $46.6 million, respectively. As of December 31, 2022 and 2021, the unused portion of our Credit Facility was $1.1 billion and $1.2 billion, respectively. The unused portion of our Credit Facility is limited by, among other things, our consolidated total leverage ratio, which limits the total amount of indebtedness we may incur, and may, therefore, fluctuate from period to period.</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Borrowings under our Credit Facility and Term Loan related to base rate loans or Eurodollar rate loans bear floating interest rates plus applicable margins. As of December 31, 2022, the applicable margins for base rate loans and Eurodollar rate loans were 0.75% and 1.75%, respectively.</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Credit Agreement contains certain financial and other covenants with which we are required to comply. As of December 31, 2022, we were in compliance with all financial covenants contained in our Credit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Credit Lines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Outside of our Credit Facility, we have other uncommitted credit lines primarily for the issuance of letters of credit, bank guarantees and bankers’ acceptances. These credit lines are renewable on an annual basis and are subject to fees at market rates. As of December 31, 2022 and 2021, our outstanding letters of credit and bank guarantees under these credit lines totaled $523.1 million and $404.0 million, respectively.</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Maturities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aggregate annual maturities of debt are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6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2024</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2026</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Expense, and Other Financing Costs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interest expense and other financing costs, net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and other financing costs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and other financing costs, net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(110.6)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our short-term debt was 5.2% and 2.0% as of December 31, 2022 and 2021,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amount of property and equipment and their respective estimated useful lives are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Estimated</w:t>
            </w:r>
          </w:p>
        </w:tc>
      </w:tr>
      <w:tr>
        <w:trPr>
          <w:trHeight w:val="223"/>
        </w:trPr>
        <w:tc>
          <w:tcPr>
            <w:tcW w:w="60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Useful Lives</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3 - 40 years</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 furniture and fixtures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3 - 7 years</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Computer equipment and software costs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292.2</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258.4</w:t>
            </w:r>
          </w:p>
        </w:tc>
        <w:tc>
          <w:tcPr>
            <w:tcW w:w="1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3 - 9 years</w:t>
            </w: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Machinery, equipment and vehicles </w:t>
            </w:r>
            <w:r>
              <w:rPr>
                <w:rFonts w:ascii="Arial" w:cs="Arial" w:eastAsia="Arial" w:hAnsi="Arial"/>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3 - 40 years</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879.6</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687.3</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Accumulated depreciation and amortization </w:t>
            </w:r>
            <w:r>
              <w:rPr>
                <w:rFonts w:ascii="Arial" w:cs="Arial" w:eastAsia="Arial" w:hAnsi="Arial"/>
                <w:sz w:val="23"/>
                <w:szCs w:val="23"/>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Includes right of use assets associated with finance leases. See Note 13. Leases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2022, 2021 and 2020, we recorded depreciation expense of $64.4 million, $50.8 million and $52.7 million, respectively.</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amount of computer software costs, including capitalized internally developed software costs and certain hosting arrangement costs, included in property and equipment are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costs</w:t>
            </w:r>
          </w:p>
        </w:tc>
        <w:tc>
          <w:tcPr>
            <w:tcW w:w="48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7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costs, net</w:t>
            </w:r>
          </w:p>
        </w:tc>
        <w:tc>
          <w:tcPr>
            <w:tcW w:w="48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1996"/>
              <w:spacing w:after="0"/>
              <w:rPr>
                <w:sz w:val="20"/>
                <w:szCs w:val="20"/>
                <w:color w:val="auto"/>
              </w:rPr>
            </w:pPr>
            <w:r>
              <w:rPr>
                <w:rFonts w:ascii="Arial" w:cs="Arial" w:eastAsia="Arial" w:hAnsi="Arial"/>
                <w:sz w:val="14"/>
                <w:szCs w:val="14"/>
                <w:color w:val="auto"/>
              </w:rPr>
              <w:t>67</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40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60" w:type="dxa"/>
            <w:vAlign w:val="bottom"/>
            <w:tcBorders>
              <w:bottom w:val="single" w:sz="8" w:color="9A9A9A"/>
            </w:tcBorders>
          </w:tcPr>
          <w:p>
            <w:pPr>
              <w:spacing w:after="0"/>
              <w:rPr>
                <w:sz w:val="19"/>
                <w:szCs w:val="19"/>
                <w:color w:val="auto"/>
              </w:rPr>
            </w:pPr>
          </w:p>
        </w:tc>
        <w:tc>
          <w:tcPr>
            <w:tcW w:w="37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Included in capitalized computer software costs are costs incurred in connection with software development in progress of $5.2 million and $5.2 million as of December 31, 2022 and 2021, respectively. For 2022, 2021 and 2020, we recorded amortization expense related to computer software costs of $21.0 million, $17.6 million and $18.5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Our contracts with customers, which are primarily master sales agreements in combination with different types of nominations or standalone agreements, generally require us to deliver fuel and fuel-related products, while other arrangements require us to complete agreed-upon services. As our contracts go through a formal credit approval process, we only enter into contracts when we determine the amount we expect to be entitled to is probable of collection. Our billing and payment terms generally include monthly invoicing with average payment terms of one to three months.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concluded that each gallon or barrel represents a separate performance obligation, and revenue is recognized at the point in time when control of each gallon or barrel transfers to our customer. We may incur costs for the transportation of products to the delivery points. Reimbursements of such costs are normally included in the transaction price.</w:t>
      </w:r>
    </w:p>
    <w:p>
      <w:pPr>
        <w:spacing w:after="0" w:line="9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contracts may contain fixed pricing, variable pricing, or a combination. The pricing structures of our fuel sales that involve variable prices, such as market or index-based pricing or reimbursements of costs, typically correspond to our efforts to transfer the promised fuel, and we recognize revenue based on those variable prices for the related gallons or barrels that we have delivered.</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contracts with customers may include multi-year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We also have fixed price fuel and fuel-related product sale contracts with a contract term of less than one year (typically one month).</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earn an immaterial amount of revenue from contracts to provide services, including energy procurement advisory services, international trip planning support, and transaction and payment management processing, which typically represent a single performance obligation for the series of daily services.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in which we conduct business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1,200.9</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682.8</w:t>
            </w:r>
          </w:p>
        </w:tc>
        <w:tc>
          <w:tcPr>
            <w:tcW w:w="1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542.1</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3,419.5</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2,436.8</w:t>
            </w: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4,139.2</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2,989.4</w:t>
            </w:r>
          </w:p>
        </w:tc>
      </w:tr>
      <w:tr>
        <w:trPr>
          <w:trHeight w:val="196"/>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1,403.4</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2,491.8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1,744.5</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2,364.6</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1,630.8</w:t>
            </w:r>
          </w:p>
        </w:tc>
      </w:tr>
      <w:tr>
        <w:trPr>
          <w:trHeight w:val="223"/>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EMEA</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12,361.8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6,759.5</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4,778.7</w:t>
            </w:r>
          </w:p>
        </w:tc>
      </w:tr>
      <w:tr>
        <w:trPr>
          <w:trHeight w:val="196"/>
        </w:trPr>
        <w:tc>
          <w:tcPr>
            <w:tcW w:w="6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4,703.5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2,092.4</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1,069.9</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w:t>
            </w: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LATAM</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3,304.3</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1,993.5</w:t>
            </w:r>
          </w:p>
        </w:tc>
      </w:tr>
      <w:tr>
        <w:trPr>
          <w:trHeight w:val="196"/>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16,689.0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4,618.4</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14,028.8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7,251.5</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4,359.6</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r>
      <w:tr>
        <w:trPr>
          <w:trHeight w:val="223"/>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32,981.6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17,004.7</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9,829.6</w:t>
            </w:r>
          </w:p>
        </w:tc>
      </w:tr>
      <w:tr>
        <w:trPr>
          <w:trHeight w:val="196"/>
        </w:trPr>
        <w:tc>
          <w:tcPr>
            <w:tcW w:w="6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revenues (excluded from ASC 606)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767.1</w:t>
            </w:r>
          </w:p>
        </w:tc>
      </w:tr>
      <w:tr>
        <w:trPr>
          <w:trHeight w:val="216"/>
        </w:trPr>
        <w:tc>
          <w:tcPr>
            <w:tcW w:w="60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59,043.1</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31,337.0</w:t>
            </w: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20,358.3</w:t>
            </w: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revenue from derivatives, leases, and other transactions that we account for under separate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contract assets and contract liabilities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nature of the receivables related to revenue from contracts with customers and other revenues (excluded from ASC 606) are substantially similar, as they are both generated from transactions with the same type of counterparties (e.g., separate fuel sales and storage lease with the same counterparty) and are entered into utilizing the same credit approval and monitoring procedures for all customers. As such, we believe the risk associated with the cash flows from the different types of receivables is not meaningful to separately disaggregate the accounts receivable balance presented on our Consolidated Balance Sheets. As of December 31, 2022 and 2021, the contract assets and contracts liabilities recognized by the Company were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income before income taxes consist of the following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9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8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9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216"/>
              <w:spacing w:after="0"/>
              <w:rPr>
                <w:sz w:val="20"/>
                <w:szCs w:val="20"/>
                <w:color w:val="auto"/>
              </w:rPr>
            </w:pPr>
            <w:r>
              <w:rPr>
                <w:rFonts w:ascii="Arial" w:cs="Arial" w:eastAsia="Arial" w:hAnsi="Arial"/>
                <w:sz w:val="14"/>
                <w:szCs w:val="14"/>
                <w:color w:val="auto"/>
              </w:rPr>
              <w:t>69</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416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60" w:type="dxa"/>
            <w:vAlign w:val="bottom"/>
            <w:tcBorders>
              <w:bottom w:val="single" w:sz="8" w:color="9A9A9A"/>
            </w:tcBorders>
          </w:tcPr>
          <w:p>
            <w:pPr>
              <w:spacing w:after="0"/>
              <w:rPr>
                <w:sz w:val="18"/>
                <w:szCs w:val="18"/>
                <w:color w:val="auto"/>
              </w:rPr>
            </w:pPr>
          </w:p>
        </w:tc>
        <w:tc>
          <w:tcPr>
            <w:tcW w:w="18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total income tax provision (benefit) related to income before income taxes consists of the following components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U.S. federal statutory tax</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 (benefit)</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10"/>
        </w:trPr>
        <w:tc>
          <w:tcPr>
            <w:tcW w:w="6020" w:type="dxa"/>
            <w:vAlign w:val="bottom"/>
          </w:tcPr>
          <w:p>
            <w:pPr>
              <w:ind w:left="20"/>
              <w:spacing w:after="0"/>
              <w:rPr>
                <w:sz w:val="20"/>
                <w:szCs w:val="20"/>
                <w:color w:val="auto"/>
              </w:rPr>
            </w:pPr>
            <w:r>
              <w:rPr>
                <w:rFonts w:ascii="Arial" w:cs="Arial" w:eastAsia="Arial" w:hAnsi="Arial"/>
                <w:sz w:val="18"/>
                <w:szCs w:val="18"/>
                <w:color w:val="auto"/>
              </w:rPr>
              <w:t>Deferred:</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 statutory tax</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State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 (benefit)</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60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Non-current tax expense (income) </w:t>
            </w:r>
            <w:r>
              <w:rPr>
                <w:rFonts w:ascii="Arial" w:cs="Arial" w:eastAsia="Arial" w:hAnsi="Arial"/>
                <w:sz w:val="23"/>
                <w:szCs w:val="23"/>
                <w:color w:val="auto"/>
                <w:vertAlign w:val="superscript"/>
              </w:rPr>
              <w:t>(1)</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provision for income taxes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0"/>
        </w:trPr>
        <w:tc>
          <w:tcPr>
            <w:tcW w:w="6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hanging="332"/>
        <w:spacing w:after="0" w:line="220"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Non-current tax expense (income) is primarily related to income tax associated with the reserve for uncertain tax positions, including associated interest and penalties.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tax provision calculated using the U.S. federal statutory income tax rate to our tax provision is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based on U.S. federal statutory tax rate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Foreign rates varying from federal statutory tax rate</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U.S. federal income tax benefit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U.S. taxes on foreign earnings and other tax reform impacts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Foreign currency, statutory adjustments, and tax rate changes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interest income &amp; non-deductible interest expense</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Valuation allowances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officer compensation</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Withholding Tax</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63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Includes a gain of sale of company of $4.9 million for the year ended December 31, 2020.</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2022, our income tax provision was $29.2 million and our effective income tax rate was 20.2%, as compared to an income tax provision of $25.8 million and an effective income tax rate of 25.8% for 2021. The higher income tax provision for the year ended December 31, 2022 resulted primarily from additional income before taxes reduced by additional discrete tax benefits as compared to 2021, including reductions to valuation allowances against our deferred tax assets in certain foreign jurisdictions and the resolution of a tax matter of one of our foreign subsidiaries.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2021, our income tax provision was $25.8 million and our effective income tax rate was 25.8%, as compared to an income tax provision of $52.1 million and an effective income tax rate of 32.2% for 2020. The lower income tax provision for the year ended December 31, 2021 resulted primarily from reduced income before taxes and tax expense of $12.9 million recorded during the year ended December 31, 2020 on the gain on the sale of MSTS, as well as tax benefits on the impact of the change in the UK tax rate, benefits resulting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from tax return filings in various foreign jurisdictions, and adjustments to valuation allowances against our deferred tax assets in various foreign jurisdictions.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analyzed our global working capital and cash requirements and the potential tax liabilities attributable to repatriation and have determined that we intend to continue our assertion that the earnings of certain of our non-U.S. subsidiaries are indefinitely reinvested. At December 31, 2022, $1.0 billion of our foreign earnings were permanently reinvested in non-US business operations. For these investments, if not reinvested indefinitely, we could potentially owe approximately $221.2 million in foreign withholding tax. For the remaining $1.7 billion of accumulated foreign earnings that are actually or deemed repatriated, we have made an estimate of the associated foreign withholding and state income tax effects of $11.8 million for the year ended December 31,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comprise our net deferred tax liabilities are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As of December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Gross Deferred Tax Assets: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reserve and accrued expenses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Net operating loss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share-based compensation</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U.S. foreign income tax credits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foreign exchange, derivatives, and cash flow hedges</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Interest expense limitations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gross deferred tax assets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136.8</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Valuation allowance </w:t>
            </w:r>
            <w:r>
              <w:rPr>
                <w:rFonts w:ascii="Arial" w:cs="Arial" w:eastAsia="Arial" w:hAnsi="Arial"/>
                <w:sz w:val="23"/>
                <w:szCs w:val="23"/>
                <w:color w:val="auto"/>
                <w:vertAlign w:val="superscript"/>
              </w:rPr>
              <w:t>(1)</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deferred tax assets, net of valuation allowance</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intangible assets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Unrealized foreign exchange, derivatives, and cash flow hedges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costs on foreign unrepatriated earnings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tax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Net deferred tax liability</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Reported on the Consolidated Balance Sheets as: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 for deferred tax assets, non-current</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Non-current income tax liabilities, net for deferred tax liabilities, non-current</w:t>
            </w:r>
          </w:p>
        </w:tc>
        <w:tc>
          <w:tcPr>
            <w:tcW w:w="1120" w:type="dxa"/>
            <w:vAlign w:val="bottom"/>
            <w:tcBorders>
              <w:bottom w:val="single" w:sz="8" w:color="auto"/>
            </w:tcBorders>
          </w:tcPr>
          <w:p>
            <w:pPr>
              <w:jc w:val="right"/>
              <w:ind w:right="910"/>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77.9</w:t>
            </w:r>
          </w:p>
        </w:tc>
        <w:tc>
          <w:tcPr>
            <w:tcW w:w="140" w:type="dxa"/>
            <w:vAlign w:val="bottom"/>
          </w:tcPr>
          <w:p>
            <w:pPr>
              <w:spacing w:after="0"/>
              <w:rPr>
                <w:sz w:val="17"/>
                <w:szCs w:val="17"/>
                <w:color w:val="auto"/>
              </w:rPr>
            </w:pPr>
          </w:p>
        </w:tc>
        <w:tc>
          <w:tcPr>
            <w:tcW w:w="1140" w:type="dxa"/>
            <w:vAlign w:val="bottom"/>
            <w:tcBorders>
              <w:bottom w:val="single" w:sz="8" w:color="auto"/>
            </w:tcBorders>
          </w:tcPr>
          <w:p>
            <w:pPr>
              <w:jc w:val="right"/>
              <w:ind w:right="930"/>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340" w:hanging="332"/>
        <w:spacing w:after="0" w:line="220"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2022, we recognized additional valuation allowances of $4.8 million relating primarily to the 2022 results of certain our worldwide entities and released valuation allowances totaling $18.4 million relating to certain of our non-US entities.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and 2021, we had gross net operating losses ("NOLs") of approximately $455.7 million and $402.5 million, respectively. The NOLs as of December 31, 2022 originated in various U.S. states and non-U.S. countries. We have recorded a deferred tax asset of $56.7 million reflecting the benefit of the NOL carryforward as of December 31, 2022. This deferred tax asset expires as follows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Operating Loss</w:t>
            </w:r>
          </w:p>
        </w:tc>
        <w:tc>
          <w:tcPr>
            <w:tcW w:w="6740" w:type="dxa"/>
            <w:vAlign w:val="bottom"/>
            <w:tcBorders>
              <w:bottom w:val="single" w:sz="8" w:color="CCEEFF"/>
            </w:tcBorders>
          </w:tcPr>
          <w:p>
            <w:pPr>
              <w:ind w:left="840"/>
              <w:spacing w:after="0"/>
              <w:rPr>
                <w:sz w:val="20"/>
                <w:szCs w:val="20"/>
                <w:color w:val="auto"/>
              </w:rPr>
            </w:pPr>
            <w:r>
              <w:rPr>
                <w:rFonts w:ascii="Arial" w:cs="Arial" w:eastAsia="Arial" w:hAnsi="Arial"/>
                <w:sz w:val="18"/>
                <w:szCs w:val="18"/>
                <w:b w:val="1"/>
                <w:bCs w:val="1"/>
                <w:color w:val="auto"/>
              </w:rPr>
              <w:t>Expiration Date</w:t>
            </w: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Deferred Tax Asset</w:t>
            </w:r>
          </w:p>
        </w:tc>
      </w:tr>
      <w:tr>
        <w:trPr>
          <w:trHeight w:val="223"/>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States</w:t>
            </w:r>
          </w:p>
        </w:tc>
        <w:tc>
          <w:tcPr>
            <w:tcW w:w="6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2023-2042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US States</w:t>
            </w:r>
          </w:p>
        </w:tc>
        <w:tc>
          <w:tcPr>
            <w:tcW w:w="6740" w:type="dxa"/>
            <w:vAlign w:val="bottom"/>
          </w:tcPr>
          <w:p>
            <w:pPr>
              <w:ind w:left="840"/>
              <w:spacing w:after="0"/>
              <w:rPr>
                <w:sz w:val="20"/>
                <w:szCs w:val="20"/>
                <w:color w:val="auto"/>
              </w:rPr>
            </w:pPr>
            <w:r>
              <w:rPr>
                <w:rFonts w:ascii="Arial" w:cs="Arial" w:eastAsia="Arial" w:hAnsi="Arial"/>
                <w:sz w:val="18"/>
                <w:szCs w:val="18"/>
                <w:color w:val="auto"/>
              </w:rPr>
              <w:t>Indefinite</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6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2023-2042</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674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Indefinite</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48"/>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assessed the available positive and negative evidence to estimate if sufficient future taxable income will be generated to use the existing deferred tax assets. On the basis of this evaluation, as of December 31, 2022, a valuation allowance of $ 26.1 million was recorded to recognize the deferred tax assets that are more likely than not to be realized, $17.5 million of which relates to the deferred tax asset for NOLs. The amount of the deferred tax asset considered realizable could be adjusted if estimates of future taxable income during the carryforward period change or if objective negative evidence in the form of cumulative losses is no longer present and additional weight may be given to subjective evidence such as growth projections.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operated under a special income tax concession in Singapore since 2008, which is subject to renewal. Our current five-year income tax concession period ended on December 31, 2022 and was renewed for an additional five-year period beginning January 1, 2023. It remains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derivative gains and losses.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(decrease) to our foreign income taxes from the Singapore tax concession was as follows (in millions,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 tax concession impact on foreign income tax</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Impact on basic earnings per share</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on diluted earnings per share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Contingencies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2022, we recorded a net decrease of Unrecognized Tax Liabilities of $7.0 million and a net decrease to Unrecognized Tax Assets of $5.6 million. In addition, during the year ended December 31, 2022, we recorded a decrease of $2.9 million to our Unrecognized Tax Liabilities related to a foreign currency translation gain, which is included in Other income (expense), net, in the accompanying Consolidated Statements of Income and Comprehensive Income. As of December 31, 2022, our Unrecognized Tax Liabilities, including penalties and interest, were $93.5 million and our Unrecognized Tax Assets were $18.2 million.</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year ended December 31, 2021, we recorded a net decrease of $3.1 million of liabilities related to Unrecognized Tax Liabilities and a net decrease of $ 1.6 million in assets related to Unrecognized Tax Assets. In addition, during the year ended December 31, 2021, we recorded a decrease of $3.8 million to our Unrecognized Tax Liabilities related to a foreign currency translation gain, which is included in Other income (expense), net, in the accompanying Consolidated Statements of Income and Comprehensive Income. As of December 31, 2021, our Unrecognized Tax Liabilities, including penalties and interest, were $98.2 million and our Unrecognized Tax Assets were $23.9 million.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gross Unrecognized Tax Liabilities for the year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Liabilities – opening balance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Gross increases – tax positions in prior period</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 tax positions in prior period</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Gross increases – tax positions in current period</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Payments</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Gross Unrecognized Tax Liabilities – ending balance</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r>
      <w:tr>
        <w:trPr>
          <w:trHeight w:val="21"/>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our gross Unrecognized Tax Liabilities, net of our Unrecognized Tax Assets of $18.2 million, as of December 31, 2022, are settled by the taxing authorities in our favor or otherwise resolved, our income tax expense would be reduced by $49.8 million (exclusive of interest and penalties) in the period the matter is considered settled or resolved in accordance with ASC 740. This would have the impact of reducing our 2022 effective income tax rate by 34.2%. As of December 31, 2022, it is reasonably possible that approximately $4.0 million of our unrecognized income tax liabilities may decrease within the next twelve months.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accrued interest and penalties related to unrecognized income tax benefits as income tax expense. Related to the uncertain income tax benefits noted above, for interest we recorded expense of $2.0 million, $2.6 million and $3.1 million during the years ended December 31, 2022, 2021, and 2020, respectively. For penalties, we recorded expense of $0.3 million, income of $0.3 million, and expense of $0.2 million during the years ended December 31, 2022, 2021, and 2020, respectively. As of December 31, 2022 and 2021, we had recognized liabilities of $20.8 million and $18.8 million for interest and $4.6 million and $4.3 million for penalties, respectively.</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various tax returns under examination both in the U.S. and foreign jurisdictions. The most material of these is in Denmark for the 2013 - 2019 tax year where one of our subsidiaries has been under audit since 2018. Through the year ended December 31, 2022, we have received final tax assessments for the 2013 and 2014 tax years that were immaterial, a proposed tax assessment for the 2015 tax year of approximately $13.8 million (DKK 96.1 million), and proposed tax assessments for the 2016 and 2017 tax years of approximately $19.3 million (DKK 133.8 million) and $22.4 million (DKK 155.5 million), respectively. We believe these assessments are without merit and are vigorously defending against the actions. We have not yet received any proposed assessments related to the 2018 - 2019 tax years, which could be materially larger than the previous assessments if a similar methodology is applied.</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 ended December 31, 2022, we agreed to a settlement for the 2011 to 2014 tax years of the Korean branch of one of our subsidiaries for approximately $1.6 million (KRW 2.0 billion), including tax, interest, and penalties. The income tax examination for these years is now closed.</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 IRS examination for our 2019 tax year was closed during the year ended December 31, 2022, without any adjustments. We have not yet received notification that the examinations of our 2017 and 2018 tax years are closed but do not anticipate any changes from what we agreed in 2022.</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operating results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many cases, our uncertain tax positions are related to tax years that remain subject to examination by the relevant taxing authorities. The following table summarizes open tax years by major jurisdiction: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p>
        </w:tc>
        <w:tc>
          <w:tcPr>
            <w:tcW w:w="4500" w:type="dxa"/>
            <w:vAlign w:val="bottom"/>
            <w:tcBorders>
              <w:bottom w:val="single" w:sz="8" w:color="auto"/>
            </w:tcBorders>
            <w:gridSpan w:val="3"/>
          </w:tcPr>
          <w:p>
            <w:pPr>
              <w:jc w:val="right"/>
              <w:ind w:right="1550"/>
              <w:spacing w:after="0"/>
              <w:rPr>
                <w:sz w:val="20"/>
                <w:szCs w:val="20"/>
                <w:color w:val="auto"/>
              </w:rPr>
            </w:pPr>
            <w:r>
              <w:rPr>
                <w:rFonts w:ascii="Arial" w:cs="Arial" w:eastAsia="Arial" w:hAnsi="Arial"/>
                <w:sz w:val="18"/>
                <w:szCs w:val="18"/>
                <w:b w:val="1"/>
                <w:bCs w:val="1"/>
                <w:color w:val="auto"/>
              </w:rPr>
              <w:t>Open Tax Year</w:t>
            </w:r>
          </w:p>
        </w:tc>
        <w:tc>
          <w:tcPr>
            <w:tcW w:w="0" w:type="dxa"/>
            <w:vAlign w:val="bottom"/>
          </w:tcPr>
          <w:p>
            <w:pPr>
              <w:spacing w:after="0"/>
              <w:rPr>
                <w:sz w:val="1"/>
                <w:szCs w:val="1"/>
                <w:color w:val="auto"/>
              </w:rPr>
            </w:pPr>
          </w:p>
        </w:tc>
      </w:tr>
      <w:tr>
        <w:trPr>
          <w:trHeight w:val="169"/>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Jurisdiction</w:t>
            </w:r>
          </w:p>
        </w:tc>
        <w:tc>
          <w:tcPr>
            <w:tcW w:w="232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rPr>
              <w:t>Examination</w:t>
            </w:r>
          </w:p>
        </w:tc>
        <w:tc>
          <w:tcPr>
            <w:tcW w:w="218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Examination not</w:t>
            </w:r>
          </w:p>
        </w:tc>
        <w:tc>
          <w:tcPr>
            <w:tcW w:w="0" w:type="dxa"/>
            <w:vAlign w:val="bottom"/>
          </w:tcPr>
          <w:p>
            <w:pPr>
              <w:spacing w:after="0"/>
              <w:rPr>
                <w:sz w:val="1"/>
                <w:szCs w:val="1"/>
                <w:color w:val="auto"/>
              </w:rPr>
            </w:pPr>
          </w:p>
        </w:tc>
      </w:tr>
      <w:tr>
        <w:trPr>
          <w:trHeight w:val="243"/>
        </w:trPr>
        <w:tc>
          <w:tcPr>
            <w:tcW w:w="6740" w:type="dxa"/>
            <w:vAlign w:val="bottom"/>
            <w:vMerge w:val="continue"/>
          </w:tcPr>
          <w:p>
            <w:pPr>
              <w:spacing w:after="0"/>
              <w:rPr>
                <w:sz w:val="21"/>
                <w:szCs w:val="21"/>
                <w:color w:val="auto"/>
              </w:rPr>
            </w:pP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in progress</w:t>
            </w:r>
          </w:p>
        </w:tc>
        <w:tc>
          <w:tcPr>
            <w:tcW w:w="2180" w:type="dxa"/>
            <w:vAlign w:val="bottom"/>
          </w:tcPr>
          <w:p>
            <w:pPr>
              <w:jc w:val="right"/>
              <w:ind w:right="510"/>
              <w:spacing w:after="0"/>
              <w:rPr>
                <w:sz w:val="20"/>
                <w:szCs w:val="20"/>
                <w:color w:val="auto"/>
              </w:rPr>
            </w:pPr>
            <w:r>
              <w:rPr>
                <w:rFonts w:ascii="Arial" w:cs="Arial" w:eastAsia="Arial" w:hAnsi="Arial"/>
                <w:sz w:val="18"/>
                <w:szCs w:val="18"/>
                <w:b w:val="1"/>
                <w:bCs w:val="1"/>
                <w:color w:val="auto"/>
              </w:rPr>
              <w:t>yet initiated</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Denmark</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2013 - 2019</w:t>
            </w:r>
          </w:p>
        </w:tc>
        <w:tc>
          <w:tcPr>
            <w:tcW w:w="1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2020 - 2022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tcPr>
          <w:p>
            <w:pPr>
              <w:jc w:val="right"/>
              <w:spacing w:after="0"/>
              <w:rPr>
                <w:sz w:val="20"/>
                <w:szCs w:val="20"/>
                <w:color w:val="auto"/>
              </w:rPr>
            </w:pPr>
            <w:r>
              <w:rPr>
                <w:rFonts w:ascii="Arial" w:cs="Arial" w:eastAsia="Arial" w:hAnsi="Arial"/>
                <w:sz w:val="18"/>
                <w:szCs w:val="18"/>
                <w:color w:val="auto"/>
              </w:rPr>
              <w:t>2020 - 2022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2020 - 2022</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D9D9D9"/>
            </w:tcBorders>
          </w:tcPr>
          <w:p>
            <w:pPr>
              <w:ind w:left="20"/>
              <w:spacing w:after="0"/>
              <w:rPr>
                <w:sz w:val="20"/>
                <w:szCs w:val="20"/>
                <w:color w:val="auto"/>
              </w:rPr>
            </w:pPr>
            <w:r>
              <w:rPr>
                <w:rFonts w:ascii="Arial" w:cs="Arial" w:eastAsia="Arial" w:hAnsi="Arial"/>
                <w:sz w:val="18"/>
                <w:szCs w:val="18"/>
                <w:color w:val="auto"/>
              </w:rPr>
              <w:t>Singapore</w:t>
            </w:r>
          </w:p>
        </w:tc>
        <w:tc>
          <w:tcPr>
            <w:tcW w:w="2320" w:type="dxa"/>
            <w:vAlign w:val="bottom"/>
            <w:tcBorders>
              <w:bottom w:val="single" w:sz="8" w:color="D9D9D9"/>
            </w:tcBorders>
            <w:gridSpan w:val="2"/>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tcBorders>
              <w:bottom w:val="single" w:sz="8" w:color="D9D9D9"/>
            </w:tcBorders>
          </w:tcPr>
          <w:p>
            <w:pPr>
              <w:jc w:val="right"/>
              <w:spacing w:after="0"/>
              <w:rPr>
                <w:sz w:val="20"/>
                <w:szCs w:val="20"/>
                <w:color w:val="auto"/>
              </w:rPr>
            </w:pPr>
            <w:r>
              <w:rPr>
                <w:rFonts w:ascii="Arial" w:cs="Arial" w:eastAsia="Arial" w:hAnsi="Arial"/>
                <w:sz w:val="18"/>
                <w:szCs w:val="18"/>
                <w:color w:val="auto"/>
              </w:rPr>
              <w:t>2018 - 2022</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non-U.S.</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2013 - 2022</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Surety Bonds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we are required to post bid, performance and other surety-related bonds. The majority of the surety bonds posted relate to our aviation and land segments. We had outstanding bonds that were executed in order to satisfy various security requirements of $59.7 million and $54.9 million as of December 31, 2022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 Commitments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the notional value associated with fixed sales and purchase commitments under our derivative programs amounted to $890.9 million and $123.8 million, respectively, with delivery dates from 2023 through 2028. Additionally, we have a fixed purchase contract that extends through 2026, under which we agreed to purchase annually between 1.9 million and 2.0 million barrels of aviation fuel at future market prices.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We make a matching contribution of 50% for each 1% of the participants' contributions up to a maximum of 6% of the participants' contributions, subject to applicable IRS limits. Annual Company contributions are made at our sole discretion, as approved by the Compensation Committee. Additionally, certain of our foreign subsidiaries have defined contribution plans, which allow for voluntary contributions by the employees. In some cases, we make employer contributions on behalf of the employees. The expenses for our contributions under these plans were not material during each of the years presented on the Consolidated Statements of Income and Comprehensive Income.</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a non-qualified deferred compensation ("NQDC") plan to certain eligible employees, whereby the participants may defer a portion of their compensation. We do not match any participant deferrals under the NQDC plan. Participants can elect from a variety of investment choices for their deferred compensation and gains and losses on these investments are credited to their respective accounts. The deferred compensation payable amount under this NQDC plan is subject to the claims of our general creditors and was $14.0 million and $16.7 million as of December 31, 2022 and 2021, respectively, which was principally included in Other long-term liabilities within our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business is subject to numerous federal, state, local and foreign environmental laws and regulations, including those relating to fuel storage and distribution, terminals, underground storage tanks, the release or discharge of regulated materials into the air, water and soil, the generation, storage, handling, use, transportation and disposal of hazardous materials, and the exposure of persons to regulated materials. A violation of, liability under, or noncompliance with these laws and regulations, or any future environmental law or regulation, could result in material liabilities, including administrative, civil or criminal penalties, remediation costs as well as third-party damages. From time to time, we may be responsible for remediating contamination at properties we own or lease and can be entitled to reimbursement for certain of these costs from state trust funds, as well as various third-party contractual indemnities and insurance policies, subject to eligibility requirements, deductibles, and aggregate caps. Although we continuously review the adequacy of our insurance coverage, we may lack adequate coverage for various risks, including environmental claims. If we are uninsured or under</w:t>
      </w:r>
      <w:r>
        <w:rPr>
          <w:rFonts w:ascii="MS PGothic" w:cs="MS PGothic" w:eastAsia="MS PGothic" w:hAnsi="MS PGothic"/>
          <w:sz w:val="18"/>
          <w:szCs w:val="18"/>
          <w:color w:val="auto"/>
        </w:rPr>
        <w:t>‑</w:t>
      </w:r>
      <w:r>
        <w:rPr>
          <w:rFonts w:ascii="Arial" w:cs="Arial" w:eastAsia="Arial" w:hAnsi="Arial"/>
          <w:sz w:val="18"/>
          <w:szCs w:val="18"/>
          <w:color w:val="auto"/>
        </w:rPr>
        <w:t>insured for a claim or claims of sufficient magnitude arising out of our activities, it will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accrue for environmental assessment and remediation expenses when the future costs are probable and reasonably estimable. As of December 31, 2022 and 2021, accrued liabilities for remediation reserves were not material. It is not presently possible to estimate the ultimate amount of all remediation costs that might be incurred or the penalties that may be imposed.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we are also under review by various domestic and foreign tax authorities regarding indirect tax matters and are involved in various challenges and litigation in a number of countries, including, in particular, South Korea and Brazil, where the amounts in controversy may be material. During 2016 and 2017, the South Korean branch of one of our subsidiaries received assessments totaling approximately $27.2 million (KRW 34.3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involved in several tax disputes with federal, state and municipal tax authorities in Brazil, relating primarily to a VAT tax known as ICMS. These disputes are at various stages of the legal process, including the administrative review phase and the collection action phase, and include assessments of fixed amounts of principal and penalties, plus interest. One of our Brazilian subsidiaries is currently contesting an assessment of approximately $12.0 million (BRL 62.9 million) from the Brazilian tax authorities relating to the ICMS rate used for certain transactions. The assessment primarily consists of interest and penalties. We believe that the assessment is without merit and are pursuing our remedies in the judicial court system.</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will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2021, judgments were entered against one of our subsidiaries in the Singapore High Court in companion actions filed by a financing bank of two of our subsidiary’s suppliers. Each of the claims arose out of a financing arrangement between our subsidiary's supplier and the bank. The resulting judgments, including principal and interest, aggregated to approximately $ 33 million, which we paid to the bank pending the appeals of the Singapore court judgments. In January 2023, we entered into a settlement agreement with the bank pursuant to which the parties settled for approximately $13 million. As a result, we recognized a loss of $6.5 million during the year ended December 31, 2022. Pursuant to the settlement, in the first quarter of 2023 we recovered approximately $20 million in funds we had previously paid to the bank. In connection with the settlement, we have withdrawn our appeals and the parties have exchanged full and final releases in respect of the matters.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established loss provisions for matters in which losses are probable and can be reasonably estimated. As of December 31, 2022, these reserves were not material. For those matters where a reserve has not been established and for which we believe a loss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years ended December 31, 2022, 2021 and 2020, the Company's Board of Directors declared aggregate cash dividends of $0.52, $0.48, and $0.40 per common share, representing $32.2 million, $30.0 million, and $25.5 million in total dividends, respectively. Cash dividends declared, but not yet paid, were $8.6 million, $7.4 million and $6.3 million as of December 31, 2022, 2021 and 2020, respectively.</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payments associated with the above referenced cash dividends were in compliance with restrictions regarding the maximum amount of cash dividends allowed to be paid under our Credit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2020, the Board approved a stock repurchase program authorizing $200.0 million in common stock repurchases (the "2020 Repurchase Program"). Our repurchase program does not require a minimum number of shares of common stock to be purchased, has no expiration date, and repurchases may be suspended or discontinued at any time. As of December 31, 2022, approximately $ 147.1 million remains available for purchase under the 2020 Repurchase Program. The timing and amount of shares of common stock to be repurchased under the 2020 Repurchase Program will depend on market conditions, share price, securities law and other legal requirements and factors.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years ended December 31, 2022, 2021, and 2020, we repurchased 2.0 million, 1.7 million, and 2.6 million shares of common stock for an aggregate value of $48.7 million, $50.5 million, and $68.3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Summary and Description</w:t>
      </w:r>
    </w:p>
    <w:p>
      <w:pPr>
        <w:spacing w:after="0" w:line="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May 2021, our shareholders approved the 2021 Omnibus Plan (the "2021 Plan"), which replaced our previously adopted 2020 Omnibus Plan (the "2020 Plan"). The 2021 Plan is administered by the Compensation Committee of the Board of Directors (the "Compensation Committee"). The purpose of the 2021 Plan is to (i) attract and retain persons eligible to participate in the 2021 Plan; (ii) motivate participants, by means of appropriate incentives, to achieve long-range goals; (iii) provide incentive compensation opportunities that are competitive with those of other similar companies; and (iv) further align participants’ interests with those of our other shareholders through compensation that is based on the value of our common stock. The goal is to promote the long-term financial interest of World Fuel and its subsidiaries, including the growth in value of our equity and enhancement of long-term shareholder return. The persons eligible to receive awards under the 2021 Plan are our employees, officers, and members of the Board of Directors, or any consultant or other person who performs services for us.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provisions of the 2021 Plan authorize the grant of stock options which can be "qualified" or "nonqualified" under the Internal Revenue Code of 1986, as amended, restricted stock, RSUs, SSAR Awards, performance shares and performance units and other share-based awards. The 2021 Plan is unlimited in duration and, in the event of its termination, the 2021 Plan will remain in effect as long as any awards granted under it remain outstanding. No awards may be granted under the 2021 Plan after May 2031. The term and vesting period of awards granted under the 2021 Plan are established on a per grant basis, but options and SSAR Awards may not remain exercisable after the seven-year anniversary of the date of grant.</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2021 Plan, 2.9 million shares of common stock were authorized for issuance in addition to any shares of common stock with respect to awards that were granted under the prior plans (2020, 2016, and 2006) but are forfeited or canceled (e.g., due to the recipient's failure to satisfy applicable service or performance conditions) after May 2021. As of December 31, 2022, approximately 3.5 million shares of common stock were subject to outstanding awards under the 2021, 2020, 2016, and 2006 Plans (assuming maximum achievement of performance goals for restricted stock and target achievement of performance goals for RSUs, where applicable).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the outstanding awards issued pursuant to the plans described above as of December 31, 2022 and the remaining shares of common stock available for future issuance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 Shares of</w:t>
            </w:r>
          </w:p>
        </w:tc>
        <w:tc>
          <w:tcPr>
            <w:tcW w:w="0" w:type="dxa"/>
            <w:vAlign w:val="bottom"/>
          </w:tcPr>
          <w:p>
            <w:pPr>
              <w:spacing w:after="0"/>
              <w:rPr>
                <w:sz w:val="1"/>
                <w:szCs w:val="1"/>
                <w:color w:val="auto"/>
              </w:rPr>
            </w:pPr>
          </w:p>
        </w:tc>
      </w:tr>
      <w:tr>
        <w:trPr>
          <w:trHeight w:val="180"/>
        </w:trPr>
        <w:tc>
          <w:tcPr>
            <w:tcW w:w="5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Common Stock</w:t>
            </w:r>
          </w:p>
        </w:tc>
        <w:tc>
          <w:tcPr>
            <w:tcW w:w="0" w:type="dxa"/>
            <w:vAlign w:val="bottom"/>
          </w:tcPr>
          <w:p>
            <w:pPr>
              <w:spacing w:after="0"/>
              <w:rPr>
                <w:sz w:val="1"/>
                <w:szCs w:val="1"/>
                <w:color w:val="auto"/>
              </w:rPr>
            </w:pPr>
          </w:p>
        </w:tc>
      </w:tr>
      <w:tr>
        <w:trPr>
          <w:trHeight w:val="185"/>
        </w:trPr>
        <w:tc>
          <w:tcPr>
            <w:tcW w:w="5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name</w:t>
            </w:r>
          </w:p>
        </w:tc>
        <w:tc>
          <w:tcPr>
            <w:tcW w:w="15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RSUs</w:t>
            </w:r>
          </w:p>
        </w:tc>
        <w:tc>
          <w:tcPr>
            <w:tcW w:w="140" w:type="dxa"/>
            <w:vAlign w:val="bottom"/>
            <w:vMerge w:val="restart"/>
          </w:tcPr>
          <w:p>
            <w:pPr>
              <w:spacing w:after="0"/>
              <w:rPr>
                <w:sz w:val="16"/>
                <w:szCs w:val="16"/>
                <w:color w:val="auto"/>
              </w:rPr>
            </w:pP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SSAR Awards</w:t>
            </w:r>
          </w:p>
        </w:tc>
        <w:tc>
          <w:tcPr>
            <w:tcW w:w="140" w:type="dxa"/>
            <w:vAlign w:val="bottom"/>
            <w:vMerge w:val="restart"/>
          </w:tcPr>
          <w:p>
            <w:pPr>
              <w:spacing w:after="0"/>
              <w:rPr>
                <w:sz w:val="16"/>
                <w:szCs w:val="16"/>
                <w:color w:val="auto"/>
              </w:rPr>
            </w:pPr>
          </w:p>
        </w:tc>
        <w:tc>
          <w:tcPr>
            <w:tcW w:w="218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Available for Future</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vMerge w:val="continue"/>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Issuance</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2021 Plan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2020 Plan </w:t>
            </w:r>
            <w:r>
              <w:rPr>
                <w:rFonts w:ascii="Arial" w:cs="Arial" w:eastAsia="Arial" w:hAnsi="Arial"/>
                <w:sz w:val="23"/>
                <w:szCs w:val="23"/>
                <w:color w:val="auto"/>
                <w:vertAlign w:val="superscript"/>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2016 Plan </w:t>
            </w:r>
            <w:r>
              <w:rPr>
                <w:rFonts w:ascii="Arial" w:cs="Arial" w:eastAsia="Arial" w:hAnsi="Arial"/>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1"/>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2006 Plan </w:t>
            </w:r>
            <w:r>
              <w:rPr>
                <w:rFonts w:ascii="Arial" w:cs="Arial" w:eastAsia="Arial" w:hAnsi="Arial"/>
                <w:sz w:val="23"/>
                <w:szCs w:val="23"/>
                <w:color w:val="auto"/>
                <w:vertAlign w:val="superscript"/>
              </w:rPr>
              <w:t>(4)</w:t>
            </w: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As of December 31, 2022, unvested RSUs will vest between February 2023 and November 2026.</w:t>
      </w:r>
    </w:p>
    <w:p>
      <w:pPr>
        <w:spacing w:after="0" w:line="71" w:lineRule="exact"/>
        <w:rPr>
          <w:rFonts w:ascii="Arial" w:cs="Arial" w:eastAsia="Arial" w:hAnsi="Arial"/>
          <w:sz w:val="23"/>
          <w:szCs w:val="23"/>
          <w:color w:val="auto"/>
          <w:vertAlign w:val="superscript"/>
        </w:rPr>
      </w:pPr>
    </w:p>
    <w:p>
      <w:pPr>
        <w:ind w:left="320" w:hanging="312"/>
        <w:spacing w:after="0" w:line="229" w:lineRule="auto"/>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As of December 31, 2022, unvested RSUs will vest between March 2023 and May 2024.</w:t>
      </w:r>
    </w:p>
    <w:p>
      <w:pPr>
        <w:spacing w:after="0" w:line="107"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As of December 31, 2022, unvested RSUs will vest between February 2023 and August 2023 and the outstanding SSAR Awards will expire between March 2023 and March 2025.</w:t>
      </w:r>
    </w:p>
    <w:p>
      <w:pPr>
        <w:spacing w:after="0" w:line="107" w:lineRule="exact"/>
        <w:rPr>
          <w:rFonts w:ascii="Arial" w:cs="Arial" w:eastAsia="Arial" w:hAnsi="Arial"/>
          <w:sz w:val="23"/>
          <w:szCs w:val="23"/>
          <w:color w:val="auto"/>
          <w:vertAlign w:val="superscript"/>
        </w:rPr>
      </w:pPr>
    </w:p>
    <w:p>
      <w:pPr>
        <w:ind w:left="340" w:hanging="332"/>
        <w:spacing w:after="0" w:line="217" w:lineRule="exact"/>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RSUs granted to non</w:t>
      </w:r>
      <w:r>
        <w:rPr>
          <w:rFonts w:ascii="MS PGothic" w:cs="MS PGothic" w:eastAsia="MS PGothic" w:hAnsi="MS PGothic"/>
          <w:sz w:val="18"/>
          <w:szCs w:val="18"/>
          <w:color w:val="auto"/>
        </w:rPr>
        <w:t>‑</w:t>
      </w:r>
      <w:r>
        <w:rPr>
          <w:rFonts w:ascii="Arial" w:cs="Arial" w:eastAsia="Arial" w:hAnsi="Arial"/>
          <w:sz w:val="18"/>
          <w:szCs w:val="18"/>
          <w:color w:val="auto"/>
        </w:rPr>
        <w:t>employee directors under the 2006 Plan prior to 2011 remain outstanding until the date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ceases, for any reason, to be a member of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restricted stock awards vested during the year ended December 31, 2022. The aggregate intrinsic value of restricted stock which vested during the years ended December 31, 2021 and 2020 was $0.6 million and $0.4 million, respectively, based on the average high and low market price of our common stock at the vesting date. As of December 31, 2022, there were no unvested restricted stock awards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Awards</w:t>
      </w:r>
    </w:p>
    <w:p>
      <w:pPr>
        <w:spacing w:after="0" w:line="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RSUs may contain one or more service, performance, or market-based vesting conditions. The following table summarizes the status of our RSUs and related transactions for each of the following years (in millions, except for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data and weighted average remaining contractual life):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Weighted Average Grant</w:t>
            </w:r>
          </w:p>
        </w:tc>
        <w:tc>
          <w:tcPr>
            <w:tcW w:w="140" w:type="dxa"/>
            <w:vAlign w:val="bottom"/>
          </w:tcPr>
          <w:p>
            <w:pPr>
              <w:spacing w:after="0"/>
              <w:rPr>
                <w:sz w:val="18"/>
                <w:szCs w:val="18"/>
                <w:color w:val="auto"/>
              </w:rPr>
            </w:pPr>
          </w:p>
        </w:tc>
        <w:tc>
          <w:tcPr>
            <w:tcW w:w="15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Aggregate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15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RSUs</w:t>
            </w:r>
          </w:p>
        </w:tc>
        <w:tc>
          <w:tcPr>
            <w:tcW w:w="140" w:type="dxa"/>
            <w:vAlign w:val="bottom"/>
          </w:tcPr>
          <w:p>
            <w:pPr>
              <w:spacing w:after="0"/>
              <w:rPr>
                <w:sz w:val="15"/>
                <w:szCs w:val="15"/>
                <w:color w:val="auto"/>
              </w:rPr>
            </w:pPr>
          </w:p>
        </w:tc>
        <w:tc>
          <w:tcPr>
            <w:tcW w:w="2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Remaining Contractual</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Date Fair Value Price</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Intrinsic Value</w:t>
            </w:r>
          </w:p>
        </w:tc>
        <w:tc>
          <w:tcPr>
            <w:tcW w:w="120" w:type="dxa"/>
            <w:vAlign w:val="bottom"/>
            <w:tcBorders>
              <w:bottom w:val="single" w:sz="8" w:color="CCEEFF"/>
            </w:tcBorders>
          </w:tcPr>
          <w:p>
            <w:pPr>
              <w:spacing w:after="0"/>
              <w:rPr>
                <w:sz w:val="21"/>
                <w:szCs w:val="21"/>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 (in Years)</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23.30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32.56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2020</w:t>
            </w: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33.08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28.55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2021</w:t>
            </w: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25.86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25.97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2022</w:t>
            </w:r>
          </w:p>
        </w:tc>
        <w:tc>
          <w:tcPr>
            <w:tcW w:w="15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hanging="332"/>
        <w:spacing w:after="0" w:line="234" w:lineRule="auto"/>
        <w:tabs>
          <w:tab w:leader="none" w:pos="343"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Awards granted during the year ended December 31, 2022 included 0.5 million special performance-based equity awards, pursuant to which vesting is tied to the Company's total shareholder return over the three-year performance period. The awards were valued using a Monte Carlo simulation. The weighted average fair value of the awards was $33.45 and the assumptions used to determine such fair value were as follows: simulation term of 3 years, volatility of 52.2%, and risk-free interest rate of 4.1%.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aggregate intrinsic value of RSUs vested during the years ended December 31, 2022, 2021 and 2020 was $14.8 million, $18.1 million and $10.8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SSAR Awards</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the status of our outstanding and exercisable SSAR Awards and related transactions for each of the following years (in millions, except weighted average exercise price and weighted average remaining contractual life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SSAR Awards Outstanding</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SSAR Awards Exercisable</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rPr>
              <w:t>Average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SSAR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Aggregate</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rPr>
              <w:t>Contractual</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SSAR Awards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89"/>
        </w:trPr>
        <w:tc>
          <w:tcPr>
            <w:tcW w:w="2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Awards</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19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2019</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7"/>
        </w:trPr>
        <w:tc>
          <w:tcPr>
            <w:tcW w:w="2120" w:type="dxa"/>
            <w:vAlign w:val="bottom"/>
          </w:tcPr>
          <w:p>
            <w:pPr>
              <w:ind w:left="20"/>
              <w:spacing w:after="0"/>
              <w:rPr>
                <w:sz w:val="20"/>
                <w:szCs w:val="20"/>
                <w:color w:val="auto"/>
              </w:rPr>
            </w:pPr>
            <w:r>
              <w:rPr>
                <w:rFonts w:ascii="Arial" w:cs="Arial" w:eastAsia="Arial" w:hAnsi="Arial"/>
                <w:sz w:val="14"/>
                <w:szCs w:val="14"/>
                <w:color w:val="auto"/>
              </w:rPr>
              <w:t>Granted</w:t>
            </w:r>
          </w:p>
        </w:tc>
        <w:tc>
          <w:tcPr>
            <w:tcW w:w="98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57.48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2020</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7"/>
        </w:trPr>
        <w:tc>
          <w:tcPr>
            <w:tcW w:w="2120" w:type="dxa"/>
            <w:vAlign w:val="bottom"/>
          </w:tcPr>
          <w:p>
            <w:pPr>
              <w:ind w:left="20"/>
              <w:spacing w:after="0"/>
              <w:rPr>
                <w:sz w:val="20"/>
                <w:szCs w:val="20"/>
                <w:color w:val="auto"/>
              </w:rPr>
            </w:pPr>
            <w:r>
              <w:rPr>
                <w:rFonts w:ascii="Arial" w:cs="Arial" w:eastAsia="Arial" w:hAnsi="Arial"/>
                <w:sz w:val="14"/>
                <w:szCs w:val="14"/>
                <w:color w:val="auto"/>
              </w:rPr>
              <w:t>Granted</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Exercised </w:t>
            </w:r>
            <w:r>
              <w:rPr>
                <w:rFonts w:ascii="Arial" w:cs="Arial" w:eastAsia="Arial" w:hAnsi="Arial"/>
                <w:sz w:val="18"/>
                <w:szCs w:val="18"/>
                <w:color w:val="auto"/>
                <w:vertAlign w:val="superscript"/>
              </w:rPr>
              <w:t>(1)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29.91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of December 31, 2021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7"/>
        </w:trPr>
        <w:tc>
          <w:tcPr>
            <w:tcW w:w="2120" w:type="dxa"/>
            <w:vAlign w:val="bottom"/>
          </w:tcPr>
          <w:p>
            <w:pPr>
              <w:ind w:left="20"/>
              <w:spacing w:after="0"/>
              <w:rPr>
                <w:sz w:val="20"/>
                <w:szCs w:val="20"/>
                <w:color w:val="auto"/>
              </w:rPr>
            </w:pPr>
            <w:r>
              <w:rPr>
                <w:rFonts w:ascii="Arial" w:cs="Arial" w:eastAsia="Arial" w:hAnsi="Arial"/>
                <w:sz w:val="14"/>
                <w:szCs w:val="14"/>
                <w:color w:val="auto"/>
              </w:rPr>
              <w:t>Granted</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120" w:type="dxa"/>
            <w:vAlign w:val="bottom"/>
          </w:tcPr>
          <w:p>
            <w:pPr>
              <w:ind w:left="20"/>
              <w:spacing w:after="0"/>
              <w:rPr>
                <w:sz w:val="20"/>
                <w:szCs w:val="20"/>
                <w:color w:val="auto"/>
              </w:rPr>
            </w:pPr>
            <w:r>
              <w:rPr>
                <w:rFonts w:ascii="Arial" w:cs="Arial" w:eastAsia="Arial" w:hAnsi="Arial"/>
                <w:sz w:val="14"/>
                <w:szCs w:val="14"/>
                <w:color w:val="auto"/>
              </w:rPr>
              <w:t>Expired</w:t>
            </w:r>
          </w:p>
        </w:tc>
        <w:tc>
          <w:tcPr>
            <w:tcW w:w="98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tcPr>
          <w:p>
            <w:pPr>
              <w:ind w:left="20"/>
              <w:spacing w:after="0"/>
              <w:rPr>
                <w:sz w:val="20"/>
                <w:szCs w:val="20"/>
                <w:color w:val="auto"/>
              </w:rPr>
            </w:pPr>
            <w:r>
              <w:rPr>
                <w:rFonts w:ascii="Arial" w:cs="Arial" w:eastAsia="Arial" w:hAnsi="Arial"/>
                <w:sz w:val="14"/>
                <w:szCs w:val="14"/>
                <w:color w:val="auto"/>
              </w:rPr>
              <w:t>As of December 31, 2022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0.5</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26.35</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27.43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aggregate intrinsic value of SSAR Awards exercised was $0.9 million for the year ended December 31,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Unrecognized Compensation Cost</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2022, there was $50.6 million of total unrecognized compensation cost related to unvested share-based payment awards, which is included as Capital in excess of par value within our Consolidated Balance Sheets. The unrecognized compensation cost as of December 31, 2022 is expected to be recognized as compensation expense over a weighted average period of 1.5 years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4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5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2024</w:t>
            </w:r>
          </w:p>
        </w:tc>
        <w:tc>
          <w:tcPr>
            <w:tcW w:w="5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2026</w:t>
            </w:r>
          </w:p>
        </w:tc>
        <w:tc>
          <w:tcPr>
            <w:tcW w:w="56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Total</w:t>
            </w:r>
          </w:p>
        </w:tc>
        <w:tc>
          <w:tcPr>
            <w:tcW w:w="6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5620" w:type="dxa"/>
            <w:vAlign w:val="bottom"/>
            <w:vMerge w:val="restart"/>
          </w:tcPr>
          <w:p>
            <w:pPr>
              <w:jc w:val="right"/>
              <w:ind w:right="3676"/>
              <w:spacing w:after="0"/>
              <w:rPr>
                <w:sz w:val="20"/>
                <w:szCs w:val="20"/>
                <w:color w:val="auto"/>
              </w:rPr>
            </w:pPr>
            <w:r>
              <w:rPr>
                <w:rFonts w:ascii="Arial" w:cs="Arial" w:eastAsia="Arial" w:hAnsi="Arial"/>
                <w:sz w:val="14"/>
                <w:szCs w:val="14"/>
                <w:color w:val="auto"/>
              </w:rPr>
              <w:t>78</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5"/>
        </w:trPr>
        <w:tc>
          <w:tcPr>
            <w:tcW w:w="384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40" w:type="dxa"/>
            <w:vAlign w:val="bottom"/>
            <w:tcBorders>
              <w:bottom w:val="single" w:sz="8" w:color="9A9A9A"/>
            </w:tcBorders>
          </w:tcPr>
          <w:p>
            <w:pPr>
              <w:spacing w:after="0"/>
              <w:rPr>
                <w:sz w:val="19"/>
                <w:szCs w:val="19"/>
                <w:color w:val="auto"/>
              </w:rPr>
            </w:pPr>
          </w:p>
        </w:tc>
        <w:tc>
          <w:tcPr>
            <w:tcW w:w="562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and Accumulated Other Comprehensive Loss</w:t>
      </w:r>
    </w:p>
    <w:p>
      <w:pPr>
        <w:spacing w:after="0" w:line="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cash flow hedges, was as follows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Foreign Currency</w:t>
            </w:r>
          </w:p>
        </w:tc>
        <w:tc>
          <w:tcPr>
            <w:tcW w:w="160" w:type="dxa"/>
            <w:vAlign w:val="bottom"/>
          </w:tcPr>
          <w:p>
            <w:pPr>
              <w:spacing w:after="0"/>
              <w:rPr>
                <w:sz w:val="17"/>
                <w:szCs w:val="17"/>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Cash Flow</w:t>
            </w:r>
          </w:p>
        </w:tc>
        <w:tc>
          <w:tcPr>
            <w:tcW w:w="18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Accumulated Other</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Hedges</w:t>
            </w:r>
          </w:p>
        </w:tc>
        <w:tc>
          <w:tcPr>
            <w:tcW w:w="188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Comprehensive Loss</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203.2</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jc w:val="center"/>
              <w:ind w:left="490"/>
              <w:spacing w:after="0"/>
              <w:rPr>
                <w:sz w:val="20"/>
                <w:szCs w:val="20"/>
                <w:color w:val="auto"/>
              </w:rPr>
            </w:pPr>
            <w:r>
              <w:rPr>
                <w:rFonts w:ascii="Arial" w:cs="Arial" w:eastAsia="Arial" w:hAnsi="Arial"/>
                <w:sz w:val="18"/>
                <w:szCs w:val="18"/>
                <w:color w:val="auto"/>
                <w:w w:val="97"/>
              </w:rPr>
              <w:t>189.6</w:t>
            </w:r>
          </w:p>
        </w:tc>
        <w:tc>
          <w:tcPr>
            <w:tcW w:w="0" w:type="dxa"/>
            <w:vAlign w:val="bottom"/>
          </w:tcPr>
          <w:p>
            <w:pPr>
              <w:spacing w:after="0"/>
              <w:rPr>
                <w:sz w:val="1"/>
                <w:szCs w:val="1"/>
                <w:color w:val="auto"/>
              </w:rPr>
            </w:pPr>
          </w:p>
        </w:tc>
      </w:tr>
      <w:tr>
        <w:trPr>
          <w:trHeight w:val="188"/>
        </w:trPr>
        <w:tc>
          <w:tcPr>
            <w:tcW w:w="5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Amounts reclassified from accumulated other comprehensive income</w:t>
            </w: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center"/>
              <w:ind w:left="47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188"/>
        </w:trPr>
        <w:tc>
          <w:tcPr>
            <w:tcW w:w="5940" w:type="dxa"/>
            <w:vAlign w:val="bottom"/>
          </w:tcPr>
          <w:p>
            <w:pPr>
              <w:ind w:left="20"/>
              <w:spacing w:after="0" w:line="189" w:lineRule="exact"/>
              <w:rPr>
                <w:sz w:val="20"/>
                <w:szCs w:val="20"/>
                <w:color w:val="auto"/>
              </w:rPr>
            </w:pPr>
            <w:r>
              <w:rPr>
                <w:rFonts w:ascii="Arial" w:cs="Arial" w:eastAsia="Arial" w:hAnsi="Arial"/>
                <w:sz w:val="18"/>
                <w:szCs w:val="18"/>
                <w:color w:val="auto"/>
              </w:rPr>
              <w:t>Amounts reclassified from accumulated other comprehensive income</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20"/>
                <w:szCs w:val="20"/>
                <w:color w:val="auto"/>
              </w:rPr>
            </w:pP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tcPr>
          <w:p>
            <w:pPr>
              <w:jc w:val="center"/>
              <w:ind w:left="490"/>
              <w:spacing w:after="0"/>
              <w:rPr>
                <w:sz w:val="20"/>
                <w:szCs w:val="20"/>
                <w:color w:val="auto"/>
              </w:rPr>
            </w:pPr>
            <w:r>
              <w:rPr>
                <w:rFonts w:ascii="Arial" w:cs="Arial" w:eastAsia="Arial" w:hAnsi="Arial"/>
                <w:sz w:val="18"/>
                <w:szCs w:val="18"/>
                <w:color w:val="auto"/>
                <w:w w:val="97"/>
              </w:rPr>
              <w:t>122.9</w:t>
            </w: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foreign currency translation adjustment losses for the years ended December 31, 2022 and 2021 were primarily due to the effect of a stronger U.S. dollar compared to most foreign currencies, including the British Pound.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Some of these leases are embedded within other arrangements. Some of these arrangements are for periods of twelve months or less, while others are for longer periods, and may include optional renewals, terminations or purchase options, which are considered in our assessments when they are reasonably certain to occur. In addition, certain of these arrangements contain payments based on an index, market-based escalation or volume which may impact future payments. Most of our leases typically contain general covenants, restrictions or requirements such as maintaining minimum insurance coverage.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total lease cost related to our lease arrangements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29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18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29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73.3</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20" w:type="dxa"/>
            <w:vAlign w:val="bottom"/>
            <w:vMerge w:val="restart"/>
          </w:tcPr>
          <w:p>
            <w:pPr>
              <w:jc w:val="right"/>
              <w:ind w:right="236"/>
              <w:spacing w:after="0"/>
              <w:rPr>
                <w:sz w:val="20"/>
                <w:szCs w:val="20"/>
                <w:color w:val="auto"/>
              </w:rPr>
            </w:pPr>
            <w:r>
              <w:rPr>
                <w:rFonts w:ascii="Arial" w:cs="Arial" w:eastAsia="Arial" w:hAnsi="Arial"/>
                <w:sz w:val="14"/>
                <w:szCs w:val="14"/>
                <w:color w:val="auto"/>
              </w:rPr>
              <w:t>79</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5"/>
        </w:trPr>
        <w:tc>
          <w:tcPr>
            <w:tcW w:w="42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200" w:type="dxa"/>
            <w:vAlign w:val="bottom"/>
            <w:tcBorders>
              <w:bottom w:val="single" w:sz="8" w:color="9A9A9A"/>
            </w:tcBorders>
          </w:tcPr>
          <w:p>
            <w:pPr>
              <w:spacing w:after="0"/>
              <w:rPr>
                <w:sz w:val="19"/>
                <w:szCs w:val="19"/>
                <w:color w:val="auto"/>
              </w:rPr>
            </w:pPr>
          </w:p>
        </w:tc>
        <w:tc>
          <w:tcPr>
            <w:tcW w:w="18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952"/>
        </w:trPr>
        <w:tc>
          <w:tcPr>
            <w:tcW w:w="7780" w:type="dxa"/>
            <w:vAlign w:val="bottom"/>
            <w:gridSpan w:val="5"/>
          </w:tcPr>
          <w:p>
            <w:pPr>
              <w:spacing w:after="0"/>
              <w:rPr>
                <w:sz w:val="20"/>
                <w:szCs w:val="20"/>
                <w:color w:val="auto"/>
              </w:rPr>
            </w:pPr>
            <w:r>
              <w:rPr>
                <w:rFonts w:ascii="Arial" w:cs="Arial" w:eastAsia="Arial" w:hAnsi="Arial"/>
                <w:sz w:val="18"/>
                <w:szCs w:val="18"/>
                <w:color w:val="auto"/>
              </w:rPr>
              <w:t>As of December 31, 2022, our remaining lease payments were as follows (in millions):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4"/>
        </w:trPr>
        <w:tc>
          <w:tcPr>
            <w:tcW w:w="1400" w:type="dxa"/>
            <w:vAlign w:val="bottom"/>
            <w:tcBorders>
              <w:bottom w:val="single" w:sz="8" w:color="CCEEFF"/>
            </w:tcBorders>
          </w:tcPr>
          <w:p>
            <w:pPr>
              <w:spacing w:after="0"/>
              <w:rPr>
                <w:sz w:val="24"/>
                <w:szCs w:val="24"/>
                <w:color w:val="auto"/>
              </w:rPr>
            </w:pPr>
          </w:p>
        </w:tc>
        <w:tc>
          <w:tcPr>
            <w:tcW w:w="2420" w:type="dxa"/>
            <w:vAlign w:val="bottom"/>
            <w:tcBorders>
              <w:bottom w:val="single" w:sz="8" w:color="CCEEFF"/>
            </w:tcBorders>
          </w:tcPr>
          <w:p>
            <w:pPr>
              <w:spacing w:after="0"/>
              <w:rPr>
                <w:sz w:val="24"/>
                <w:szCs w:val="24"/>
                <w:color w:val="auto"/>
              </w:rPr>
            </w:pPr>
          </w:p>
        </w:tc>
        <w:tc>
          <w:tcPr>
            <w:tcW w:w="2880" w:type="dxa"/>
            <w:vAlign w:val="bottom"/>
            <w:tcBorders>
              <w:bottom w:val="single" w:sz="8" w:color="CCEEFF"/>
            </w:tcBorders>
          </w:tcPr>
          <w:p>
            <w:pPr>
              <w:spacing w:after="0"/>
              <w:rPr>
                <w:sz w:val="24"/>
                <w:szCs w:val="24"/>
                <w:color w:val="auto"/>
              </w:rPr>
            </w:pPr>
          </w:p>
        </w:tc>
        <w:tc>
          <w:tcPr>
            <w:tcW w:w="22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9"/>
              </w:rPr>
              <w:t>Finance Leases</w:t>
            </w:r>
          </w:p>
        </w:tc>
      </w:tr>
      <w:tr>
        <w:trPr>
          <w:trHeight w:val="223"/>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2024</w:t>
            </w:r>
          </w:p>
        </w:tc>
        <w:tc>
          <w:tcPr>
            <w:tcW w:w="24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2026</w:t>
            </w:r>
          </w:p>
        </w:tc>
        <w:tc>
          <w:tcPr>
            <w:tcW w:w="24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Total remaining lease payments (undiscounted)</w:t>
            </w: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8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82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6700" w:type="dxa"/>
            <w:vAlign w:val="bottom"/>
            <w:tcBorders>
              <w:top w:val="single" w:sz="8" w:color="CCEEFF"/>
            </w:tcBorders>
            <w:gridSpan w:val="3"/>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447"/>
        </w:trPr>
        <w:tc>
          <w:tcPr>
            <w:tcW w:w="7780" w:type="dxa"/>
            <w:vAlign w:val="bottom"/>
            <w:gridSpan w:val="5"/>
          </w:tcPr>
          <w:p>
            <w:pPr>
              <w:spacing w:after="0"/>
              <w:rPr>
                <w:sz w:val="20"/>
                <w:szCs w:val="20"/>
                <w:color w:val="auto"/>
              </w:rPr>
            </w:pPr>
            <w:r>
              <w:rPr>
                <w:rFonts w:ascii="Arial" w:cs="Arial" w:eastAsia="Arial" w:hAnsi="Arial"/>
                <w:sz w:val="18"/>
                <w:szCs w:val="18"/>
                <w:color w:val="auto"/>
              </w:rPr>
              <w:t>Supplemental balance sheet information related to leases (in millions):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4"/>
        </w:trPr>
        <w:tc>
          <w:tcPr>
            <w:tcW w:w="1400" w:type="dxa"/>
            <w:vAlign w:val="bottom"/>
            <w:tcBorders>
              <w:bottom w:val="single" w:sz="8" w:color="CCEEFF"/>
            </w:tcBorders>
          </w:tcPr>
          <w:p>
            <w:pPr>
              <w:spacing w:after="0"/>
              <w:rPr>
                <w:sz w:val="24"/>
                <w:szCs w:val="24"/>
                <w:color w:val="auto"/>
              </w:rPr>
            </w:pPr>
          </w:p>
        </w:tc>
        <w:tc>
          <w:tcPr>
            <w:tcW w:w="2420" w:type="dxa"/>
            <w:vAlign w:val="bottom"/>
            <w:tcBorders>
              <w:bottom w:val="single" w:sz="8" w:color="CCEEFF"/>
            </w:tcBorders>
          </w:tcPr>
          <w:p>
            <w:pPr>
              <w:spacing w:after="0"/>
              <w:rPr>
                <w:sz w:val="24"/>
                <w:szCs w:val="24"/>
                <w:color w:val="auto"/>
              </w:rPr>
            </w:pPr>
          </w:p>
        </w:tc>
        <w:tc>
          <w:tcPr>
            <w:tcW w:w="28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23"/>
        </w:trPr>
        <w:tc>
          <w:tcPr>
            <w:tcW w:w="14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320"/>
              <w:spacing w:after="0"/>
              <w:rPr>
                <w:sz w:val="20"/>
                <w:szCs w:val="20"/>
                <w:color w:val="auto"/>
              </w:rPr>
            </w:pPr>
            <w:r>
              <w:rPr>
                <w:rFonts w:ascii="Arial" w:cs="Arial" w:eastAsia="Arial" w:hAnsi="Arial"/>
                <w:sz w:val="18"/>
                <w:szCs w:val="18"/>
                <w:b w:val="1"/>
                <w:bCs w:val="1"/>
                <w:color w:val="auto"/>
              </w:rPr>
              <w:t>Classification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0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28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188"/>
        </w:trPr>
        <w:tc>
          <w:tcPr>
            <w:tcW w:w="382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Operating lease assets</w:t>
            </w:r>
          </w:p>
        </w:tc>
        <w:tc>
          <w:tcPr>
            <w:tcW w:w="396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Identifiable intangible and other non-current</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0"/>
        </w:trPr>
        <w:tc>
          <w:tcPr>
            <w:tcW w:w="14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188.5</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29"/>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Finance lease assets</w:t>
            </w:r>
          </w:p>
        </w:tc>
        <w:tc>
          <w:tcPr>
            <w:tcW w:w="3960" w:type="dxa"/>
            <w:vAlign w:val="bottom"/>
            <w:gridSpan w:val="3"/>
          </w:tcPr>
          <w:p>
            <w:pPr>
              <w:ind w:left="20"/>
              <w:spacing w:after="0"/>
              <w:rPr>
                <w:sz w:val="20"/>
                <w:szCs w:val="20"/>
                <w:color w:val="auto"/>
              </w:rPr>
            </w:pPr>
            <w:r>
              <w:rPr>
                <w:rFonts w:ascii="Arial" w:cs="Arial" w:eastAsia="Arial" w:hAnsi="Arial"/>
                <w:sz w:val="18"/>
                <w:szCs w:val="18"/>
                <w:color w:val="auto"/>
              </w:rPr>
              <w:t>Property and equipment, net</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0"/>
        </w:trPr>
        <w:tc>
          <w:tcPr>
            <w:tcW w:w="3820" w:type="dxa"/>
            <w:vAlign w:val="bottom"/>
            <w:gridSpan w:val="2"/>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liability - current</w:t>
            </w:r>
          </w:p>
        </w:tc>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liability - long-term</w:t>
            </w:r>
          </w:p>
        </w:tc>
        <w:tc>
          <w:tcPr>
            <w:tcW w:w="3960" w:type="dxa"/>
            <w:vAlign w:val="bottom"/>
            <w:gridSpan w:val="3"/>
          </w:tcPr>
          <w:p>
            <w:pPr>
              <w:ind w:left="20"/>
              <w:spacing w:after="0"/>
              <w:rPr>
                <w:sz w:val="20"/>
                <w:szCs w:val="20"/>
                <w:color w:val="auto"/>
              </w:rPr>
            </w:pPr>
            <w:r>
              <w:rPr>
                <w:rFonts w:ascii="Arial" w:cs="Arial" w:eastAsia="Arial" w:hAnsi="Arial"/>
                <w:sz w:val="18"/>
                <w:szCs w:val="18"/>
                <w:color w:val="auto"/>
              </w:rPr>
              <w:t>Other long-term liabilities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164.2</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133.8</w:t>
            </w: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liability - current</w:t>
            </w:r>
          </w:p>
        </w:tc>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maturities of long-term debt</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Finance lease liability - long-term</w:t>
            </w:r>
          </w:p>
        </w:tc>
        <w:tc>
          <w:tcPr>
            <w:tcW w:w="396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459"/>
        </w:trPr>
        <w:tc>
          <w:tcPr>
            <w:tcW w:w="3820" w:type="dxa"/>
            <w:vAlign w:val="bottom"/>
            <w:gridSpan w:val="2"/>
          </w:tcPr>
          <w:p>
            <w:pPr>
              <w:spacing w:after="0"/>
              <w:rPr>
                <w:sz w:val="20"/>
                <w:szCs w:val="20"/>
                <w:color w:val="auto"/>
              </w:rPr>
            </w:pPr>
            <w:r>
              <w:rPr>
                <w:rFonts w:ascii="Arial" w:cs="Arial" w:eastAsia="Arial" w:hAnsi="Arial"/>
                <w:sz w:val="18"/>
                <w:szCs w:val="18"/>
                <w:color w:val="auto"/>
              </w:rPr>
              <w:t>Other information related to leases:</w:t>
            </w: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4"/>
        </w:trPr>
        <w:tc>
          <w:tcPr>
            <w:tcW w:w="1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23"/>
        </w:trPr>
        <w:tc>
          <w:tcPr>
            <w:tcW w:w="140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33333"/>
              </w:rPr>
              <w:t>2022</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333333"/>
              </w:rPr>
              <w:t>2021</w:t>
            </w:r>
          </w:p>
        </w:tc>
      </w:tr>
      <w:tr>
        <w:trPr>
          <w:trHeight w:val="223"/>
        </w:trPr>
        <w:tc>
          <w:tcPr>
            <w:tcW w:w="77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of finance leases (in years)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5.6</w:t>
            </w:r>
          </w:p>
        </w:tc>
      </w:tr>
      <w:tr>
        <w:trPr>
          <w:trHeight w:val="230"/>
        </w:trPr>
        <w:tc>
          <w:tcPr>
            <w:tcW w:w="7780" w:type="dxa"/>
            <w:vAlign w:val="bottom"/>
            <w:gridSpan w:val="5"/>
          </w:tcPr>
          <w:p>
            <w:pPr>
              <w:ind w:left="20"/>
              <w:spacing w:after="0"/>
              <w:rPr>
                <w:sz w:val="20"/>
                <w:szCs w:val="20"/>
                <w:color w:val="auto"/>
              </w:rPr>
            </w:pPr>
            <w:r>
              <w:rPr>
                <w:rFonts w:ascii="Arial" w:cs="Arial" w:eastAsia="Arial" w:hAnsi="Arial"/>
                <w:sz w:val="18"/>
                <w:szCs w:val="18"/>
                <w:color w:val="auto"/>
              </w:rPr>
              <w:t>Weighted average remaining lease term of operating leases (in years)</w:t>
            </w:r>
          </w:p>
        </w:tc>
        <w:tc>
          <w:tcPr>
            <w:tcW w:w="112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center"/>
              <w:ind w:left="490"/>
              <w:spacing w:after="0"/>
              <w:rPr>
                <w:sz w:val="20"/>
                <w:szCs w:val="20"/>
                <w:color w:val="auto"/>
              </w:rPr>
            </w:pPr>
            <w:r>
              <w:rPr>
                <w:rFonts w:ascii="Arial" w:cs="Arial" w:eastAsia="Arial" w:hAnsi="Arial"/>
                <w:sz w:val="18"/>
                <w:szCs w:val="18"/>
                <w:color w:val="auto"/>
              </w:rPr>
              <w:t>6.9</w:t>
            </w:r>
          </w:p>
        </w:tc>
      </w:tr>
      <w:tr>
        <w:trPr>
          <w:trHeight w:val="230"/>
        </w:trPr>
        <w:tc>
          <w:tcPr>
            <w:tcW w:w="77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of finance leases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7"/>
              </w:rPr>
              <w:t>3.4%</w:t>
            </w:r>
          </w:p>
        </w:tc>
      </w:tr>
      <w:tr>
        <w:trPr>
          <w:trHeight w:val="230"/>
        </w:trPr>
        <w:tc>
          <w:tcPr>
            <w:tcW w:w="7780" w:type="dxa"/>
            <w:vAlign w:val="bottom"/>
            <w:gridSpan w:val="5"/>
          </w:tcPr>
          <w:p>
            <w:pPr>
              <w:ind w:left="20"/>
              <w:spacing w:after="0"/>
              <w:rPr>
                <w:sz w:val="20"/>
                <w:szCs w:val="20"/>
                <w:color w:val="auto"/>
              </w:rPr>
            </w:pPr>
            <w:r>
              <w:rPr>
                <w:rFonts w:ascii="Arial" w:cs="Arial" w:eastAsia="Arial" w:hAnsi="Arial"/>
                <w:sz w:val="18"/>
                <w:szCs w:val="18"/>
                <w:color w:val="auto"/>
              </w:rPr>
              <w:t>Weighted average discount rate of operating leases</w:t>
            </w:r>
          </w:p>
        </w:tc>
        <w:tc>
          <w:tcPr>
            <w:tcW w:w="11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center"/>
              <w:ind w:left="510"/>
              <w:spacing w:after="0"/>
              <w:rPr>
                <w:sz w:val="20"/>
                <w:szCs w:val="20"/>
                <w:color w:val="auto"/>
              </w:rPr>
            </w:pPr>
            <w:r>
              <w:rPr>
                <w:rFonts w:ascii="Arial" w:cs="Arial" w:eastAsia="Arial" w:hAnsi="Arial"/>
                <w:sz w:val="18"/>
                <w:szCs w:val="18"/>
                <w:color w:val="auto"/>
                <w:w w:val="97"/>
              </w:rPr>
              <w:t>5.2%</w:t>
            </w:r>
          </w:p>
        </w:tc>
      </w:tr>
      <w:tr>
        <w:trPr>
          <w:trHeight w:val="229"/>
        </w:trPr>
        <w:tc>
          <w:tcPr>
            <w:tcW w:w="77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 (in millions):</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0.7</w:t>
            </w:r>
          </w:p>
        </w:tc>
      </w:tr>
      <w:tr>
        <w:trPr>
          <w:trHeight w:val="230"/>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44.8</w:t>
            </w:r>
          </w:p>
        </w:tc>
      </w:tr>
      <w:tr>
        <w:trPr>
          <w:trHeight w:val="230"/>
        </w:trPr>
        <w:tc>
          <w:tcPr>
            <w:tcW w:w="3820" w:type="dxa"/>
            <w:vAlign w:val="bottom"/>
            <w:gridSpan w:val="2"/>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w:t>
            </w:r>
          </w:p>
        </w:tc>
      </w:tr>
      <w:tr>
        <w:trPr>
          <w:trHeight w:val="229"/>
        </w:trPr>
        <w:tc>
          <w:tcPr>
            <w:tcW w:w="77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lease activities (in millions):</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780" w:type="dxa"/>
            <w:vAlign w:val="bottom"/>
            <w:gridSpan w:val="5"/>
          </w:tcPr>
          <w:p>
            <w:pPr>
              <w:ind w:left="140"/>
              <w:spacing w:after="0" w:line="230" w:lineRule="exact"/>
              <w:rPr>
                <w:sz w:val="20"/>
                <w:szCs w:val="20"/>
                <w:color w:val="auto"/>
              </w:rPr>
            </w:pPr>
            <w:r>
              <w:rPr>
                <w:rFonts w:ascii="Arial" w:cs="Arial" w:eastAsia="Arial" w:hAnsi="Arial"/>
                <w:sz w:val="18"/>
                <w:szCs w:val="18"/>
                <w:color w:val="auto"/>
              </w:rPr>
              <w:t xml:space="preserve">Right of use assets obtained in exchange for new operating lease liability </w:t>
            </w:r>
            <w:r>
              <w:rPr>
                <w:rFonts w:ascii="Arial" w:cs="Arial" w:eastAsia="Arial" w:hAnsi="Arial"/>
                <w:sz w:val="23"/>
                <w:szCs w:val="23"/>
                <w:color w:val="auto"/>
                <w:vertAlign w:val="superscript"/>
              </w:rPr>
              <w:t>(1)</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83.2</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45.9</w:t>
            </w:r>
          </w:p>
        </w:tc>
      </w:tr>
      <w:tr>
        <w:trPr>
          <w:trHeight w:val="230"/>
        </w:trPr>
        <w:tc>
          <w:tcPr>
            <w:tcW w:w="77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Right of use assets obtained in exchange for new finance lease liability</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0.6</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rPr>
              <w:t>6.8</w:t>
            </w:r>
          </w:p>
        </w:tc>
      </w:tr>
    </w:tbl>
    <w:p>
      <w:pPr>
        <w:spacing w:after="0" w:line="154"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Includes $45.0 million of right of use assets recognized upon acquisition of Flyers, as discussed in Note 3. Acquisitions and Divestitures.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Segments, Geographic Information, and Major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three reportable segments consisting of aviation, land, and marine. Our operating segments are determined based on the different markets in which we provide products and services, which are defined primarily by the customers (businesses and governmental) and the products and services provided to those customers. We use Income from operations as our primary measure of profit as we believe it is the most meaningful measure to allocate resources and assess the performance or our segments.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aviation segment, we provide fuel and comprehensive services solutions to major commercial airlines, second and third-tier airlines, cargo carriers, regional and low cost carriers, airports, fixed based operators, corporate fleets, charter and fractional operators, and private aircraft. In addition, we supply fuel and provide services to U.S. and foreign government, intergovernmental and military customers, such as the U.S. Defense Logistics Agency and the North Atlantic Treaty Organization ("NATO").</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land segment, we offer fuel, lubricants, heating oil, natural gas, power, lower carbon alternatives and related products and services. We also offer energy procurement management, price risk management, as well as sustainability solutions, including carbon management and renewable energy solutions through World Kinect, our global energy management brand. Our customers include commercial, residential and government customers as well as retail petroleum operators.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marine segment product and service offerings include fuel, lubricants and related products and services to a broad base of customers, including international container, dry bulk and tanker fleets, commercial cruise lines, yachts and time charter operators, offshore rig owners and operators, the U.S. and foreign governments as well as other fuel suppliers.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 Corporate expenses are allocated to the segments based on usage, where possible, or on other factors according to the nature of the activity.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Aviation segment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26,799.9</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12,824.3</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8,179.6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19,283.7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6,663.1</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Marine segment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8,085.8</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5,515.7</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59,043.1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31,337.0</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20,358.3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overhead - unallocated</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income from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segment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capital expenditures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740" w:firstLine="8"/>
        <w:spacing w:after="0" w:line="353" w:lineRule="auto"/>
        <w:tabs>
          <w:tab w:leader="none" w:pos="318" w:val="left"/>
        </w:tabs>
        <w:numPr>
          <w:ilvl w:val="0"/>
          <w:numId w:val="32"/>
        </w:numPr>
        <w:rPr>
          <w:rFonts w:ascii="Arial" w:cs="Arial" w:eastAsia="Arial" w:hAnsi="Arial"/>
          <w:sz w:val="22"/>
          <w:szCs w:val="22"/>
          <w:color w:val="auto"/>
          <w:vertAlign w:val="superscript"/>
        </w:rPr>
      </w:pPr>
      <w:r>
        <w:rPr>
          <w:rFonts w:ascii="Arial" w:cs="Arial" w:eastAsia="Arial" w:hAnsi="Arial"/>
          <w:sz w:val="17"/>
          <w:szCs w:val="17"/>
          <w:color w:val="auto"/>
        </w:rPr>
        <w:t>Includes asset impairment and restructuring charges as discussed in Note 15. Restructuring. Information concerning our accounts receivable, net, and total assets by segment is as follows (in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780" w:type="dxa"/>
            <w:vAlign w:val="bottom"/>
          </w:tcPr>
          <w:p>
            <w:pPr>
              <w:ind w:left="140"/>
              <w:spacing w:after="0" w:line="189" w:lineRule="exact"/>
              <w:rPr>
                <w:sz w:val="20"/>
                <w:szCs w:val="20"/>
                <w:color w:val="auto"/>
              </w:rPr>
            </w:pPr>
            <w:r>
              <w:rPr>
                <w:rFonts w:ascii="Arial" w:cs="Arial" w:eastAsia="Arial" w:hAnsi="Arial"/>
                <w:sz w:val="18"/>
                <w:szCs w:val="18"/>
                <w:color w:val="auto"/>
              </w:rPr>
              <w:t>Aviation segment, net of allowance for credit losses of $4.9 and $18.4 as of December 31, 2022</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and 2021, respectively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1,452.4</w:t>
            </w:r>
          </w:p>
        </w:tc>
        <w:tc>
          <w:tcPr>
            <w:tcW w:w="1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188"/>
        </w:trPr>
        <w:tc>
          <w:tcPr>
            <w:tcW w:w="77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9"/>
              </w:rPr>
              <w:t>Land segment, net of allowance for credit losses of $5.8 and $3.8 as of December 31, 2022 and</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 respectively</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1,141.9</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188"/>
        </w:trPr>
        <w:tc>
          <w:tcPr>
            <w:tcW w:w="7780" w:type="dxa"/>
            <w:vAlign w:val="bottom"/>
          </w:tcPr>
          <w:p>
            <w:pPr>
              <w:ind w:left="140"/>
              <w:spacing w:after="0" w:line="189" w:lineRule="exact"/>
              <w:rPr>
                <w:sz w:val="20"/>
                <w:szCs w:val="20"/>
                <w:color w:val="auto"/>
              </w:rPr>
            </w:pPr>
            <w:r>
              <w:rPr>
                <w:rFonts w:ascii="Arial" w:cs="Arial" w:eastAsia="Arial" w:hAnsi="Arial"/>
                <w:sz w:val="18"/>
                <w:szCs w:val="18"/>
                <w:color w:val="auto"/>
              </w:rPr>
              <w:t>Marine segment, net of allowance for credit losses of $3.4 and $3.9 as of December 31, 2022</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and 2021, respectively</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accounts receivable,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3,710.1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2,106.1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1,022.7</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4"/>
                <w:szCs w:val="14"/>
                <w:color w:val="auto"/>
              </w:rPr>
              <w:t>82</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7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8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concerning our revenue and property and equipment, net, as segregated between the Americas, EMEA (Europe, Middle East and Africa) and the Asia Pacific regions, is presented as follows, based on the country of incorporation of the relevant subsidiary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09"/>
        </w:trPr>
        <w:tc>
          <w:tcPr>
            <w:tcW w:w="5980" w:type="dxa"/>
            <w:vAlign w:val="bottom"/>
            <w:shd w:val="clear" w:color="auto" w:fill="CCEEFF"/>
          </w:tcPr>
          <w:p>
            <w:pPr>
              <w:jc w:val="right"/>
              <w:ind w:right="509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32,901.7</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16,696.2</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10,365.2</w:t>
            </w:r>
          </w:p>
        </w:tc>
      </w:tr>
      <w:tr>
        <w:trPr>
          <w:trHeight w:val="230"/>
        </w:trPr>
        <w:tc>
          <w:tcPr>
            <w:tcW w:w="5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4,961.0</w:t>
            </w:r>
          </w:p>
        </w:tc>
      </w:tr>
      <w:tr>
        <w:trPr>
          <w:trHeight w:val="229"/>
        </w:trPr>
        <w:tc>
          <w:tcPr>
            <w:tcW w:w="59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Asia Pacific </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7,076.6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4,620.0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3,035.6</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Americas, excluding United States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3,285.1</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1,996.6</w:t>
            </w:r>
          </w:p>
        </w:tc>
      </w:tr>
      <w:tr>
        <w:trPr>
          <w:trHeight w:val="223"/>
        </w:trPr>
        <w:tc>
          <w:tcPr>
            <w:tcW w:w="5980" w:type="dxa"/>
            <w:vAlign w:val="bottom"/>
          </w:tcPr>
          <w:p>
            <w:pPr>
              <w:jc w:val="right"/>
              <w:ind w:right="509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(3)</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59,043.1</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31,337.0</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20,358.3</w:t>
            </w:r>
          </w:p>
        </w:tc>
      </w:tr>
      <w:tr>
        <w:trPr>
          <w:trHeight w:val="21"/>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323.7</w:t>
            </w:r>
          </w:p>
        </w:tc>
        <w:tc>
          <w:tcPr>
            <w:tcW w:w="14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183.9</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excluding United States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w:t>
            </w:r>
          </w:p>
        </w:tc>
      </w:tr>
      <w:tr>
        <w:trPr>
          <w:trHeight w:val="20"/>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Includes revenue related to the U.K. of $6.7 billion, $4.2 billion and $3.1 billion for 2022, 2021 and 2020, respectively.</w:t>
      </w:r>
    </w:p>
    <w:p>
      <w:pPr>
        <w:spacing w:after="0" w:line="71" w:lineRule="exact"/>
        <w:rPr>
          <w:rFonts w:ascii="Arial" w:cs="Arial" w:eastAsia="Arial" w:hAnsi="Arial"/>
          <w:sz w:val="23"/>
          <w:szCs w:val="23"/>
          <w:color w:val="auto"/>
          <w:vertAlign w:val="superscript"/>
        </w:rPr>
      </w:pPr>
    </w:p>
    <w:p>
      <w:pPr>
        <w:ind w:left="320" w:hanging="312"/>
        <w:spacing w:after="0" w:line="229" w:lineRule="auto"/>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Includes revenue related to Singapore of $7.2 billion, $4.6 billion and $3.0 billion for 2022, 2021 and 2020, respectively.</w:t>
      </w:r>
    </w:p>
    <w:p>
      <w:pPr>
        <w:spacing w:after="0" w:line="107" w:lineRule="exact"/>
        <w:rPr>
          <w:rFonts w:ascii="Arial" w:cs="Arial" w:eastAsia="Arial" w:hAnsi="Arial"/>
          <w:sz w:val="23"/>
          <w:szCs w:val="23"/>
          <w:color w:val="auto"/>
          <w:vertAlign w:val="superscript"/>
        </w:rPr>
      </w:pPr>
    </w:p>
    <w:p>
      <w:pPr>
        <w:ind w:left="340" w:hanging="332"/>
        <w:spacing w:after="0" w:line="220"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Geographic revenue information in this table includes impacts from derivatives and hedging activities, which are excluded from that geographic revenue information presented at Note 9. Revenue from Contracts with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years ended December 31, 2022, 2021, and 2020, none of our customers accounted for more than 10% of total consolidated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Program</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review of our land business and changes in the overall economic landscape for all our reportable segments due to the COVID-19 pandemic, in the first quarter of 2020, we implemented a restructuring initiative focused on streamlining our operations and rationalizing our deployment and allocation of resources. While we took several actions during the year ended December 31, 2020, our focus was primarily on cost-reduction initiatives in response to the pandemic. In 2021, we heightened our focus on restructuring our land business in North America, which has included reorganizing and relocating certain business activities, as well as implementing changes to the operational and management structure of the business. During the fourth quarter of 2021, we were able to complete all necessary activities and close the restructuring program. During the year ended December 31, 2022, we released the remaining accrual associated with the restructuring program, which resulted in the reversal of $0.8 million of previously recognized restructuring charges.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restructuring activities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Aviation</w:t>
            </w:r>
          </w:p>
        </w:tc>
        <w:tc>
          <w:tcPr>
            <w:tcW w:w="26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Land</w:t>
            </w: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charges as of December 31, 2020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 during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Accrued charges as of December 31, 2021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Paid during the period</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charges as of December 31, 2022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Global Office Rationalization</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second quarter of 2020, we completed a cost reduction initiative to rationalize our global office footprint and approved the abandonment of certain office leases, including the transition of select offices to smaller or more cost-effective locations. These asset groups, consisting mainly of right-of-use assets and leasehold improvements, were tested for impairment. We concluded that the carrying amounts of these asset groups were not recoverable and the fair value determined was concluded to be nominal based on a discounted cash flow model. As a result, an $18.6 million impairment charge was recorded during the second quarter of 2020 and included within Asset impairments on our Consolidated Statements of Income and Comprehensive Income.</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provides a summary of this impairment by reportable business segment for the year ended December 31, 2020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Aviation</w:t>
            </w:r>
          </w:p>
        </w:tc>
        <w:tc>
          <w:tcPr>
            <w:tcW w:w="26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Land</w:t>
            </w: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513"/>
        </w:trPr>
        <w:tc>
          <w:tcPr>
            <w:tcW w:w="4320" w:type="dxa"/>
            <w:vAlign w:val="bottom"/>
          </w:tcPr>
          <w:p>
            <w:pPr>
              <w:spacing w:after="0"/>
              <w:rPr>
                <w:sz w:val="20"/>
                <w:szCs w:val="20"/>
                <w:color w:val="auto"/>
              </w:rPr>
            </w:pPr>
            <w:r>
              <w:rPr>
                <w:rFonts w:ascii="Arial" w:cs="Arial" w:eastAsia="Arial" w:hAnsi="Arial"/>
                <w:sz w:val="18"/>
                <w:szCs w:val="18"/>
                <w:b w:val="1"/>
                <w:bCs w:val="1"/>
                <w:color w:val="auto"/>
              </w:rPr>
              <w:t>16. Earnings per Common Share</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9"/>
              </w:rPr>
              <w:t>For the Year Ended 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Net income (loss) attributable to World Fuel</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line="230" w:lineRule="exact"/>
              <w:rPr>
                <w:sz w:val="20"/>
                <w:szCs w:val="20"/>
                <w:color w:val="auto"/>
              </w:rPr>
            </w:pPr>
            <w:r>
              <w:rPr>
                <w:rFonts w:ascii="Arial" w:cs="Arial" w:eastAsia="Arial" w:hAnsi="Arial"/>
                <w:sz w:val="18"/>
                <w:szCs w:val="18"/>
                <w:color w:val="auto"/>
              </w:rPr>
              <w:t>Weighted average common shares for basic earnings per common share</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360" w:type="dxa"/>
            <w:vAlign w:val="bottom"/>
          </w:tcPr>
          <w:p>
            <w:pPr>
              <w:ind w:left="14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(loss) per common share</w:t>
            </w:r>
          </w:p>
        </w:tc>
        <w:tc>
          <w:tcPr>
            <w:tcW w:w="980" w:type="dxa"/>
            <w:vAlign w:val="bottom"/>
            <w:tcBorders>
              <w:bottom w:val="single" w:sz="8" w:color="auto"/>
            </w:tcBorders>
          </w:tcPr>
          <w:p>
            <w:pPr>
              <w:jc w:val="right"/>
              <w:ind w:right="770"/>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14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Weighted average securities which are not included in the calculation of diluted</w:t>
            </w: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earnings per common share because their impact is anti-dilutive or their</w:t>
            </w:r>
          </w:p>
        </w:tc>
        <w:tc>
          <w:tcPr>
            <w:tcW w:w="9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performance conditions have not been met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spacing w:after="0" w:line="199" w:lineRule="exact"/>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w:t>
      </w:r>
      <w:r>
        <w:rPr>
          <w:rFonts w:ascii="MS PGothic" w:cs="MS PGothic" w:eastAsia="MS PGothic" w:hAnsi="MS PGothic"/>
          <w:sz w:val="16"/>
          <w:szCs w:val="16"/>
          <w:color w:val="auto"/>
        </w:rPr>
        <w:t>‑</w:t>
      </w:r>
      <w:r>
        <w:rPr>
          <w:rFonts w:ascii="Arial" w:cs="Arial" w:eastAsia="Arial" w:hAnsi="Arial"/>
          <w:sz w:val="16"/>
          <w:szCs w:val="16"/>
          <w:color w:val="auto"/>
        </w:rPr>
        <w:t>K to be signed on its behalf by the undersigned, thereunto duly authorized, on February 24, 2023.</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43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Michael J. Kasbar</w:t>
      </w:r>
    </w:p>
    <w:p>
      <w:pPr>
        <w:ind w:left="200"/>
        <w:spacing w:after="0"/>
        <w:rPr>
          <w:sz w:val="20"/>
          <w:szCs w:val="20"/>
          <w:color w:val="auto"/>
        </w:rPr>
      </w:pPr>
      <w:r>
        <w:rPr>
          <w:rFonts w:ascii="Arial" w:cs="Arial" w:eastAsia="Arial" w:hAnsi="Arial"/>
          <w:sz w:val="16"/>
          <w:szCs w:val="16"/>
          <w:color w:val="auto"/>
        </w:rPr>
        <w:t>Chairman, President and Chief Executive Officer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43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Ira M. Birns</w:t>
      </w:r>
    </w:p>
    <w:p>
      <w:pPr>
        <w:ind w:left="200"/>
        <w:spacing w:after="0"/>
        <w:rPr>
          <w:sz w:val="20"/>
          <w:szCs w:val="20"/>
          <w:color w:val="auto"/>
        </w:rPr>
      </w:pPr>
      <w:r>
        <w:rPr>
          <w:rFonts w:ascii="Arial" w:cs="Arial" w:eastAsia="Arial" w:hAnsi="Arial"/>
          <w:sz w:val="16"/>
          <w:szCs w:val="16"/>
          <w:color w:val="auto"/>
        </w:rPr>
        <w:t>Executive Vice President and Chief Financial Officer</w:t>
      </w:r>
    </w:p>
    <w:p>
      <w:pPr>
        <w:spacing w:after="0" w:line="127" w:lineRule="exact"/>
        <w:rPr>
          <w:sz w:val="20"/>
          <w:szCs w:val="20"/>
          <w:color w:val="auto"/>
        </w:rPr>
      </w:pPr>
    </w:p>
    <w:p>
      <w:pPr>
        <w:spacing w:after="0" w:line="192" w:lineRule="exact"/>
        <w:rPr>
          <w:sz w:val="20"/>
          <w:szCs w:val="20"/>
          <w:color w:val="auto"/>
        </w:rPr>
      </w:pPr>
      <w:r>
        <w:rPr>
          <w:rFonts w:ascii="Arial" w:cs="Arial" w:eastAsia="Arial" w:hAnsi="Arial"/>
          <w:sz w:val="16"/>
          <w:szCs w:val="16"/>
          <w:color w:val="auto"/>
        </w:rPr>
        <w:t>Pursuant to the requirements of the Securities Exchange Act of 1934, this Form 10</w:t>
      </w:r>
      <w:r>
        <w:rPr>
          <w:rFonts w:ascii="MS PGothic" w:cs="MS PGothic" w:eastAsia="MS PGothic" w:hAnsi="MS PGothic"/>
          <w:sz w:val="16"/>
          <w:szCs w:val="16"/>
          <w:color w:val="auto"/>
        </w:rPr>
        <w:t>‑</w:t>
      </w:r>
      <w:r>
        <w:rPr>
          <w:rFonts w:ascii="Arial" w:cs="Arial" w:eastAsia="Arial" w:hAnsi="Arial"/>
          <w:sz w:val="16"/>
          <w:szCs w:val="16"/>
          <w:color w:val="auto"/>
        </w:rPr>
        <w:t>K has been signed below by the following persons on behalf of the registrant and in the capacities indicated on February 24,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Signature</w:t>
            </w:r>
          </w:p>
        </w:tc>
        <w:tc>
          <w:tcPr>
            <w:tcW w:w="3860" w:type="dxa"/>
            <w:vAlign w:val="bottom"/>
          </w:tcPr>
          <w:p>
            <w:pPr>
              <w:ind w:left="120"/>
              <w:spacing w:after="0"/>
              <w:rPr>
                <w:sz w:val="20"/>
                <w:szCs w:val="20"/>
                <w:color w:val="auto"/>
              </w:rPr>
            </w:pPr>
            <w:r>
              <w:rPr>
                <w:rFonts w:ascii="Arial" w:cs="Arial" w:eastAsia="Arial" w:hAnsi="Arial"/>
                <w:sz w:val="16"/>
                <w:szCs w:val="16"/>
                <w:b w:val="1"/>
                <w:bCs w:val="1"/>
                <w:color w:val="auto"/>
              </w:rPr>
              <w:t>Title</w:t>
            </w:r>
          </w:p>
        </w:tc>
      </w:tr>
      <w:tr>
        <w:trPr>
          <w:trHeight w:val="21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J. KASBAR</w:t>
            </w:r>
          </w:p>
        </w:tc>
        <w:tc>
          <w:tcPr>
            <w:tcW w:w="3860" w:type="dxa"/>
            <w:vAlign w:val="bottom"/>
          </w:tcPr>
          <w:p>
            <w:pPr>
              <w:ind w:left="120"/>
              <w:spacing w:after="0"/>
              <w:rPr>
                <w:sz w:val="20"/>
                <w:szCs w:val="20"/>
                <w:color w:val="auto"/>
              </w:rPr>
            </w:pPr>
            <w:r>
              <w:rPr>
                <w:rFonts w:ascii="Arial" w:cs="Arial" w:eastAsia="Arial" w:hAnsi="Arial"/>
                <w:sz w:val="16"/>
                <w:szCs w:val="16"/>
                <w:color w:val="auto"/>
              </w:rPr>
              <w:t>Chairman, President and Chief Executive Officer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Michael J. Kasbar</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Executive Officer)</w:t>
            </w: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IRA M. BIRNS</w:t>
            </w:r>
          </w:p>
        </w:tc>
        <w:tc>
          <w:tcPr>
            <w:tcW w:w="3860" w:type="dxa"/>
            <w:vAlign w:val="bottom"/>
          </w:tcPr>
          <w:p>
            <w:pPr>
              <w:ind w:left="1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Ira M. Birns</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Financial Officer)</w:t>
            </w: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JOSE-MIGUEL TEJADA</w:t>
            </w:r>
          </w:p>
        </w:tc>
        <w:tc>
          <w:tcPr>
            <w:tcW w:w="3860" w:type="dxa"/>
            <w:vAlign w:val="bottom"/>
          </w:tcPr>
          <w:p>
            <w:pPr>
              <w:ind w:left="120"/>
              <w:spacing w:after="0"/>
              <w:rPr>
                <w:sz w:val="20"/>
                <w:szCs w:val="20"/>
                <w:color w:val="auto"/>
              </w:rPr>
            </w:pPr>
            <w:r>
              <w:rPr>
                <w:rFonts w:ascii="Arial" w:cs="Arial" w:eastAsia="Arial" w:hAnsi="Arial"/>
                <w:sz w:val="16"/>
                <w:szCs w:val="16"/>
                <w:color w:val="auto"/>
              </w:rPr>
              <w:t>Senior Vice President and Chief Accounting Officer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Jose-Miguel Tejada</w:t>
            </w:r>
          </w:p>
        </w:tc>
        <w:tc>
          <w:tcPr>
            <w:tcW w:w="3860" w:type="dxa"/>
            <w:vAlign w:val="bottom"/>
          </w:tcPr>
          <w:p>
            <w:pPr>
              <w:ind w:left="120"/>
              <w:spacing w:after="0"/>
              <w:rPr>
                <w:sz w:val="20"/>
                <w:szCs w:val="20"/>
                <w:color w:val="auto"/>
              </w:rPr>
            </w:pPr>
            <w:r>
              <w:rPr>
                <w:rFonts w:ascii="Arial" w:cs="Arial" w:eastAsia="Arial" w:hAnsi="Arial"/>
                <w:sz w:val="16"/>
                <w:szCs w:val="16"/>
                <w:color w:val="auto"/>
              </w:rPr>
              <w:t>(Principal Accounting Officer)</w:t>
            </w: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KEN BAKSHI</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Ken Bakshi</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JORGE L. BENITEZ</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Jorge L. Benitez</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SHARDA CHERWOO</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Sharda Cherwoo</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RICHARD A. KASSAR</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Richard A. Kassar</w:t>
            </w:r>
          </w:p>
        </w:tc>
        <w:tc>
          <w:tcPr>
            <w:tcW w:w="3860" w:type="dxa"/>
            <w:vAlign w:val="bottom"/>
          </w:tcPr>
          <w:p>
            <w:pPr>
              <w:spacing w:after="0"/>
              <w:rPr>
                <w:sz w:val="17"/>
                <w:szCs w:val="17"/>
                <w:color w:val="auto"/>
              </w:rPr>
            </w:pPr>
          </w:p>
        </w:tc>
      </w:tr>
      <w:tr>
        <w:trPr>
          <w:trHeight w:val="31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L. MANLEY</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John L. Manley</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K. RODDENBERRY</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Stephen K. Roddenberry</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JILL B. SMART</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color w:val="auto"/>
              </w:rPr>
              <w:t>Jill B. Smart</w:t>
            </w:r>
          </w:p>
        </w:tc>
        <w:tc>
          <w:tcPr>
            <w:tcW w:w="3860" w:type="dxa"/>
            <w:vAlign w:val="bottom"/>
          </w:tcPr>
          <w:p>
            <w:pPr>
              <w:spacing w:after="0"/>
              <w:rPr>
                <w:sz w:val="17"/>
                <w:szCs w:val="17"/>
                <w:color w:val="auto"/>
              </w:rPr>
            </w:pPr>
          </w:p>
        </w:tc>
      </w:tr>
      <w:tr>
        <w:trPr>
          <w:trHeight w:val="27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PAUL H. STEBBINS</w:t>
            </w:r>
          </w:p>
        </w:tc>
        <w:tc>
          <w:tcPr>
            <w:tcW w:w="386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06"/>
        </w:trPr>
        <w:tc>
          <w:tcPr>
            <w:tcW w:w="3940" w:type="dxa"/>
            <w:vAlign w:val="bottom"/>
          </w:tcPr>
          <w:p>
            <w:pPr>
              <w:ind w:left="20"/>
              <w:spacing w:after="0"/>
              <w:rPr>
                <w:sz w:val="20"/>
                <w:szCs w:val="20"/>
                <w:color w:val="auto"/>
              </w:rPr>
            </w:pPr>
            <w:r>
              <w:rPr>
                <w:rFonts w:ascii="Arial" w:cs="Arial" w:eastAsia="Arial" w:hAnsi="Arial"/>
                <w:sz w:val="16"/>
                <w:szCs w:val="16"/>
                <w:color w:val="auto"/>
              </w:rPr>
              <w:t>Paul H. Stebbins</w:t>
            </w:r>
          </w:p>
        </w:tc>
        <w:tc>
          <w:tcPr>
            <w:tcW w:w="3860" w:type="dxa"/>
            <w:vAlign w:val="bottom"/>
          </w:tcPr>
          <w:p>
            <w:pPr>
              <w:spacing w:after="0"/>
              <w:rPr>
                <w:sz w:val="17"/>
                <w:szCs w:val="17"/>
                <w:color w:val="auto"/>
              </w:rPr>
            </w:pPr>
          </w:p>
        </w:tc>
      </w:tr>
      <w:tr>
        <w:trPr>
          <w:trHeight w:val="791"/>
        </w:trPr>
        <w:tc>
          <w:tcPr>
            <w:tcW w:w="3940" w:type="dxa"/>
            <w:vAlign w:val="bottom"/>
          </w:tcPr>
          <w:p>
            <w:pPr>
              <w:spacing w:after="0"/>
              <w:rPr>
                <w:sz w:val="24"/>
                <w:szCs w:val="24"/>
                <w:color w:val="auto"/>
              </w:rPr>
            </w:pPr>
          </w:p>
        </w:tc>
        <w:tc>
          <w:tcPr>
            <w:tcW w:w="3860" w:type="dxa"/>
            <w:vAlign w:val="bottom"/>
          </w:tcPr>
          <w:p>
            <w:pPr>
              <w:ind w:left="1600"/>
              <w:spacing w:after="0"/>
              <w:rPr>
                <w:sz w:val="20"/>
                <w:szCs w:val="20"/>
                <w:color w:val="auto"/>
              </w:rPr>
            </w:pPr>
            <w:r>
              <w:rPr>
                <w:rFonts w:ascii="Arial" w:cs="Arial" w:eastAsia="Arial" w:hAnsi="Arial"/>
                <w:sz w:val="14"/>
                <w:szCs w:val="14"/>
                <w:color w:val="auto"/>
              </w:rPr>
              <w:t>85</w:t>
            </w:r>
          </w:p>
        </w:tc>
      </w:tr>
    </w:tbl>
    <w:p>
      <w:pPr>
        <w:sectPr>
          <w:pgSz w:w="11900" w:h="16838" w:orient="portrait"/>
          <w:cols w:equalWidth="0" w:num="1">
            <w:col w:w="11240"/>
          </w:cols>
          <w:pgMar w:left="320" w:top="140"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0"/>
          <w:szCs w:val="20"/>
          <w:b w:val="1"/>
          <w:bCs w:val="1"/>
          <w:color w:val="auto"/>
        </w:rPr>
        <w:t>Exhibit 10.7</w:t>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Form of Executive Officer Performance-Based RSU Award</w:t>
      </w:r>
    </w:p>
    <w:p>
      <w:pPr>
        <w:spacing w:after="0" w:line="34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PERFORMANCE-BASED RESTRICTED STOCK UNIT GRANT AGREEMENT</w:t>
      </w:r>
    </w:p>
    <w:p>
      <w:pPr>
        <w:spacing w:after="0" w:line="212" w:lineRule="exact"/>
        <w:rPr>
          <w:sz w:val="20"/>
          <w:szCs w:val="20"/>
          <w:color w:val="auto"/>
        </w:rPr>
      </w:pPr>
    </w:p>
    <w:p>
      <w:pPr>
        <w:ind w:left="1180" w:hanging="537"/>
        <w:spacing w:after="0"/>
        <w:tabs>
          <w:tab w:leader="none" w:pos="118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Grant of Award</w:t>
      </w:r>
      <w:r>
        <w:rPr>
          <w:rFonts w:ascii="Arial" w:cs="Arial" w:eastAsia="Arial" w:hAnsi="Arial"/>
          <w:sz w:val="20"/>
          <w:szCs w:val="20"/>
          <w:color w:val="auto"/>
        </w:rPr>
        <w:t>. World Fuel Services Corporation, a Florida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awarded to (the</w:t>
      </w:r>
    </w:p>
    <w:p>
      <w:pPr>
        <w:spacing w:after="0" w:line="20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effective as of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a target award of performance-based restricted stock units (the “</w:t>
      </w:r>
      <w:r>
        <w:rPr>
          <w:rFonts w:ascii="Arial" w:cs="Arial" w:eastAsia="Arial" w:hAnsi="Arial"/>
          <w:sz w:val="20"/>
          <w:szCs w:val="20"/>
          <w:b w:val="1"/>
          <w:bCs w:val="1"/>
          <w:i w:val="1"/>
          <w:iCs w:val="1"/>
          <w:color w:val="auto"/>
        </w:rPr>
        <w:t>PRSUs</w:t>
      </w:r>
      <w:r>
        <w:rPr>
          <w:rFonts w:ascii="Arial" w:cs="Arial" w:eastAsia="Arial" w:hAnsi="Arial"/>
          <w:sz w:val="20"/>
          <w:szCs w:val="20"/>
          <w:color w:val="auto"/>
        </w:rPr>
        <w:t>”) corresponding to the same number of shares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of the Company’s common stock, par value US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-125095</wp:posOffset>
            </wp:positionV>
            <wp:extent cx="6356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0"/>
          <w:szCs w:val="20"/>
          <w:color w:val="auto"/>
        </w:rPr>
        <w:t>per share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The PRSUs have been granted under the Company’s 2021 Omnibus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w:t>
      </w:r>
    </w:p>
    <w:p>
      <w:pPr>
        <w:spacing w:after="0" w:line="1" w:lineRule="exact"/>
        <w:rPr>
          <w:sz w:val="20"/>
          <w:szCs w:val="20"/>
          <w:color w:val="auto"/>
        </w:rPr>
      </w:pPr>
    </w:p>
    <w:p>
      <w:pPr>
        <w:ind w:right="20"/>
        <w:spacing w:after="0" w:line="215" w:lineRule="auto"/>
        <w:rPr>
          <w:sz w:val="20"/>
          <w:szCs w:val="20"/>
          <w:color w:val="auto"/>
        </w:rPr>
      </w:pPr>
      <w:r>
        <w:rPr>
          <w:rFonts w:ascii="Arial" w:cs="Arial" w:eastAsia="Arial" w:hAnsi="Arial"/>
          <w:sz w:val="19"/>
          <w:szCs w:val="19"/>
          <w:color w:val="auto"/>
        </w:rPr>
        <w:t>which is incorporated herein for all purposes, and the grant of PRSUs shall be subject to the terms, provisions and restrictions set forth in this Agreement and the Plan. As a condition to entering into this Agreement, and as a condition to the issuance of</w:t>
      </w:r>
    </w:p>
    <w:p>
      <w:pPr>
        <w:ind w:right="20"/>
        <w:spacing w:after="0" w:line="229" w:lineRule="auto"/>
        <w:rPr>
          <w:sz w:val="20"/>
          <w:szCs w:val="20"/>
          <w:color w:val="auto"/>
        </w:rPr>
      </w:pPr>
      <w:r>
        <w:rPr>
          <w:rFonts w:ascii="Arial" w:cs="Arial" w:eastAsia="Arial" w:hAnsi="Arial"/>
          <w:sz w:val="20"/>
          <w:szCs w:val="20"/>
          <w:color w:val="auto"/>
        </w:rPr>
        <w:t>any Shares (or any other securities of the Company), the Participant agrees to be bound by all of the terms and conditions set forth in this Agreement and in the Plan.</w:t>
      </w:r>
    </w:p>
    <w:p>
      <w:pPr>
        <w:spacing w:after="0" w:line="209" w:lineRule="exact"/>
        <w:rPr>
          <w:sz w:val="20"/>
          <w:szCs w:val="20"/>
          <w:color w:val="auto"/>
        </w:rPr>
      </w:pPr>
    </w:p>
    <w:p>
      <w:pPr>
        <w:jc w:val="both"/>
        <w:ind w:right="20" w:firstLine="644"/>
        <w:spacing w:after="0" w:line="216" w:lineRule="auto"/>
        <w:tabs>
          <w:tab w:leader="none" w:pos="1177"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and phrases used in this Agreement shall have the meaning set forth below. Capitalized terms used herein and not defined in this Agreement, shall have the meaning set forth in the Plan. Notwithstanding the foregoing, the definitions of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and “</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shall have the meanings set forth in the Employment Arrangement (as defined below).</w:t>
      </w:r>
    </w:p>
    <w:p>
      <w:pPr>
        <w:spacing w:after="0" w:line="187" w:lineRule="exact"/>
        <w:rPr>
          <w:rFonts w:ascii="Arial" w:cs="Arial" w:eastAsia="Arial" w:hAnsi="Arial"/>
          <w:sz w:val="20"/>
          <w:szCs w:val="20"/>
          <w:color w:val="auto"/>
        </w:rPr>
      </w:pPr>
    </w:p>
    <w:p>
      <w:pPr>
        <w:ind w:left="1820" w:hanging="529"/>
        <w:spacing w:after="0"/>
        <w:tabs>
          <w:tab w:leader="none" w:pos="1820" w:val="left"/>
        </w:tabs>
        <w:numPr>
          <w:ilvl w:val="1"/>
          <w:numId w:val="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Committee of the Board of Directors of the Company.</w:t>
      </w:r>
    </w:p>
    <w:p>
      <w:pPr>
        <w:spacing w:after="0" w:line="223" w:lineRule="exact"/>
        <w:rPr>
          <w:rFonts w:ascii="Arial" w:cs="Arial" w:eastAsia="Arial" w:hAnsi="Arial"/>
          <w:sz w:val="20"/>
          <w:szCs w:val="20"/>
          <w:color w:val="auto"/>
        </w:rPr>
      </w:pPr>
    </w:p>
    <w:p>
      <w:pPr>
        <w:ind w:left="1840" w:hanging="548"/>
        <w:spacing w:after="0"/>
        <w:tabs>
          <w:tab w:leader="none" w:pos="1840" w:val="left"/>
        </w:tabs>
        <w:numPr>
          <w:ilvl w:val="1"/>
          <w:numId w:val="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Determination Date</w:t>
      </w:r>
      <w:r>
        <w:rPr>
          <w:rFonts w:ascii="Arial" w:cs="Arial" w:eastAsia="Arial" w:hAnsi="Arial"/>
          <w:sz w:val="19"/>
          <w:szCs w:val="19"/>
          <w:color w:val="auto"/>
        </w:rPr>
        <w:t>” means the date as soon as reasonably practicable following the date on which the</w:t>
      </w:r>
    </w:p>
    <w:tbl>
      <w:tblPr>
        <w:tblLayout w:type="fixed"/>
        <w:tblInd w:w="0" w:type="dxa"/>
        <w:tblCellMar>
          <w:top w:w="0" w:type="dxa"/>
          <w:left w:w="0" w:type="dxa"/>
          <w:bottom w:w="0" w:type="dxa"/>
          <w:right w:w="0" w:type="dxa"/>
        </w:tblCellMar>
      </w:tblPr>
      <w:tr>
        <w:trPr>
          <w:trHeight w:val="193"/>
        </w:trPr>
        <w:tc>
          <w:tcPr>
            <w:tcW w:w="5880" w:type="dxa"/>
            <w:vAlign w:val="bottom"/>
            <w:gridSpan w:val="2"/>
          </w:tcPr>
          <w:p>
            <w:pPr>
              <w:spacing w:after="0" w:line="193" w:lineRule="exact"/>
              <w:rPr>
                <w:sz w:val="20"/>
                <w:szCs w:val="20"/>
                <w:color w:val="auto"/>
              </w:rPr>
            </w:pPr>
            <w:r>
              <w:rPr>
                <w:rFonts w:ascii="Arial" w:cs="Arial" w:eastAsia="Arial" w:hAnsi="Arial"/>
                <w:sz w:val="20"/>
                <w:szCs w:val="20"/>
                <w:color w:val="auto"/>
              </w:rPr>
              <w:t>Company’s audited financial statements with respect to fiscal year</w:t>
            </w:r>
          </w:p>
        </w:tc>
        <w:tc>
          <w:tcPr>
            <w:tcW w:w="1000" w:type="dxa"/>
            <w:vAlign w:val="bottom"/>
            <w:tcBorders>
              <w:bottom w:val="single" w:sz="8" w:color="auto"/>
            </w:tcBorders>
          </w:tcPr>
          <w:p>
            <w:pPr>
              <w:spacing w:after="0"/>
              <w:rPr>
                <w:sz w:val="16"/>
                <w:szCs w:val="16"/>
                <w:color w:val="auto"/>
              </w:rPr>
            </w:pPr>
          </w:p>
        </w:tc>
        <w:tc>
          <w:tcPr>
            <w:tcW w:w="4140" w:type="dxa"/>
            <w:vAlign w:val="bottom"/>
          </w:tcPr>
          <w:p>
            <w:pPr>
              <w:jc w:val="right"/>
              <w:spacing w:after="0" w:line="193" w:lineRule="exact"/>
              <w:rPr>
                <w:sz w:val="20"/>
                <w:szCs w:val="20"/>
                <w:color w:val="auto"/>
              </w:rPr>
            </w:pPr>
            <w:r>
              <w:rPr>
                <w:rFonts w:ascii="Arial" w:cs="Arial" w:eastAsia="Arial" w:hAnsi="Arial"/>
                <w:sz w:val="20"/>
                <w:szCs w:val="20"/>
                <w:color w:val="auto"/>
              </w:rPr>
              <w:t>are available, but in no event later than March</w:t>
            </w:r>
          </w:p>
        </w:tc>
      </w:tr>
      <w:tr>
        <w:trPr>
          <w:trHeight w:val="192"/>
        </w:trPr>
        <w:tc>
          <w:tcPr>
            <w:tcW w:w="860" w:type="dxa"/>
            <w:vAlign w:val="bottom"/>
          </w:tcPr>
          <w:p>
            <w:pPr>
              <w:spacing w:after="0" w:line="192" w:lineRule="exact"/>
              <w:rPr>
                <w:sz w:val="20"/>
                <w:szCs w:val="20"/>
                <w:color w:val="auto"/>
              </w:rPr>
            </w:pPr>
            <w:r>
              <w:rPr>
                <w:rFonts w:ascii="Arial" w:cs="Arial" w:eastAsia="Arial" w:hAnsi="Arial"/>
                <w:sz w:val="20"/>
                <w:szCs w:val="20"/>
                <w:color w:val="auto"/>
              </w:rPr>
              <w:t>15,</w:t>
            </w:r>
          </w:p>
        </w:tc>
        <w:tc>
          <w:tcPr>
            <w:tcW w:w="5020" w:type="dxa"/>
            <w:vAlign w:val="bottom"/>
          </w:tcPr>
          <w:p>
            <w:pPr>
              <w:ind w:left="580"/>
              <w:spacing w:after="0" w:line="192" w:lineRule="exact"/>
              <w:rPr>
                <w:sz w:val="20"/>
                <w:szCs w:val="20"/>
                <w:color w:val="auto"/>
              </w:rPr>
            </w:pPr>
            <w:r>
              <w:rPr>
                <w:rFonts w:ascii="Arial" w:cs="Arial" w:eastAsia="Arial" w:hAnsi="Arial"/>
                <w:sz w:val="20"/>
                <w:szCs w:val="20"/>
                <w:color w:val="auto"/>
              </w:rPr>
              <w:t>, as determined by the Committee, on which the</w:t>
            </w:r>
          </w:p>
        </w:tc>
        <w:tc>
          <w:tcPr>
            <w:tcW w:w="1000" w:type="dxa"/>
            <w:vAlign w:val="bottom"/>
          </w:tcPr>
          <w:p>
            <w:pPr>
              <w:spacing w:after="0" w:line="192" w:lineRule="exact"/>
              <w:rPr>
                <w:sz w:val="20"/>
                <w:szCs w:val="20"/>
                <w:color w:val="auto"/>
              </w:rPr>
            </w:pPr>
            <w:r>
              <w:rPr>
                <w:rFonts w:ascii="Arial" w:cs="Arial" w:eastAsia="Arial" w:hAnsi="Arial"/>
                <w:sz w:val="20"/>
                <w:szCs w:val="20"/>
                <w:color w:val="auto"/>
              </w:rPr>
              <w:t>Committee</w:t>
            </w:r>
          </w:p>
        </w:tc>
        <w:tc>
          <w:tcPr>
            <w:tcW w:w="4140" w:type="dxa"/>
            <w:vAlign w:val="bottom"/>
          </w:tcPr>
          <w:p>
            <w:pPr>
              <w:jc w:val="right"/>
              <w:spacing w:after="0" w:line="192" w:lineRule="exact"/>
              <w:rPr>
                <w:sz w:val="20"/>
                <w:szCs w:val="20"/>
                <w:color w:val="auto"/>
              </w:rPr>
            </w:pPr>
            <w:r>
              <w:rPr>
                <w:rFonts w:ascii="Arial" w:cs="Arial" w:eastAsia="Arial" w:hAnsi="Arial"/>
                <w:sz w:val="20"/>
                <w:szCs w:val="20"/>
                <w:color w:val="auto"/>
                <w:w w:val="98"/>
              </w:rPr>
              <w:t>determines whether the Performance Goal has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-5715</wp:posOffset>
            </wp:positionV>
            <wp:extent cx="695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695325" cy="8255"/>
                    </a:xfrm>
                    <a:prstGeom prst="rect">
                      <a:avLst/>
                    </a:prstGeom>
                    <a:noFill/>
                  </pic:spPr>
                </pic:pic>
              </a:graphicData>
            </a:graphic>
          </wp:anchor>
        </w:drawing>
      </w:r>
    </w:p>
    <w:p>
      <w:pPr>
        <w:spacing w:after="0" w:line="197" w:lineRule="auto"/>
        <w:rPr>
          <w:sz w:val="20"/>
          <w:szCs w:val="20"/>
          <w:color w:val="auto"/>
        </w:rPr>
      </w:pPr>
      <w:r>
        <w:rPr>
          <w:rFonts w:ascii="Arial" w:cs="Arial" w:eastAsia="Arial" w:hAnsi="Arial"/>
          <w:sz w:val="20"/>
          <w:szCs w:val="20"/>
          <w:color w:val="auto"/>
        </w:rPr>
        <w:t xml:space="preserve">been achieved;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of a Change of Control in which the PRSUs are converted to Acquirer</w:t>
      </w:r>
    </w:p>
    <w:p>
      <w:pPr>
        <w:spacing w:after="0"/>
        <w:tabs>
          <w:tab w:leader="none" w:pos="8700" w:val="left"/>
        </w:tabs>
        <w:rPr>
          <w:sz w:val="20"/>
          <w:szCs w:val="20"/>
          <w:color w:val="auto"/>
        </w:rPr>
      </w:pPr>
      <w:r>
        <w:rPr>
          <w:rFonts w:ascii="Arial" w:cs="Arial" w:eastAsia="Arial" w:hAnsi="Arial"/>
          <w:sz w:val="20"/>
          <w:szCs w:val="20"/>
          <w:color w:val="auto"/>
        </w:rPr>
        <w:t>RSUs in accordance with Section 3(b)(i)(B), the Determination Date shall mean December 31,</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5255895</wp:posOffset>
            </wp:positionH>
            <wp:positionV relativeFrom="paragraph">
              <wp:posOffset>-22860</wp:posOffset>
            </wp:positionV>
            <wp:extent cx="2794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280" w:lineRule="exact"/>
        <w:rPr>
          <w:sz w:val="20"/>
          <w:szCs w:val="20"/>
          <w:color w:val="auto"/>
        </w:rPr>
      </w:pPr>
    </w:p>
    <w:p>
      <w:pPr>
        <w:jc w:val="both"/>
        <w:ind w:firstLine="1292"/>
        <w:spacing w:after="0" w:line="227" w:lineRule="auto"/>
        <w:tabs>
          <w:tab w:leader="none" w:pos="1824" w:val="left"/>
        </w:tabs>
        <w:numPr>
          <w:ilvl w:val="0"/>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Employment Arrangement</w:t>
      </w:r>
      <w:r>
        <w:rPr>
          <w:rFonts w:ascii="Arial" w:cs="Arial" w:eastAsia="Arial" w:hAnsi="Arial"/>
          <w:sz w:val="20"/>
          <w:szCs w:val="20"/>
          <w:color w:val="auto"/>
        </w:rPr>
        <w:t xml:space="preserve">” </w:t>
      </w:r>
      <w:r>
        <w:rPr>
          <w:rFonts w:ascii="Arial" w:cs="Arial" w:eastAsia="Arial" w:hAnsi="Arial"/>
          <w:sz w:val="21"/>
          <w:szCs w:val="21"/>
          <w:color w:val="auto"/>
        </w:rPr>
        <w:t>means any employment agreement or individual severance</w:t>
      </w:r>
      <w:r>
        <w:rPr>
          <w:rFonts w:ascii="Arial" w:cs="Arial" w:eastAsia="Arial" w:hAnsi="Arial"/>
          <w:sz w:val="20"/>
          <w:szCs w:val="20"/>
          <w:color w:val="auto"/>
        </w:rPr>
        <w:t xml:space="preserve"> </w:t>
      </w:r>
      <w:r>
        <w:rPr>
          <w:rFonts w:ascii="Arial" w:cs="Arial" w:eastAsia="Arial" w:hAnsi="Arial"/>
          <w:sz w:val="21"/>
          <w:szCs w:val="21"/>
          <w:color w:val="auto"/>
        </w:rPr>
        <w:t>agreement by and between the Company and the Participant, or severance policy or plan maintained by the Company in which the Participant has been designated by the Committee as a participant as of the Grant Date, in each case, as in effect on the Grant Date.</w:t>
      </w:r>
    </w:p>
    <w:p>
      <w:pPr>
        <w:spacing w:after="0" w:line="152" w:lineRule="exact"/>
        <w:rPr>
          <w:sz w:val="20"/>
          <w:szCs w:val="20"/>
          <w:color w:val="auto"/>
        </w:rPr>
      </w:pPr>
    </w:p>
    <w:p>
      <w:pPr>
        <w:ind w:left="1300"/>
        <w:spacing w:after="0"/>
        <w:tabs>
          <w:tab w:leader="none" w:pos="1820" w:val="left"/>
          <w:tab w:leader="none" w:pos="8980" w:val="left"/>
        </w:tabs>
        <w:rPr>
          <w:sz w:val="20"/>
          <w:szCs w:val="20"/>
          <w:color w:val="auto"/>
        </w:rPr>
      </w:pPr>
      <w:r>
        <w:rPr>
          <w:rFonts w:ascii="Arial" w:cs="Arial" w:eastAsia="Arial" w:hAnsi="Arial"/>
          <w:sz w:val="20"/>
          <w:szCs w:val="20"/>
          <w:color w:val="auto"/>
        </w:rPr>
        <w:t>(d)</w:t>
        <w:tab/>
        <w:t>“</w:t>
      </w:r>
      <w:r>
        <w:rPr>
          <w:rFonts w:ascii="Arial" w:cs="Arial" w:eastAsia="Arial" w:hAnsi="Arial"/>
          <w:sz w:val="20"/>
          <w:szCs w:val="20"/>
          <w:b w:val="1"/>
          <w:bCs w:val="1"/>
          <w:i w:val="1"/>
          <w:iCs w:val="1"/>
          <w:color w:val="auto"/>
        </w:rPr>
        <w:t>Measurement Period</w:t>
      </w:r>
      <w:r>
        <w:rPr>
          <w:rFonts w:ascii="Arial" w:cs="Arial" w:eastAsia="Arial" w:hAnsi="Arial"/>
          <w:sz w:val="20"/>
          <w:szCs w:val="20"/>
          <w:color w:val="auto"/>
        </w:rPr>
        <w:t>” means the three (3) year period from January 1,</w:t>
      </w:r>
      <w:r>
        <w:rPr>
          <w:sz w:val="20"/>
          <w:szCs w:val="20"/>
          <w:color w:val="auto"/>
        </w:rPr>
        <w:tab/>
      </w:r>
      <w:r>
        <w:rPr>
          <w:rFonts w:ascii="Arial" w:cs="Arial" w:eastAsia="Arial" w:hAnsi="Arial"/>
          <w:sz w:val="20"/>
          <w:szCs w:val="20"/>
          <w:color w:val="auto"/>
        </w:rPr>
        <w:t>through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-5715</wp:posOffset>
            </wp:positionV>
            <wp:extent cx="3733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794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172" w:lineRule="exact"/>
        <w:rPr>
          <w:sz w:val="20"/>
          <w:szCs w:val="20"/>
          <w:color w:val="auto"/>
        </w:rPr>
      </w:pPr>
    </w:p>
    <w:p>
      <w:pPr>
        <w:ind w:right="20" w:firstLine="1292"/>
        <w:spacing w:after="0" w:line="243" w:lineRule="auto"/>
        <w:tabs>
          <w:tab w:leader="none" w:pos="1835" w:val="left"/>
        </w:tabs>
        <w:numPr>
          <w:ilvl w:val="0"/>
          <w:numId w:val="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Goal</w:t>
      </w:r>
      <w:r>
        <w:rPr>
          <w:rFonts w:ascii="Arial" w:cs="Arial" w:eastAsia="Arial" w:hAnsi="Arial"/>
          <w:sz w:val="20"/>
          <w:szCs w:val="20"/>
          <w:color w:val="auto"/>
        </w:rPr>
        <w:t xml:space="preserve">” means the goal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the achievement of which determines the number of Shares, if any, that shall be issued pursuant to this Agreement.</w:t>
      </w:r>
    </w:p>
    <w:p>
      <w:pPr>
        <w:spacing w:after="0" w:line="182" w:lineRule="exact"/>
        <w:rPr>
          <w:rFonts w:ascii="Arial" w:cs="Arial" w:eastAsia="Arial" w:hAnsi="Arial"/>
          <w:sz w:val="20"/>
          <w:szCs w:val="20"/>
          <w:color w:val="auto"/>
        </w:rPr>
      </w:pPr>
    </w:p>
    <w:p>
      <w:pPr>
        <w:ind w:right="20" w:firstLine="1292"/>
        <w:spacing w:after="0" w:line="243" w:lineRule="auto"/>
        <w:tabs>
          <w:tab w:leader="none" w:pos="1834" w:val="left"/>
        </w:tabs>
        <w:numPr>
          <w:ilvl w:val="0"/>
          <w:numId w:val="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xml:space="preserve"> means Section 409A of the U.S. Internal Revenue Code of 1986, as amended, and the Treasury Regulations thereunder.</w:t>
      </w:r>
    </w:p>
    <w:p>
      <w:pPr>
        <w:spacing w:after="0" w:line="178" w:lineRule="exact"/>
        <w:rPr>
          <w:rFonts w:ascii="Arial" w:cs="Arial" w:eastAsia="Arial" w:hAnsi="Arial"/>
          <w:sz w:val="20"/>
          <w:szCs w:val="20"/>
          <w:color w:val="auto"/>
        </w:rPr>
      </w:pPr>
    </w:p>
    <w:p>
      <w:pPr>
        <w:ind w:left="1820" w:hanging="529"/>
        <w:spacing w:after="0"/>
        <w:tabs>
          <w:tab w:leader="none" w:pos="18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means the date on which the Participant is no longer an employee of the Company</w:t>
      </w:r>
    </w:p>
    <w:p>
      <w:pPr>
        <w:spacing w:after="0"/>
        <w:rPr>
          <w:rFonts w:ascii="Arial" w:cs="Arial" w:eastAsia="Arial" w:hAnsi="Arial"/>
          <w:sz w:val="20"/>
          <w:szCs w:val="20"/>
          <w:color w:val="auto"/>
        </w:rPr>
      </w:pPr>
      <w:r>
        <w:rPr>
          <w:rFonts w:ascii="Arial" w:cs="Arial" w:eastAsia="Arial" w:hAnsi="Arial"/>
          <w:sz w:val="20"/>
          <w:szCs w:val="20"/>
          <w:color w:val="auto"/>
        </w:rPr>
        <w:t>or any Subsidiary.</w:t>
      </w:r>
    </w:p>
    <w:p>
      <w:pPr>
        <w:spacing w:after="0" w:line="216" w:lineRule="exact"/>
        <w:rPr>
          <w:sz w:val="20"/>
          <w:szCs w:val="20"/>
          <w:color w:val="auto"/>
        </w:rPr>
      </w:pPr>
    </w:p>
    <w:p>
      <w:pPr>
        <w:ind w:right="140" w:firstLine="644"/>
        <w:spacing w:after="0" w:line="229" w:lineRule="auto"/>
        <w:tabs>
          <w:tab w:leader="none" w:pos="1177"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Vesting and Forfeiture of Shares</w:t>
      </w:r>
      <w:r>
        <w:rPr>
          <w:rFonts w:ascii="Arial" w:cs="Arial" w:eastAsia="Arial" w:hAnsi="Arial"/>
          <w:sz w:val="20"/>
          <w:szCs w:val="20"/>
          <w:color w:val="auto"/>
        </w:rPr>
        <w:t>. (a) (i) On the Determination Date, the Committee shall determine the extent to which the Performance Goal has been achieved. Subject to the</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provisions of this Section 3, the delivery of Shares with respect to the PRSUs is contingent on the attainment of the</w:t>
      </w:r>
    </w:p>
    <w:p>
      <w:pPr>
        <w:spacing w:after="0" w:line="204" w:lineRule="auto"/>
        <w:rPr>
          <w:sz w:val="20"/>
          <w:szCs w:val="20"/>
          <w:color w:val="auto"/>
        </w:rPr>
      </w:pPr>
      <w:r>
        <w:rPr>
          <w:rFonts w:ascii="Arial" w:cs="Arial" w:eastAsia="Arial" w:hAnsi="Arial"/>
          <w:sz w:val="20"/>
          <w:szCs w:val="20"/>
          <w:color w:val="auto"/>
        </w:rPr>
        <w:t>Performance Goal and, except as otherwise set forth in this Section 3, all outstanding PRSUs will be immediately forfeited on the Determination Date (and will no longer be considered outstanding PRSUs) unless the Committee determines that the</w:t>
      </w:r>
    </w:p>
    <w:p>
      <w:pPr>
        <w:spacing w:after="0" w:line="211" w:lineRule="auto"/>
        <w:rPr>
          <w:sz w:val="20"/>
          <w:szCs w:val="20"/>
          <w:color w:val="auto"/>
        </w:rPr>
      </w:pPr>
      <w:r>
        <w:rPr>
          <w:rFonts w:ascii="Arial" w:cs="Arial" w:eastAsia="Arial" w:hAnsi="Arial"/>
          <w:sz w:val="20"/>
          <w:szCs w:val="20"/>
          <w:color w:val="auto"/>
        </w:rPr>
        <w:t>Performance Goal has been satisfied. Upon such determination by the Committee and subject to the provisions of the Plan</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and this Agreement, the Participant shall have the right to payment of that percentage of the target amount of PRSUs as corresponds to the level of the Performance Goal achieved. Furthermore, except as otherwise provided in this Section 3,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order to be entitled to payment with respect to any PRSUs, the Participant must be employed by the Company or any</w:t>
      </w:r>
    </w:p>
    <w:p>
      <w:pPr>
        <w:sectPr>
          <w:pgSz w:w="11900" w:h="16838" w:orient="portrait"/>
          <w:cols w:equalWidth="0" w:num="1">
            <w:col w:w="11020"/>
          </w:cols>
          <w:pgMar w:left="440" w:top="814" w:right="439" w:bottom="1440" w:gutter="0" w:footer="0" w:header="0"/>
        </w:sectPr>
      </w:pPr>
    </w:p>
    <w:bookmarkStart w:id="89" w:name="page90"/>
    <w:bookmarkEnd w:id="89"/>
    <w:p>
      <w:pPr>
        <w:ind w:left="40" w:right="20"/>
        <w:spacing w:after="0" w:line="229" w:lineRule="auto"/>
        <w:rPr>
          <w:sz w:val="20"/>
          <w:szCs w:val="20"/>
          <w:color w:val="auto"/>
        </w:rPr>
      </w:pPr>
      <w:r>
        <w:rPr>
          <w:rFonts w:ascii="Arial" w:cs="Arial" w:eastAsia="Arial" w:hAnsi="Arial"/>
          <w:sz w:val="20"/>
          <w:szCs w:val="20"/>
          <w:color w:val="auto"/>
        </w:rPr>
        <w:t>Subsidiary on the Determination Date. Except as otherwise provided in this Section 3, there shall be no proportionate or partial vesting of the PRSUs prior to the Determination Date.</w:t>
      </w:r>
    </w:p>
    <w:p>
      <w:pPr>
        <w:spacing w:after="0" w:line="209" w:lineRule="exact"/>
        <w:rPr>
          <w:sz w:val="20"/>
          <w:szCs w:val="20"/>
          <w:color w:val="auto"/>
        </w:rPr>
      </w:pPr>
    </w:p>
    <w:p>
      <w:pPr>
        <w:jc w:val="both"/>
        <w:ind w:left="680" w:firstLine="967"/>
        <w:spacing w:after="0" w:line="223" w:lineRule="auto"/>
        <w:rPr>
          <w:sz w:val="20"/>
          <w:szCs w:val="20"/>
          <w:color w:val="auto"/>
        </w:rPr>
      </w:pPr>
      <w:r>
        <w:rPr>
          <w:rFonts w:ascii="Arial" w:cs="Arial" w:eastAsia="Arial" w:hAnsi="Arial"/>
          <w:sz w:val="20"/>
          <w:szCs w:val="20"/>
          <w:color w:val="auto"/>
        </w:rPr>
        <w:t>(ii)The Committee retains the sole and plenary discretion to make any adjustment permitted by the Plan in respect of the Performance Goal or with respect to the number of PRSUs in accordance with the terms of the Plan for any reason deemed appropriate by the Committee.</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(iii)The Participant expressly acknowledges that the terms of this Section 3 shall supersede any inconsistent</w:t>
      </w:r>
    </w:p>
    <w:p>
      <w:pPr>
        <w:jc w:val="both"/>
        <w:ind w:left="680"/>
        <w:spacing w:after="0" w:line="222" w:lineRule="auto"/>
        <w:rPr>
          <w:sz w:val="20"/>
          <w:szCs w:val="20"/>
          <w:color w:val="auto"/>
        </w:rPr>
      </w:pPr>
      <w:r>
        <w:rPr>
          <w:rFonts w:ascii="Arial" w:cs="Arial" w:eastAsia="Arial" w:hAnsi="Arial"/>
          <w:sz w:val="20"/>
          <w:szCs w:val="20"/>
          <w:color w:val="auto"/>
        </w:rPr>
        <w:t>provision in the Employment Arrangement or any similar agreement between the Participant and the Company or any Subsidiary.</w:t>
      </w:r>
    </w:p>
    <w:p>
      <w:pPr>
        <w:spacing w:after="0" w:line="209" w:lineRule="exact"/>
        <w:rPr>
          <w:sz w:val="20"/>
          <w:szCs w:val="20"/>
          <w:color w:val="auto"/>
        </w:rPr>
      </w:pPr>
    </w:p>
    <w:p>
      <w:pPr>
        <w:ind w:left="40" w:right="340" w:firstLine="1291"/>
        <w:spacing w:after="0" w:line="229" w:lineRule="auto"/>
        <w:tabs>
          <w:tab w:leader="none" w:pos="1875"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vesting of the PRSUs (or, if applicable, Acquirer RSUs (as defined below)) shall be accelerated if and to the extent provided in this Section 3(b):</w:t>
      </w:r>
    </w:p>
    <w:p>
      <w:pPr>
        <w:spacing w:after="0" w:line="18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Change of Control.</w:t>
      </w:r>
      <w:r>
        <w:rPr>
          <w:rFonts w:ascii="Arial" w:cs="Arial" w:eastAsia="Arial" w:hAnsi="Arial"/>
          <w:sz w:val="20"/>
          <w:szCs w:val="20"/>
          <w:color w:val="auto"/>
        </w:rPr>
        <w:t xml:space="preserve"> (A) Except as otherwise determined by the Committee as set forth in Section 3(b)(i)</w:t>
      </w:r>
    </w:p>
    <w:p>
      <w:pPr>
        <w:jc w:val="both"/>
        <w:ind w:left="680" w:firstLine="4"/>
        <w:spacing w:after="0" w:line="215" w:lineRule="auto"/>
        <w:tabs>
          <w:tab w:leader="none" w:pos="1022" w:val="left"/>
        </w:tabs>
        <w:numPr>
          <w:ilvl w:val="0"/>
          <w:numId w:val="40"/>
        </w:numPr>
        <w:rPr>
          <w:rFonts w:ascii="Arial" w:cs="Arial" w:eastAsia="Arial" w:hAnsi="Arial"/>
          <w:sz w:val="20"/>
          <w:szCs w:val="20"/>
          <w:color w:val="auto"/>
        </w:rPr>
      </w:pPr>
      <w:r>
        <w:rPr>
          <w:rFonts w:ascii="Arial" w:cs="Arial" w:eastAsia="Arial" w:hAnsi="Arial"/>
          <w:sz w:val="20"/>
          <w:szCs w:val="20"/>
          <w:color w:val="auto"/>
        </w:rPr>
        <w:t>hereof, in the event that a Change of Control occurs while the Participant is employed by the Company or any Subsidiary and the PRSUs are outstanding, the Participant shall immediately become fully vested and nonforfeitable upon the Change of Control in the outstanding PRSUs, with the number of Shares that will be delivered equal to the greater of target performance and actual performance of the Performance Goal as determined by the Committee in its reasonable discretion as of the most recent practicable date prior to the Change of Control.</w:t>
      </w:r>
    </w:p>
    <w:p>
      <w:pPr>
        <w:spacing w:after="0" w:line="225" w:lineRule="exact"/>
        <w:rPr>
          <w:rFonts w:ascii="Arial" w:cs="Arial" w:eastAsia="Arial" w:hAnsi="Arial"/>
          <w:sz w:val="20"/>
          <w:szCs w:val="20"/>
          <w:color w:val="auto"/>
        </w:rPr>
      </w:pPr>
    </w:p>
    <w:p>
      <w:pPr>
        <w:jc w:val="both"/>
        <w:ind w:left="1340" w:firstLine="639"/>
        <w:spacing w:after="0" w:line="208" w:lineRule="auto"/>
        <w:tabs>
          <w:tab w:leader="none" w:pos="2363" w:val="left"/>
        </w:tabs>
        <w:numPr>
          <w:ilvl w:val="1"/>
          <w:numId w:val="40"/>
        </w:numPr>
        <w:rPr>
          <w:rFonts w:ascii="Arial" w:cs="Arial" w:eastAsia="Arial" w:hAnsi="Arial"/>
          <w:sz w:val="22"/>
          <w:szCs w:val="22"/>
          <w:color w:val="auto"/>
        </w:rPr>
      </w:pPr>
      <w:r>
        <w:rPr>
          <w:rFonts w:ascii="Arial" w:cs="Arial" w:eastAsia="Arial" w:hAnsi="Arial"/>
          <w:sz w:val="20"/>
          <w:szCs w:val="20"/>
          <w:color w:val="auto"/>
        </w:rPr>
        <w:t xml:space="preserve">Notwithstanding Section 3(b)(i)(A) hereof, if in the event of a Change of Control the Committee determines that the successor company shall assume or substitute the outstanding PRSUs as of the date of the Change of Control, then the vesting of the PRSUs that are assumed or substituted shall not be so accelerated as a result of such Change of Control;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the PRSUs are so assumed or substituted, the PRSUs shall no longer be subject to the Performance Goal and, instead a number of PRSUs shall convert to service- based restricted stock units as of the Change of Control based on the greater of target performance and actual performance of the Performance Goal as determined by the Committee in its reasonable discretion as of the most recent practicable date prior to the Change of Control. For this purpose, the PRSUs shall be considered assumed or substituted only if (1) the PRSUs that are assumed or substituted vest at the times that such PRSUs would vest pursuant to this Agreement (based solely on continued service) and (2) immediately following the Change of Control, the PRSUs confer the right to receive for each unvested PRSU held immediately prior to the Change of Control, the consideration (whether stock, cash or other securities or property) received by holders of Shares in the transaction constituting a Change of Control for each Share held on the effective date of such transaction (and if holders were offered a choice of consideration, the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400" w:top="838" w:right="439" w:bottom="1440" w:gutter="0" w:footer="0" w:header="0"/>
        </w:sectPr>
      </w:pPr>
    </w:p>
    <w:bookmarkStart w:id="90" w:name="page91"/>
    <w:bookmarkEnd w:id="90"/>
    <w:p>
      <w:pPr>
        <w:ind w:left="1340"/>
        <w:spacing w:after="0" w:line="222" w:lineRule="auto"/>
        <w:rPr>
          <w:sz w:val="20"/>
          <w:szCs w:val="20"/>
          <w:color w:val="auto"/>
        </w:rPr>
      </w:pPr>
      <w:r>
        <w:rPr>
          <w:rFonts w:ascii="Arial" w:cs="Arial" w:eastAsia="Arial" w:hAnsi="Arial"/>
          <w:sz w:val="19"/>
          <w:szCs w:val="19"/>
          <w:color w:val="auto"/>
        </w:rPr>
        <w:t xml:space="preserve">type of consideration chosen by the holders of a majority of the outstanding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consideration received in the transaction constituting a Change of Control is not solely common stock of</w:t>
      </w:r>
    </w:p>
    <w:p>
      <w:pPr>
        <w:spacing w:after="0" w:line="1" w:lineRule="exact"/>
        <w:rPr>
          <w:sz w:val="20"/>
          <w:szCs w:val="20"/>
          <w:color w:val="auto"/>
        </w:rPr>
      </w:pPr>
    </w:p>
    <w:p>
      <w:pPr>
        <w:ind w:left="1340" w:right="20"/>
        <w:spacing w:after="0" w:line="215" w:lineRule="auto"/>
        <w:rPr>
          <w:sz w:val="20"/>
          <w:szCs w:val="20"/>
          <w:color w:val="auto"/>
        </w:rPr>
      </w:pPr>
      <w:r>
        <w:rPr>
          <w:rFonts w:ascii="Arial" w:cs="Arial" w:eastAsia="Arial" w:hAnsi="Arial"/>
          <w:sz w:val="19"/>
          <w:szCs w:val="19"/>
          <w:color w:val="auto"/>
        </w:rPr>
        <w:t>the successor company or its parent or subsidiary, the Company may provide that the consideration to be received upon the vesting of any PRSU will be solely common stock of the successor company or its parent or</w:t>
      </w:r>
    </w:p>
    <w:p>
      <w:pPr>
        <w:ind w:left="1340"/>
        <w:spacing w:after="0" w:line="222" w:lineRule="auto"/>
        <w:rPr>
          <w:sz w:val="20"/>
          <w:szCs w:val="20"/>
          <w:color w:val="auto"/>
        </w:rPr>
      </w:pPr>
      <w:r>
        <w:rPr>
          <w:rFonts w:ascii="Arial" w:cs="Arial" w:eastAsia="Arial" w:hAnsi="Arial"/>
          <w:sz w:val="19"/>
          <w:szCs w:val="19"/>
          <w:color w:val="auto"/>
        </w:rPr>
        <w:t>subsidiary substantially equal in fair market value to the per share consideration received by holders of Shares</w:t>
      </w:r>
    </w:p>
    <w:p>
      <w:pPr>
        <w:ind w:left="1340"/>
        <w:spacing w:after="0" w:line="215" w:lineRule="auto"/>
        <w:rPr>
          <w:sz w:val="20"/>
          <w:szCs w:val="20"/>
          <w:color w:val="auto"/>
        </w:rPr>
      </w:pPr>
      <w:r>
        <w:rPr>
          <w:rFonts w:ascii="Arial" w:cs="Arial" w:eastAsia="Arial" w:hAnsi="Arial"/>
          <w:sz w:val="19"/>
          <w:szCs w:val="19"/>
          <w:color w:val="auto"/>
        </w:rPr>
        <w:t>in the transaction constituting a Change of Control. The determinations of (1) whether the PRSUs shall be assumed or substituted in accordance with this Section 3(b)(i)(B) or shall accelerate vesting in accordance with</w:t>
      </w:r>
    </w:p>
    <w:p>
      <w:pPr>
        <w:ind w:left="1340"/>
        <w:spacing w:after="0" w:line="211" w:lineRule="auto"/>
        <w:rPr>
          <w:sz w:val="20"/>
          <w:szCs w:val="20"/>
          <w:color w:val="auto"/>
        </w:rPr>
      </w:pPr>
      <w:r>
        <w:rPr>
          <w:rFonts w:ascii="Arial" w:cs="Arial" w:eastAsia="Arial" w:hAnsi="Arial"/>
          <w:sz w:val="20"/>
          <w:szCs w:val="20"/>
          <w:color w:val="auto"/>
        </w:rPr>
        <w:t>Section 3(b)(i)(A) hereof and (2) in the event that this Section 3(b)(i)(B) is applicable, such substantial equality</w:t>
      </w:r>
    </w:p>
    <w:p>
      <w:pPr>
        <w:ind w:left="1340"/>
        <w:spacing w:after="0" w:line="204" w:lineRule="auto"/>
        <w:rPr>
          <w:sz w:val="20"/>
          <w:szCs w:val="20"/>
          <w:color w:val="auto"/>
        </w:rPr>
      </w:pPr>
      <w:r>
        <w:rPr>
          <w:rFonts w:ascii="Arial" w:cs="Arial" w:eastAsia="Arial" w:hAnsi="Arial"/>
          <w:sz w:val="20"/>
          <w:szCs w:val="20"/>
          <w:color w:val="auto"/>
        </w:rPr>
        <w:t>of value of consideration shall be made by the Committee in its sole discretion and its determinations shall be conclusive and binding. The award resulting from the assumption or substitution of the PRSUs by the</w:t>
      </w:r>
    </w:p>
    <w:p>
      <w:pPr>
        <w:ind w:left="1340"/>
        <w:spacing w:after="0" w:line="211" w:lineRule="auto"/>
        <w:rPr>
          <w:sz w:val="20"/>
          <w:szCs w:val="20"/>
          <w:color w:val="auto"/>
        </w:rPr>
      </w:pPr>
      <w:r>
        <w:rPr>
          <w:rFonts w:ascii="Arial" w:cs="Arial" w:eastAsia="Arial" w:hAnsi="Arial"/>
          <w:sz w:val="20"/>
          <w:szCs w:val="20"/>
          <w:color w:val="auto"/>
        </w:rPr>
        <w:t>successor company shall, except as otherwise provided in this Section 3(b), continue to vest after the Change</w:t>
      </w:r>
    </w:p>
    <w:p>
      <w:pPr>
        <w:spacing w:after="0" w:line="1" w:lineRule="exact"/>
        <w:rPr>
          <w:sz w:val="20"/>
          <w:szCs w:val="20"/>
          <w:color w:val="auto"/>
        </w:rPr>
      </w:pPr>
    </w:p>
    <w:p>
      <w:pPr>
        <w:ind w:left="1340"/>
        <w:spacing w:after="0" w:line="222" w:lineRule="auto"/>
        <w:rPr>
          <w:sz w:val="20"/>
          <w:szCs w:val="20"/>
          <w:color w:val="auto"/>
        </w:rPr>
      </w:pPr>
      <w:r>
        <w:rPr>
          <w:rFonts w:ascii="Arial" w:cs="Arial" w:eastAsia="Arial" w:hAnsi="Arial"/>
          <w:sz w:val="20"/>
          <w:szCs w:val="20"/>
          <w:color w:val="auto"/>
        </w:rPr>
        <w:t>of Control transaction based solely on the Participant’s continued employment with the successor company and its affiliates through the Determination Date, and shall be referred to hereafter as the “</w:t>
      </w:r>
      <w:r>
        <w:rPr>
          <w:rFonts w:ascii="Arial" w:cs="Arial" w:eastAsia="Arial" w:hAnsi="Arial"/>
          <w:sz w:val="20"/>
          <w:szCs w:val="20"/>
          <w:b w:val="1"/>
          <w:bCs w:val="1"/>
          <w:i w:val="1"/>
          <w:iCs w:val="1"/>
          <w:color w:val="auto"/>
        </w:rPr>
        <w:t>Acquirer RSUs</w:t>
      </w:r>
      <w:r>
        <w:rPr>
          <w:rFonts w:ascii="Arial" w:cs="Arial" w:eastAsia="Arial" w:hAnsi="Arial"/>
          <w:sz w:val="20"/>
          <w:szCs w:val="20"/>
          <w:color w:val="auto"/>
        </w:rPr>
        <w:t>”.</w:t>
      </w:r>
    </w:p>
    <w:p>
      <w:pPr>
        <w:spacing w:after="0" w:line="189" w:lineRule="exact"/>
        <w:rPr>
          <w:sz w:val="20"/>
          <w:szCs w:val="20"/>
          <w:color w:val="auto"/>
        </w:rPr>
      </w:pPr>
    </w:p>
    <w:p>
      <w:pPr>
        <w:ind w:left="680" w:firstLine="966"/>
        <w:spacing w:after="0" w:line="221" w:lineRule="auto"/>
        <w:rPr>
          <w:sz w:val="20"/>
          <w:szCs w:val="20"/>
          <w:color w:val="auto"/>
        </w:rPr>
      </w:pPr>
      <w:r>
        <w:rPr>
          <w:rFonts w:ascii="Arial" w:cs="Arial" w:eastAsia="Arial" w:hAnsi="Arial"/>
          <w:sz w:val="20"/>
          <w:szCs w:val="20"/>
          <w:color w:val="auto"/>
        </w:rPr>
        <w:t>(ii)</w:t>
      </w:r>
      <w:r>
        <w:rPr>
          <w:rFonts w:ascii="Arial" w:cs="Arial" w:eastAsia="Arial" w:hAnsi="Arial"/>
          <w:sz w:val="20"/>
          <w:szCs w:val="20"/>
          <w:i w:val="1"/>
          <w:iCs w:val="1"/>
          <w:color w:val="auto"/>
        </w:rPr>
        <w:t>Death and Disability</w:t>
      </w:r>
      <w:r>
        <w:rPr>
          <w:rFonts w:ascii="Arial" w:cs="Arial" w:eastAsia="Arial" w:hAnsi="Arial"/>
          <w:sz w:val="20"/>
          <w:szCs w:val="20"/>
          <w:color w:val="auto"/>
        </w:rPr>
        <w:t>. In the event that the Participant’s employment with the Company and its Subsidiaries is terminated due to the Participant’s death or Disability</w:t>
      </w:r>
    </w:p>
    <w:p>
      <w:pPr>
        <w:spacing w:after="0" w:line="1" w:lineRule="exact"/>
        <w:rPr>
          <w:sz w:val="20"/>
          <w:szCs w:val="20"/>
          <w:color w:val="auto"/>
        </w:rPr>
      </w:pPr>
    </w:p>
    <w:p>
      <w:pPr>
        <w:jc w:val="both"/>
        <w:ind w:left="680" w:firstLine="3"/>
        <w:spacing w:after="0" w:line="220" w:lineRule="auto"/>
        <w:tabs>
          <w:tab w:leader="none" w:pos="1214" w:val="left"/>
        </w:tabs>
        <w:numPr>
          <w:ilvl w:val="0"/>
          <w:numId w:val="41"/>
        </w:numPr>
        <w:rPr>
          <w:rFonts w:ascii="Arial" w:cs="Arial" w:eastAsia="Arial" w:hAnsi="Arial"/>
          <w:sz w:val="19"/>
          <w:szCs w:val="19"/>
          <w:color w:val="auto"/>
        </w:rPr>
      </w:pPr>
      <w:r>
        <w:rPr>
          <w:rFonts w:ascii="Arial" w:cs="Arial" w:eastAsia="Arial" w:hAnsi="Arial"/>
          <w:sz w:val="19"/>
          <w:szCs w:val="19"/>
          <w:color w:val="auto"/>
        </w:rPr>
        <w:t>prior to a Change of Control and on or before the 18-month anniversary of the Grant Date, the Participant shall become immediately vested in the target number of PRSUs pro rated in accordance with Section 3(e) hereof, (B) prior to a Change of Control and following the 18-month anniversary of the Grant Date, the Participant shall become vested on the Determination Date in the number of PRSUs determined by the Committee following the end of the Measurement Period based on the extent to which the Performance Goal has been achieved and pro rated in accordance with Section 3(e) hereof, or (C) on or following a Change of Control, the Participant shall immediately vest upon the Termination Date in all outstanding Acquirer RSUs. Notwithstanding the foregoing sentence, in the event that a Change of Control occurs following the date that the Participant’s employment is terminated due to the Participant’s death or Disability following the 18-month anniversary of the Grant Date in accordance with Section 3(b)(ii)(B), the number of PRSUs shall be determined by the Committee in accordance with Section 3(b)(i) hereof and the Participant shall immediately vest in a pro rated portion of such PRSUs determined in accordance with Section 3(e) hereof.</w:t>
      </w:r>
    </w:p>
    <w:p>
      <w:pPr>
        <w:spacing w:after="0" w:line="207" w:lineRule="exact"/>
        <w:rPr>
          <w:sz w:val="20"/>
          <w:szCs w:val="20"/>
          <w:color w:val="auto"/>
        </w:rPr>
      </w:pPr>
    </w:p>
    <w:p>
      <w:pPr>
        <w:jc w:val="both"/>
        <w:ind w:left="680" w:firstLine="922"/>
        <w:spacing w:after="0" w:line="214" w:lineRule="auto"/>
        <w:rPr>
          <w:sz w:val="20"/>
          <w:szCs w:val="20"/>
          <w:color w:val="auto"/>
        </w:rPr>
      </w:pPr>
      <w:r>
        <w:rPr>
          <w:rFonts w:ascii="Arial" w:cs="Arial" w:eastAsia="Arial" w:hAnsi="Arial"/>
          <w:sz w:val="20"/>
          <w:szCs w:val="20"/>
          <w:color w:val="auto"/>
        </w:rPr>
        <w:t>(iii)</w:t>
      </w:r>
      <w:r>
        <w:rPr>
          <w:rFonts w:ascii="Arial" w:cs="Arial" w:eastAsia="Arial" w:hAnsi="Arial"/>
          <w:sz w:val="20"/>
          <w:szCs w:val="20"/>
          <w:i w:val="1"/>
          <w:iCs w:val="1"/>
          <w:color w:val="auto"/>
        </w:rPr>
        <w:t>Termination without Cause or for Good Reason</w:t>
      </w:r>
      <w:r>
        <w:rPr>
          <w:rFonts w:ascii="Arial" w:cs="Arial" w:eastAsia="Arial" w:hAnsi="Arial"/>
          <w:sz w:val="20"/>
          <w:szCs w:val="20"/>
          <w:color w:val="auto"/>
        </w:rPr>
        <w:t>. (A) In the event that the Participant’s employment with the Company and its Subsidiaries is terminated by the Company and its Subsidiaries without Cause or, if applicable,</w:t>
      </w:r>
    </w:p>
    <w:p>
      <w:pPr>
        <w:ind w:left="680"/>
        <w:spacing w:after="0" w:line="212" w:lineRule="auto"/>
        <w:rPr>
          <w:sz w:val="20"/>
          <w:szCs w:val="20"/>
          <w:color w:val="auto"/>
        </w:rPr>
      </w:pPr>
      <w:r>
        <w:rPr>
          <w:rFonts w:ascii="Arial" w:cs="Arial" w:eastAsia="Arial" w:hAnsi="Arial"/>
          <w:sz w:val="20"/>
          <w:szCs w:val="20"/>
          <w:color w:val="auto"/>
        </w:rPr>
        <w:t>by the Participant for Good Reason (1) prior to the Determination Date and prior to a Change of Control, the</w:t>
      </w:r>
    </w:p>
    <w:p>
      <w:pPr>
        <w:spacing w:after="0" w:line="1" w:lineRule="exact"/>
        <w:rPr>
          <w:sz w:val="20"/>
          <w:szCs w:val="20"/>
          <w:color w:val="auto"/>
        </w:rPr>
      </w:pPr>
    </w:p>
    <w:p>
      <w:pPr>
        <w:ind w:left="680"/>
        <w:spacing w:after="0" w:line="204" w:lineRule="auto"/>
        <w:rPr>
          <w:sz w:val="20"/>
          <w:szCs w:val="20"/>
          <w:color w:val="auto"/>
        </w:rPr>
      </w:pPr>
      <w:r>
        <w:rPr>
          <w:rFonts w:ascii="Arial" w:cs="Arial" w:eastAsia="Arial" w:hAnsi="Arial"/>
          <w:sz w:val="20"/>
          <w:szCs w:val="20"/>
          <w:color w:val="auto"/>
        </w:rPr>
        <w:t>Participant shall become vested on the Determination Date in the number of PRSUs determined by the Committee following the end of the Measurement Period based on the extent to which the Performance Goal has been achieved</w:t>
      </w:r>
    </w:p>
    <w:p>
      <w:pPr>
        <w:ind w:left="680"/>
        <w:spacing w:after="0" w:line="211" w:lineRule="auto"/>
        <w:rPr>
          <w:sz w:val="20"/>
          <w:szCs w:val="20"/>
          <w:color w:val="auto"/>
        </w:rPr>
      </w:pPr>
      <w:r>
        <w:rPr>
          <w:rFonts w:ascii="Arial" w:cs="Arial" w:eastAsia="Arial" w:hAnsi="Arial"/>
          <w:sz w:val="20"/>
          <w:szCs w:val="20"/>
          <w:color w:val="auto"/>
        </w:rPr>
        <w:t>and pro-rated in accordance with Section 3(e) hereof, or (2) on or following a Change of Control, the Participant shall</w:t>
      </w:r>
    </w:p>
    <w:p>
      <w:pPr>
        <w:spacing w:after="0" w:line="1" w:lineRule="exact"/>
        <w:rPr>
          <w:sz w:val="20"/>
          <w:szCs w:val="20"/>
          <w:color w:val="auto"/>
        </w:rPr>
      </w:pPr>
    </w:p>
    <w:p>
      <w:pPr>
        <w:ind w:left="680" w:right="20"/>
        <w:spacing w:after="0" w:line="204" w:lineRule="auto"/>
        <w:rPr>
          <w:sz w:val="20"/>
          <w:szCs w:val="20"/>
          <w:color w:val="auto"/>
        </w:rPr>
      </w:pPr>
      <w:r>
        <w:rPr>
          <w:rFonts w:ascii="Arial" w:cs="Arial" w:eastAsia="Arial" w:hAnsi="Arial"/>
          <w:sz w:val="20"/>
          <w:szCs w:val="20"/>
          <w:color w:val="auto"/>
        </w:rPr>
        <w:t>immediately vest upon the Termination Date in all outstanding Acquirer RSUs. Notwithstanding the foregoing sentence, in the event that a Change of Control occurs following the date that the Participant’s employment is</w:t>
      </w:r>
    </w:p>
    <w:p>
      <w:pPr>
        <w:ind w:left="680"/>
        <w:spacing w:after="0" w:line="211" w:lineRule="auto"/>
        <w:rPr>
          <w:sz w:val="20"/>
          <w:szCs w:val="20"/>
          <w:color w:val="auto"/>
        </w:rPr>
      </w:pPr>
      <w:r>
        <w:rPr>
          <w:rFonts w:ascii="Arial" w:cs="Arial" w:eastAsia="Arial" w:hAnsi="Arial"/>
          <w:sz w:val="20"/>
          <w:szCs w:val="20"/>
          <w:color w:val="auto"/>
        </w:rPr>
        <w:t>terminated by the Company and its Subsidiaries without Cause or, if applicable, by the Participant for Good Reason ,</w:t>
      </w:r>
    </w:p>
    <w:p>
      <w:pPr>
        <w:spacing w:after="0" w:line="1" w:lineRule="exact"/>
        <w:rPr>
          <w:sz w:val="20"/>
          <w:szCs w:val="20"/>
          <w:color w:val="auto"/>
        </w:rPr>
      </w:pPr>
    </w:p>
    <w:p>
      <w:pPr>
        <w:ind w:left="680" w:right="20"/>
        <w:spacing w:after="0" w:line="204" w:lineRule="auto"/>
        <w:rPr>
          <w:sz w:val="20"/>
          <w:szCs w:val="20"/>
          <w:color w:val="auto"/>
        </w:rPr>
      </w:pPr>
      <w:r>
        <w:rPr>
          <w:rFonts w:ascii="Arial" w:cs="Arial" w:eastAsia="Arial" w:hAnsi="Arial"/>
          <w:sz w:val="20"/>
          <w:szCs w:val="20"/>
          <w:color w:val="auto"/>
        </w:rPr>
        <w:t>the number of PRSUs shall be determined by the Committee in accordance with Section 3(b)(i) hereof, and the Participant shall immediately vest upon the Change of Control in a pro-rated portion of such PRSUs determined in</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20"/>
          <w:szCs w:val="20"/>
          <w:color w:val="auto"/>
        </w:rPr>
        <w:t>accordance with Section 3(e) hereof.</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400" w:top="1081" w:right="439" w:bottom="1440" w:gutter="0" w:footer="0" w:header="0"/>
        </w:sectPr>
      </w:pPr>
    </w:p>
    <w:bookmarkStart w:id="91" w:name="page92"/>
    <w:bookmarkEnd w:id="91"/>
    <w:p>
      <w:pPr>
        <w:ind w:left="2500" w:hanging="521"/>
        <w:spacing w:after="0"/>
        <w:tabs>
          <w:tab w:leader="none" w:pos="2500" w:val="left"/>
        </w:tabs>
        <w:numPr>
          <w:ilvl w:val="0"/>
          <w:numId w:val="42"/>
        </w:numPr>
        <w:rPr>
          <w:rFonts w:ascii="Arial" w:cs="Arial" w:eastAsia="Arial" w:hAnsi="Arial"/>
          <w:sz w:val="22"/>
          <w:szCs w:val="22"/>
          <w:color w:val="auto"/>
        </w:rPr>
      </w:pPr>
      <w:r>
        <w:rPr>
          <w:rFonts w:ascii="Arial" w:cs="Arial" w:eastAsia="Arial" w:hAnsi="Arial"/>
          <w:sz w:val="20"/>
          <w:szCs w:val="20"/>
          <w:color w:val="auto"/>
        </w:rPr>
        <w:t>Notwithstanding the foregoing, the vesting set forth in Section 3(b)(iii)(A) hereof shall not occur</w:t>
      </w:r>
    </w:p>
    <w:p>
      <w:pPr>
        <w:ind w:left="1340"/>
        <w:spacing w:after="0" w:line="217" w:lineRule="auto"/>
        <w:rPr>
          <w:sz w:val="20"/>
          <w:szCs w:val="20"/>
          <w:color w:val="auto"/>
        </w:rPr>
      </w:pPr>
      <w:r>
        <w:rPr>
          <w:rFonts w:ascii="Arial" w:cs="Arial" w:eastAsia="Arial" w:hAnsi="Arial"/>
          <w:sz w:val="20"/>
          <w:szCs w:val="20"/>
          <w:color w:val="auto"/>
        </w:rPr>
        <w:t>and the PRSUs shall be forfeited if the Participant</w:t>
      </w:r>
    </w:p>
    <w:p>
      <w:pPr>
        <w:jc w:val="both"/>
        <w:ind w:left="1340" w:hanging="9"/>
        <w:spacing w:after="0" w:line="212" w:lineRule="auto"/>
        <w:tabs>
          <w:tab w:leader="none" w:pos="1879"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engages in conduct prior to the Determination Date that constitutes a breach of the Participant’s covenants under the Employment Arrangement or under this Agreement with respect to unfair competition, non-competition, non-solicitation, non-disparagement or cooperation or (2) to the extent a release is contemplated by the Employment Arrangement, fails to execute a full general release of all claims in favor of the Company and its affiliates as contemplated by such Employment Arrangement. </w:t>
      </w:r>
      <w:r>
        <w:rPr>
          <w:rFonts w:ascii="Arial" w:cs="Arial" w:eastAsia="Arial" w:hAnsi="Arial"/>
          <w:sz w:val="20"/>
          <w:szCs w:val="20"/>
          <w:b w:val="1"/>
          <w:bCs w:val="1"/>
          <w:color w:val="auto"/>
        </w:rPr>
        <w:t>Nothing in this Section 3</w:t>
      </w:r>
      <w:r>
        <w:rPr>
          <w:rFonts w:ascii="Arial" w:cs="Arial" w:eastAsia="Arial" w:hAnsi="Arial"/>
          <w:sz w:val="20"/>
          <w:szCs w:val="20"/>
          <w:color w:val="auto"/>
        </w:rPr>
        <w:t xml:space="preserve"> </w:t>
      </w:r>
      <w:r>
        <w:rPr>
          <w:rFonts w:ascii="Arial" w:cs="Arial" w:eastAsia="Arial" w:hAnsi="Arial"/>
          <w:sz w:val="20"/>
          <w:szCs w:val="20"/>
          <w:b w:val="1"/>
          <w:bCs w:val="1"/>
          <w:color w:val="auto"/>
        </w:rPr>
        <w:t>or this Agreement shall be deemed to limit or modify the non-competition, confidentiality or non-solicitation restrictions to which the Participant is already subject, which restrictions shall continue to be separately enforceable in accordance with their terms.</w:t>
      </w:r>
    </w:p>
    <w:p>
      <w:pPr>
        <w:spacing w:after="0" w:line="191" w:lineRule="exact"/>
        <w:rPr>
          <w:sz w:val="20"/>
          <w:szCs w:val="20"/>
          <w:color w:val="auto"/>
        </w:rPr>
      </w:pPr>
    </w:p>
    <w:p>
      <w:pPr>
        <w:jc w:val="both"/>
        <w:ind w:left="40" w:firstLine="1291"/>
        <w:spacing w:after="0" w:line="222" w:lineRule="auto"/>
        <w:tabs>
          <w:tab w:leader="none" w:pos="1863" w:val="left"/>
        </w:tabs>
        <w:numPr>
          <w:ilvl w:val="0"/>
          <w:numId w:val="44"/>
        </w:numPr>
        <w:rPr>
          <w:rFonts w:ascii="Arial" w:cs="Arial" w:eastAsia="Arial" w:hAnsi="Arial"/>
          <w:sz w:val="20"/>
          <w:szCs w:val="20"/>
          <w:color w:val="auto"/>
        </w:rPr>
      </w:pPr>
      <w:r>
        <w:rPr>
          <w:rFonts w:ascii="Arial" w:cs="Arial" w:eastAsia="Arial" w:hAnsi="Arial"/>
          <w:sz w:val="20"/>
          <w:szCs w:val="20"/>
          <w:i w:val="1"/>
          <w:iCs w:val="1"/>
          <w:color w:val="auto"/>
        </w:rPr>
        <w:t>Other Terminations of Employment</w:t>
      </w:r>
      <w:r>
        <w:rPr>
          <w:rFonts w:ascii="Arial" w:cs="Arial" w:eastAsia="Arial" w:hAnsi="Arial"/>
          <w:sz w:val="20"/>
          <w:szCs w:val="20"/>
          <w:color w:val="auto"/>
        </w:rPr>
        <w:t>. In the event that the Participant’s employment with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and its Subsidiaries is terminated prior to the Determination Date for any reason other than the Participant’s death or Disability, by the Company and its Subsidiaries without Cause or, if applicable, by the Participant for Good Reason, the Participant shall immediately forfeit all the PRSUs (or, if applicable, Acquirer RSUs) on the Termination Date.</w:t>
      </w:r>
    </w:p>
    <w:p>
      <w:pPr>
        <w:spacing w:after="0" w:line="202" w:lineRule="exact"/>
        <w:rPr>
          <w:rFonts w:ascii="Arial" w:cs="Arial" w:eastAsia="Arial" w:hAnsi="Arial"/>
          <w:sz w:val="20"/>
          <w:szCs w:val="20"/>
          <w:color w:val="auto"/>
        </w:rPr>
      </w:pPr>
    </w:p>
    <w:p>
      <w:pPr>
        <w:jc w:val="both"/>
        <w:ind w:left="40" w:firstLine="1291"/>
        <w:spacing w:after="0" w:line="222" w:lineRule="auto"/>
        <w:tabs>
          <w:tab w:leader="none" w:pos="1875" w:val="left"/>
        </w:tabs>
        <w:numPr>
          <w:ilvl w:val="0"/>
          <w:numId w:val="44"/>
        </w:numPr>
        <w:rPr>
          <w:rFonts w:ascii="Arial" w:cs="Arial" w:eastAsia="Arial" w:hAnsi="Arial"/>
          <w:sz w:val="20"/>
          <w:szCs w:val="20"/>
          <w:color w:val="auto"/>
        </w:rPr>
      </w:pPr>
      <w:r>
        <w:rPr>
          <w:rFonts w:ascii="Arial" w:cs="Arial" w:eastAsia="Arial" w:hAnsi="Arial"/>
          <w:sz w:val="20"/>
          <w:szCs w:val="20"/>
          <w:i w:val="1"/>
          <w:iCs w:val="1"/>
          <w:color w:val="auto"/>
        </w:rPr>
        <w:t>Transfers of Employment</w:t>
      </w:r>
      <w:r>
        <w:rPr>
          <w:rFonts w:ascii="Arial" w:cs="Arial" w:eastAsia="Arial" w:hAnsi="Arial"/>
          <w:sz w:val="20"/>
          <w:szCs w:val="20"/>
          <w:color w:val="auto"/>
        </w:rPr>
        <w:t>. Termination of employment with the Company (or, if applicable, the successor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188" w:lineRule="exact"/>
        <w:rPr>
          <w:rFonts w:ascii="Arial" w:cs="Arial" w:eastAsia="Arial" w:hAnsi="Arial"/>
          <w:sz w:val="20"/>
          <w:szCs w:val="20"/>
          <w:color w:val="auto"/>
        </w:rPr>
      </w:pPr>
    </w:p>
    <w:p>
      <w:pPr>
        <w:jc w:val="both"/>
        <w:ind w:left="40" w:firstLine="1291"/>
        <w:spacing w:after="0" w:line="224" w:lineRule="auto"/>
        <w:tabs>
          <w:tab w:leader="none" w:pos="1875"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Pro-Ration of PRSUs</w:t>
      </w:r>
      <w:r>
        <w:rPr>
          <w:rFonts w:ascii="Arial" w:cs="Arial" w:eastAsia="Arial" w:hAnsi="Arial"/>
          <w:sz w:val="19"/>
          <w:szCs w:val="19"/>
          <w:color w:val="auto"/>
        </w:rPr>
        <w:t>. For purposes of clauses (b)(ii) and (b)(iii), the pro-rated portion of PRSUs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calculated by multiplying the number of PRSUs determined by the Committee based on the extent to which the Performance Goal has been achieved by a fraction, the numerator of which shall be the number of days that have elapsed between the</w:t>
      </w:r>
    </w:p>
    <w:p>
      <w:pPr>
        <w:ind w:left="40"/>
        <w:spacing w:after="0" w:line="210" w:lineRule="auto"/>
        <w:rPr>
          <w:sz w:val="20"/>
          <w:szCs w:val="20"/>
          <w:color w:val="auto"/>
        </w:rPr>
      </w:pPr>
      <w:r>
        <w:rPr>
          <w:rFonts w:ascii="Arial" w:cs="Arial" w:eastAsia="Arial" w:hAnsi="Arial"/>
          <w:sz w:val="19"/>
          <w:szCs w:val="19"/>
          <w:color w:val="auto"/>
        </w:rPr>
        <w:t>Grant Date and the Termination Date and the denominator of which shall be the total number of days between the Grant Date</w:t>
      </w:r>
    </w:p>
    <w:p>
      <w:pPr>
        <w:ind w:left="40" w:right="20"/>
        <w:spacing w:after="0" w:line="229" w:lineRule="auto"/>
        <w:rPr>
          <w:sz w:val="20"/>
          <w:szCs w:val="20"/>
          <w:color w:val="auto"/>
        </w:rPr>
      </w:pPr>
      <w:r>
        <w:rPr>
          <w:rFonts w:ascii="Arial" w:cs="Arial" w:eastAsia="Arial" w:hAnsi="Arial"/>
          <w:sz w:val="20"/>
          <w:szCs w:val="20"/>
          <w:color w:val="auto"/>
        </w:rPr>
        <w:t>and the Determination Date, which for this purpose shall be deemed to be March 15, , and the remaining portion of such PRSUs, if any, shall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-155575</wp:posOffset>
            </wp:positionV>
            <wp:extent cx="5924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592455" cy="8255"/>
                    </a:xfrm>
                    <a:prstGeom prst="rect">
                      <a:avLst/>
                    </a:prstGeom>
                    <a:noFill/>
                  </pic:spPr>
                </pic:pic>
              </a:graphicData>
            </a:graphic>
          </wp:anchor>
        </w:drawing>
      </w:r>
    </w:p>
    <w:p>
      <w:pPr>
        <w:spacing w:after="0" w:line="203" w:lineRule="exact"/>
        <w:rPr>
          <w:sz w:val="20"/>
          <w:szCs w:val="20"/>
          <w:color w:val="auto"/>
        </w:rPr>
      </w:pPr>
    </w:p>
    <w:p>
      <w:pPr>
        <w:jc w:val="both"/>
        <w:ind w:left="40" w:firstLine="644"/>
        <w:spacing w:after="0" w:line="213" w:lineRule="auto"/>
        <w:tabs>
          <w:tab w:leader="none" w:pos="1217"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The number of PRSUs (or, if applicable, Acquirer RSUs) are subject to adjustment by the Committee in the event of any increase or decrease in the number of issued Shares resulting from a subdivision or consolidation of the Common Stock or the payment of a stock dividend on Common Stock, or any other increase or decrease in the number of Shares effected without receipt or payment of consideration by the Company.</w:t>
      </w:r>
    </w:p>
    <w:p>
      <w:pPr>
        <w:spacing w:after="0" w:line="223" w:lineRule="exact"/>
        <w:rPr>
          <w:rFonts w:ascii="Arial" w:cs="Arial" w:eastAsia="Arial" w:hAnsi="Arial"/>
          <w:sz w:val="20"/>
          <w:szCs w:val="20"/>
          <w:color w:val="auto"/>
        </w:rPr>
      </w:pPr>
    </w:p>
    <w:p>
      <w:pPr>
        <w:ind w:left="960" w:hanging="277"/>
        <w:spacing w:after="0"/>
        <w:tabs>
          <w:tab w:leader="none" w:pos="96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Settlement of Awards</w:t>
      </w:r>
      <w:r>
        <w:rPr>
          <w:rFonts w:ascii="Arial" w:cs="Arial" w:eastAsia="Arial" w:hAnsi="Arial"/>
          <w:sz w:val="20"/>
          <w:szCs w:val="20"/>
          <w:color w:val="auto"/>
        </w:rPr>
        <w:t>.</w:t>
      </w:r>
    </w:p>
    <w:p>
      <w:pPr>
        <w:spacing w:after="0" w:line="296" w:lineRule="exact"/>
        <w:rPr>
          <w:rFonts w:ascii="Arial" w:cs="Arial" w:eastAsia="Arial" w:hAnsi="Arial"/>
          <w:sz w:val="20"/>
          <w:szCs w:val="20"/>
          <w:color w:val="auto"/>
        </w:rPr>
      </w:pPr>
    </w:p>
    <w:p>
      <w:pPr>
        <w:jc w:val="both"/>
        <w:ind w:left="40" w:firstLine="1292"/>
        <w:spacing w:after="0" w:line="212" w:lineRule="auto"/>
        <w:tabs>
          <w:tab w:leader="none" w:pos="1875" w:val="left"/>
        </w:tabs>
        <w:numPr>
          <w:ilvl w:val="1"/>
          <w:numId w:val="45"/>
        </w:numPr>
        <w:rPr>
          <w:rFonts w:ascii="Arial" w:cs="Arial" w:eastAsia="Arial" w:hAnsi="Arial"/>
          <w:sz w:val="20"/>
          <w:szCs w:val="20"/>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 xml:space="preserve">. The Company shall deliver the Shares corresponding to the vested PRSUs (or, if applicable, Acquirer RSUs) to the Participant within 30 days following the Determination Date, but in no event later than March 15 of the calendar year immediately following the calendar year in which the Determination Date occurs;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 in the event of a Change of Control pursuant to which the PRSUs vest in accordance with Section 3(b)(i)(A) hereof, the Company shall deliver Shares corresponding to vested PRSUs to the Participant within 10 days following such Change of Control, (ii) in the event of the Participant’s termination of employment (A) due to death or Disability on or prior to the 18-month anniversary of the Grant Date or following a Change of Control or (B) by the Company without Cause or by the Participant for Good Reason, in either case, following a Change of Control,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400" w:top="1106" w:right="439" w:bottom="1440" w:gutter="0" w:footer="0" w:header="0"/>
        </w:sectPr>
      </w:pPr>
    </w:p>
    <w:bookmarkStart w:id="92" w:name="page93"/>
    <w:bookmarkEnd w:id="92"/>
    <w:p>
      <w:pPr>
        <w:ind w:left="40" w:right="20"/>
        <w:spacing w:after="0" w:line="215" w:lineRule="auto"/>
        <w:rPr>
          <w:sz w:val="20"/>
          <w:szCs w:val="20"/>
          <w:color w:val="auto"/>
        </w:rPr>
      </w:pPr>
      <w:r>
        <w:rPr>
          <w:rFonts w:ascii="Arial" w:cs="Arial" w:eastAsia="Arial" w:hAnsi="Arial"/>
          <w:sz w:val="19"/>
          <w:szCs w:val="19"/>
          <w:color w:val="auto"/>
        </w:rPr>
        <w:t>Company shall deliver the Shares corresponding to the vested Acquirer RSUs to the Participant within 30 days following such Termination Date. Notwithstanding any provision in this Agreement to the contrary, the PRSUs (or, if applicable, Acquirer</w:t>
      </w:r>
    </w:p>
    <w:p>
      <w:pPr>
        <w:ind w:left="40"/>
        <w:spacing w:after="0" w:line="229" w:lineRule="auto"/>
        <w:rPr>
          <w:sz w:val="20"/>
          <w:szCs w:val="20"/>
          <w:color w:val="auto"/>
        </w:rPr>
      </w:pPr>
      <w:r>
        <w:rPr>
          <w:rFonts w:ascii="Arial" w:cs="Arial" w:eastAsia="Arial" w:hAnsi="Arial"/>
          <w:sz w:val="20"/>
          <w:szCs w:val="20"/>
          <w:color w:val="auto"/>
        </w:rPr>
        <w:t>RSUs) shall be settled no later than March 15 of the calendar year immediately following the year in which they are no longer subject to a substantial risk of forfeiture (within the meaning of Treasury Regulation Section 1.409A-1(d)).</w:t>
      </w:r>
    </w:p>
    <w:p>
      <w:pPr>
        <w:spacing w:after="0" w:line="209" w:lineRule="exact"/>
        <w:rPr>
          <w:sz w:val="20"/>
          <w:szCs w:val="20"/>
          <w:color w:val="auto"/>
        </w:rPr>
      </w:pPr>
    </w:p>
    <w:p>
      <w:pPr>
        <w:jc w:val="both"/>
        <w:ind w:left="40" w:firstLine="1292"/>
        <w:spacing w:after="0" w:line="216" w:lineRule="auto"/>
        <w:tabs>
          <w:tab w:leader="none" w:pos="1875" w:val="left"/>
        </w:tabs>
        <w:numPr>
          <w:ilvl w:val="2"/>
          <w:numId w:val="46"/>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By written notice to the Company’s Secretary, the Participant may designate a beneficiary or beneficiaries to whom any vested PRSUs (or, if applicable, Acquirer RSUs) and the Participant’s Cash Account (as defined below) shall be transferred upon the death of the Participant. In the absence of such designation, or if no designated beneficiary survives the Participant, such vested PRSUs (or, if applicable, Acquirer RSUs) and the Participant’s Cash Account shall be transferred to the legal representative of the Participant’s estate. No such transfer of the PRSUs (or, if applicable, Acquirer RSUs) shall be effective to bind the Company unless the Company shall have been furnished with (i) written notice thereof, (ii) a copy of the will and/or such evidence as the Company deems necessary to establish the validity of such transfer or right to convert and (iii) an executed agreement by the transferee, administrator, or executor (as applicable) to</w:t>
      </w:r>
    </w:p>
    <w:p>
      <w:pPr>
        <w:spacing w:after="0" w:line="6" w:lineRule="exact"/>
        <w:rPr>
          <w:rFonts w:ascii="Arial" w:cs="Arial" w:eastAsia="Arial" w:hAnsi="Arial"/>
          <w:sz w:val="19"/>
          <w:szCs w:val="19"/>
          <w:color w:val="auto"/>
        </w:rPr>
      </w:pPr>
    </w:p>
    <w:p>
      <w:pPr>
        <w:ind w:left="40" w:right="20" w:hanging="4"/>
        <w:spacing w:after="0" w:line="229" w:lineRule="auto"/>
        <w:tabs>
          <w:tab w:leader="none" w:pos="362" w:val="left"/>
        </w:tabs>
        <w:numPr>
          <w:ilvl w:val="0"/>
          <w:numId w:val="47"/>
        </w:numPr>
        <w:rPr>
          <w:rFonts w:ascii="Arial" w:cs="Arial" w:eastAsia="Arial" w:hAnsi="Arial"/>
          <w:sz w:val="20"/>
          <w:szCs w:val="20"/>
          <w:color w:val="auto"/>
        </w:rPr>
      </w:pPr>
      <w:r>
        <w:rPr>
          <w:rFonts w:ascii="Arial" w:cs="Arial" w:eastAsia="Arial" w:hAnsi="Arial"/>
          <w:sz w:val="20"/>
          <w:szCs w:val="20"/>
          <w:color w:val="auto"/>
        </w:rPr>
        <w:t>comply with all the terms of this Agreement that are or would have been applicable to the Participant and (B) be bound by the acknowledgements made by the Participant in connection with this grant.</w:t>
      </w:r>
    </w:p>
    <w:p>
      <w:pPr>
        <w:spacing w:after="0" w:line="209" w:lineRule="exact"/>
        <w:rPr>
          <w:rFonts w:ascii="Arial" w:cs="Arial" w:eastAsia="Arial" w:hAnsi="Arial"/>
          <w:sz w:val="20"/>
          <w:szCs w:val="20"/>
          <w:color w:val="auto"/>
        </w:rPr>
      </w:pPr>
    </w:p>
    <w:p>
      <w:pPr>
        <w:jc w:val="both"/>
        <w:ind w:left="40" w:right="20" w:firstLine="1292"/>
        <w:spacing w:after="0" w:line="216" w:lineRule="auto"/>
        <w:tabs>
          <w:tab w:leader="none" w:pos="1864" w:val="left"/>
        </w:tabs>
        <w:numPr>
          <w:ilvl w:val="2"/>
          <w:numId w:val="47"/>
        </w:numPr>
        <w:rPr>
          <w:rFonts w:ascii="Arial" w:cs="Arial" w:eastAsia="Arial" w:hAnsi="Arial"/>
          <w:sz w:val="20"/>
          <w:szCs w:val="20"/>
          <w:color w:val="auto"/>
        </w:rPr>
      </w:pPr>
      <w:r>
        <w:rPr>
          <w:rFonts w:ascii="Arial" w:cs="Arial" w:eastAsia="Arial" w:hAnsi="Arial"/>
          <w:sz w:val="20"/>
          <w:szCs w:val="20"/>
          <w:u w:val="single" w:color="auto"/>
          <w:color w:val="auto"/>
        </w:rPr>
        <w:t>Settlement Conditioned Upon Satisfaction of Tax Obligations</w:t>
      </w:r>
      <w:r>
        <w:rPr>
          <w:rFonts w:ascii="Arial" w:cs="Arial" w:eastAsia="Arial" w:hAnsi="Arial"/>
          <w:sz w:val="20"/>
          <w:szCs w:val="20"/>
          <w:color w:val="auto"/>
        </w:rPr>
        <w:t>. Notwithstanding the foregoing, the Company’s obligation to deliver any consideration pursuant to this Section 5 shall be subject to, and conditioned upon, satisfaction of the Participant’s obligations relating to the applicable federal, state, local and foreign withholding or other taxes pursuant to Section 9 hereof.</w:t>
      </w:r>
    </w:p>
    <w:p>
      <w:pPr>
        <w:spacing w:after="0" w:line="211" w:lineRule="exact"/>
        <w:rPr>
          <w:rFonts w:ascii="Arial" w:cs="Arial" w:eastAsia="Arial" w:hAnsi="Arial"/>
          <w:sz w:val="20"/>
          <w:szCs w:val="20"/>
          <w:color w:val="auto"/>
        </w:rPr>
      </w:pPr>
    </w:p>
    <w:p>
      <w:pPr>
        <w:ind w:left="960" w:hanging="277"/>
        <w:spacing w:after="0"/>
        <w:tabs>
          <w:tab w:leader="none" w:pos="960" w:val="left"/>
        </w:tabs>
        <w:numPr>
          <w:ilvl w:val="1"/>
          <w:numId w:val="47"/>
        </w:numPr>
        <w:rPr>
          <w:rFonts w:ascii="Arial" w:cs="Arial" w:eastAsia="Arial" w:hAnsi="Arial"/>
          <w:sz w:val="20"/>
          <w:szCs w:val="20"/>
          <w:color w:val="auto"/>
        </w:rPr>
      </w:pPr>
      <w:r>
        <w:rPr>
          <w:rFonts w:ascii="Arial" w:cs="Arial" w:eastAsia="Arial" w:hAnsi="Arial"/>
          <w:sz w:val="20"/>
          <w:szCs w:val="20"/>
          <w:u w:val="single" w:color="auto"/>
          <w:color w:val="auto"/>
        </w:rPr>
        <w:t>Rights with Respect to Shares Represented by PRSUs</w:t>
      </w:r>
      <w:r>
        <w:rPr>
          <w:rFonts w:ascii="Arial" w:cs="Arial" w:eastAsia="Arial" w:hAnsi="Arial"/>
          <w:sz w:val="20"/>
          <w:szCs w:val="20"/>
          <w:color w:val="auto"/>
        </w:rPr>
        <w:t>.</w:t>
      </w:r>
    </w:p>
    <w:p>
      <w:pPr>
        <w:spacing w:after="0" w:line="310" w:lineRule="exact"/>
        <w:rPr>
          <w:rFonts w:ascii="Arial" w:cs="Arial" w:eastAsia="Arial" w:hAnsi="Arial"/>
          <w:sz w:val="20"/>
          <w:szCs w:val="20"/>
          <w:color w:val="auto"/>
        </w:rPr>
      </w:pPr>
    </w:p>
    <w:p>
      <w:pPr>
        <w:jc w:val="both"/>
        <w:ind w:left="40" w:firstLine="1292"/>
        <w:spacing w:after="0" w:line="212" w:lineRule="auto"/>
        <w:tabs>
          <w:tab w:leader="none" w:pos="1875" w:val="left"/>
        </w:tabs>
        <w:numPr>
          <w:ilvl w:val="2"/>
          <w:numId w:val="48"/>
        </w:numPr>
        <w:rPr>
          <w:rFonts w:ascii="Arial" w:cs="Arial" w:eastAsia="Arial" w:hAnsi="Arial"/>
          <w:sz w:val="20"/>
          <w:szCs w:val="20"/>
          <w:color w:val="auto"/>
        </w:rPr>
      </w:pPr>
      <w:r>
        <w:rPr>
          <w:rFonts w:ascii="Arial" w:cs="Arial" w:eastAsia="Arial" w:hAnsi="Arial"/>
          <w:sz w:val="20"/>
          <w:szCs w:val="20"/>
          <w:u w:val="single" w:color="auto"/>
          <w:color w:val="auto"/>
        </w:rPr>
        <w:t>No Rights as Shareholder until Delivery</w:t>
      </w:r>
      <w:r>
        <w:rPr>
          <w:rFonts w:ascii="Arial" w:cs="Arial" w:eastAsia="Arial" w:hAnsi="Arial"/>
          <w:sz w:val="20"/>
          <w:szCs w:val="20"/>
          <w:color w:val="auto"/>
        </w:rPr>
        <w:t>. Except as otherwise provided in this Section 6,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 and the right to receive all dividends, if any, as may be declared on the Shares from time to time.</w:t>
      </w:r>
    </w:p>
    <w:p>
      <w:pPr>
        <w:spacing w:after="0" w:line="226" w:lineRule="exact"/>
        <w:rPr>
          <w:rFonts w:ascii="Arial" w:cs="Arial" w:eastAsia="Arial" w:hAnsi="Arial"/>
          <w:sz w:val="20"/>
          <w:szCs w:val="20"/>
          <w:color w:val="auto"/>
        </w:rPr>
      </w:pPr>
    </w:p>
    <w:p>
      <w:pPr>
        <w:ind w:left="1680" w:hanging="349"/>
        <w:spacing w:after="0"/>
        <w:tabs>
          <w:tab w:leader="none" w:pos="1680" w:val="left"/>
        </w:tabs>
        <w:numPr>
          <w:ilvl w:val="2"/>
          <w:numId w:val="48"/>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w:t>
      </w:r>
    </w:p>
    <w:p>
      <w:pPr>
        <w:spacing w:after="0" w:line="281"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Cash Dividends</w:t>
      </w:r>
      <w:r>
        <w:rPr>
          <w:rFonts w:ascii="Arial" w:cs="Arial" w:eastAsia="Arial" w:hAnsi="Arial"/>
          <w:sz w:val="19"/>
          <w:szCs w:val="19"/>
          <w:color w:val="auto"/>
        </w:rPr>
        <w:t>. As of each date on which the Company pays a cash dividend with respect to its Shares,</w:t>
      </w:r>
    </w:p>
    <w:p>
      <w:pPr>
        <w:jc w:val="both"/>
        <w:ind w:left="680"/>
        <w:spacing w:after="0" w:line="215" w:lineRule="auto"/>
        <w:rPr>
          <w:sz w:val="20"/>
          <w:szCs w:val="20"/>
          <w:color w:val="auto"/>
        </w:rPr>
      </w:pPr>
      <w:r>
        <w:rPr>
          <w:rFonts w:ascii="Arial" w:cs="Arial" w:eastAsia="Arial" w:hAnsi="Arial"/>
          <w:sz w:val="19"/>
          <w:szCs w:val="19"/>
          <w:color w:val="auto"/>
        </w:rPr>
        <w:t>the Company shall credit to a bookkeeping account (the “</w:t>
      </w:r>
      <w:r>
        <w:rPr>
          <w:rFonts w:ascii="Arial" w:cs="Arial" w:eastAsia="Arial" w:hAnsi="Arial"/>
          <w:sz w:val="19"/>
          <w:szCs w:val="19"/>
          <w:b w:val="1"/>
          <w:bCs w:val="1"/>
          <w:i w:val="1"/>
          <w:iCs w:val="1"/>
          <w:color w:val="auto"/>
        </w:rPr>
        <w:t>Cash Account</w:t>
      </w:r>
      <w:r>
        <w:rPr>
          <w:rFonts w:ascii="Arial" w:cs="Arial" w:eastAsia="Arial" w:hAnsi="Arial"/>
          <w:sz w:val="19"/>
          <w:szCs w:val="19"/>
          <w:color w:val="auto"/>
        </w:rPr>
        <w:t>”) for the Participant an amount equal to the cash dividend that would have been payable with respect to the Shares corresponding to the PRSUs (or, if applicable,</w:t>
      </w:r>
    </w:p>
    <w:p>
      <w:pPr>
        <w:ind w:left="680"/>
        <w:spacing w:after="0" w:line="211" w:lineRule="auto"/>
        <w:rPr>
          <w:sz w:val="20"/>
          <w:szCs w:val="20"/>
          <w:color w:val="auto"/>
        </w:rPr>
      </w:pPr>
      <w:r>
        <w:rPr>
          <w:rFonts w:ascii="Arial" w:cs="Arial" w:eastAsia="Arial" w:hAnsi="Arial"/>
          <w:sz w:val="20"/>
          <w:szCs w:val="20"/>
          <w:color w:val="auto"/>
        </w:rPr>
        <w:t>shares corresponding to Acquirer RSUs). Upon the vesting of any PRSUs hereunder (or, if applicable, Acquirer</w:t>
      </w:r>
    </w:p>
    <w:p>
      <w:pPr>
        <w:ind w:left="680"/>
        <w:spacing w:after="0" w:line="215" w:lineRule="auto"/>
        <w:rPr>
          <w:sz w:val="20"/>
          <w:szCs w:val="20"/>
          <w:color w:val="auto"/>
        </w:rPr>
      </w:pPr>
      <w:r>
        <w:rPr>
          <w:rFonts w:ascii="Arial" w:cs="Arial" w:eastAsia="Arial" w:hAnsi="Arial"/>
          <w:sz w:val="19"/>
          <w:szCs w:val="19"/>
          <w:color w:val="auto"/>
        </w:rPr>
        <w:t>RSUs), the Participant shall vest in and have the right to receive that portion of the Cash Account which relates to any such vested PRSUs (or, if applicable, Acquirer RSUs). The value of the Participant’s Cash Account shall vest and be</w:t>
      </w:r>
    </w:p>
    <w:p>
      <w:pPr>
        <w:ind w:left="680"/>
        <w:spacing w:after="0" w:line="211" w:lineRule="auto"/>
        <w:rPr>
          <w:sz w:val="20"/>
          <w:szCs w:val="20"/>
          <w:color w:val="auto"/>
        </w:rPr>
      </w:pPr>
      <w:r>
        <w:rPr>
          <w:rFonts w:ascii="Arial" w:cs="Arial" w:eastAsia="Arial" w:hAnsi="Arial"/>
          <w:sz w:val="20"/>
          <w:szCs w:val="20"/>
          <w:color w:val="auto"/>
        </w:rPr>
        <w:t>distributable to the Participant at the same time as the Shares corresponding to the vested PRSUs (or, if applicable,</w:t>
      </w:r>
    </w:p>
    <w:p>
      <w:pPr>
        <w:ind w:left="680"/>
        <w:spacing w:after="0" w:line="215" w:lineRule="auto"/>
        <w:rPr>
          <w:sz w:val="20"/>
          <w:szCs w:val="20"/>
          <w:color w:val="auto"/>
        </w:rPr>
      </w:pPr>
      <w:r>
        <w:rPr>
          <w:rFonts w:ascii="Arial" w:cs="Arial" w:eastAsia="Arial" w:hAnsi="Arial"/>
          <w:sz w:val="19"/>
          <w:szCs w:val="19"/>
          <w:color w:val="auto"/>
        </w:rPr>
        <w:t>the consideration corresponding to Acquirer RSUs) are distributed to the Participant. For the avoidance of doubt, if, on the Determination Date, the Company determines that the Performance Goal has not been achieved and the PRSUs</w:t>
      </w:r>
    </w:p>
    <w:p>
      <w:pPr>
        <w:ind w:left="680"/>
        <w:spacing w:after="0" w:line="229" w:lineRule="auto"/>
        <w:rPr>
          <w:sz w:val="20"/>
          <w:szCs w:val="20"/>
          <w:color w:val="auto"/>
        </w:rPr>
      </w:pPr>
      <w:r>
        <w:rPr>
          <w:rFonts w:ascii="Arial" w:cs="Arial" w:eastAsia="Arial" w:hAnsi="Arial"/>
          <w:sz w:val="20"/>
          <w:szCs w:val="20"/>
          <w:color w:val="auto"/>
        </w:rPr>
        <w:t>are forfeited pursuant to Section 3(a)(i) hereof, the Participant’s Cash Account will be immediately forfeited, along with the PRSUs, on the Determination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400" w:top="1094" w:right="439" w:bottom="1440" w:gutter="0" w:footer="0" w:header="0"/>
        </w:sectPr>
      </w:pPr>
    </w:p>
    <w:bookmarkStart w:id="93" w:name="page94"/>
    <w:bookmarkEnd w:id="93"/>
    <w:p>
      <w:pPr>
        <w:ind w:left="680" w:firstLine="967"/>
        <w:spacing w:after="0" w:line="204"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Stock Dividends</w:t>
      </w:r>
      <w:r>
        <w:rPr>
          <w:rFonts w:ascii="Arial" w:cs="Arial" w:eastAsia="Arial" w:hAnsi="Arial"/>
          <w:sz w:val="20"/>
          <w:szCs w:val="20"/>
          <w:color w:val="auto"/>
        </w:rPr>
        <w:t>. As of each date on which the Company pays a stock dividend with respect to its Shares, the Shares corresponding to the PRSUs shall be increased by the stock dividend that would have been</w:t>
      </w:r>
    </w:p>
    <w:p>
      <w:pPr>
        <w:ind w:left="680"/>
        <w:spacing w:after="0" w:line="211" w:lineRule="auto"/>
        <w:rPr>
          <w:sz w:val="20"/>
          <w:szCs w:val="20"/>
          <w:color w:val="auto"/>
        </w:rPr>
      </w:pPr>
      <w:r>
        <w:rPr>
          <w:rFonts w:ascii="Arial" w:cs="Arial" w:eastAsia="Arial" w:hAnsi="Arial"/>
          <w:sz w:val="20"/>
          <w:szCs w:val="20"/>
          <w:color w:val="auto"/>
        </w:rPr>
        <w:t>payable with respect to the Shares that correspond to the PRSUs, and shall be subject to the same vesting</w:t>
      </w:r>
    </w:p>
    <w:p>
      <w:pPr>
        <w:spacing w:after="0" w:line="1" w:lineRule="exact"/>
        <w:rPr>
          <w:sz w:val="20"/>
          <w:szCs w:val="20"/>
          <w:color w:val="auto"/>
        </w:rPr>
      </w:pPr>
    </w:p>
    <w:p>
      <w:pPr>
        <w:ind w:left="680" w:right="20"/>
        <w:spacing w:after="0" w:line="222" w:lineRule="auto"/>
        <w:rPr>
          <w:sz w:val="20"/>
          <w:szCs w:val="20"/>
          <w:color w:val="auto"/>
        </w:rPr>
      </w:pPr>
      <w:r>
        <w:rPr>
          <w:rFonts w:ascii="Arial" w:cs="Arial" w:eastAsia="Arial" w:hAnsi="Arial"/>
          <w:sz w:val="20"/>
          <w:szCs w:val="20"/>
          <w:color w:val="auto"/>
        </w:rPr>
        <w:t>requirements as the PRSUs to which they relate and, to the extent earned and vested, shall be distributed at the same time as the Shares corresponding to the vested PRSUs are distributed.</w:t>
      </w:r>
    </w:p>
    <w:p>
      <w:pPr>
        <w:spacing w:after="0" w:line="223" w:lineRule="exact"/>
        <w:rPr>
          <w:sz w:val="20"/>
          <w:szCs w:val="20"/>
          <w:color w:val="auto"/>
        </w:rPr>
      </w:pPr>
    </w:p>
    <w:p>
      <w:pPr>
        <w:ind w:left="40" w:firstLine="644"/>
        <w:spacing w:after="0" w:line="222" w:lineRule="auto"/>
        <w:tabs>
          <w:tab w:leader="none" w:pos="1217" w:val="left"/>
        </w:tabs>
        <w:numPr>
          <w:ilvl w:val="1"/>
          <w:numId w:val="49"/>
        </w:numPr>
        <w:rPr>
          <w:rFonts w:ascii="Arial" w:cs="Arial" w:eastAsia="Arial" w:hAnsi="Arial"/>
          <w:sz w:val="20"/>
          <w:szCs w:val="20"/>
          <w:color w:val="auto"/>
        </w:rPr>
      </w:pPr>
      <w:r>
        <w:rPr>
          <w:rFonts w:ascii="Arial" w:cs="Arial" w:eastAsia="Arial" w:hAnsi="Arial"/>
          <w:sz w:val="20"/>
          <w:szCs w:val="20"/>
          <w:u w:val="single" w:color="auto"/>
          <w:color w:val="auto"/>
        </w:rPr>
        <w:t>Transfers</w:t>
      </w:r>
      <w:r>
        <w:rPr>
          <w:rFonts w:ascii="Arial" w:cs="Arial" w:eastAsia="Arial" w:hAnsi="Arial"/>
          <w:sz w:val="20"/>
          <w:szCs w:val="20"/>
          <w:color w:val="auto"/>
        </w:rPr>
        <w:t>. The Participant may not, directly or indirectly, sell, pledge or otherwise transfer any PRSUs or Acquirer RSUs or any rights with respect to the Cash Account.</w:t>
      </w:r>
    </w:p>
    <w:p>
      <w:pPr>
        <w:spacing w:after="0" w:line="209" w:lineRule="exact"/>
        <w:rPr>
          <w:rFonts w:ascii="Arial" w:cs="Arial" w:eastAsia="Arial" w:hAnsi="Arial"/>
          <w:sz w:val="20"/>
          <w:szCs w:val="20"/>
          <w:color w:val="auto"/>
        </w:rPr>
      </w:pPr>
    </w:p>
    <w:p>
      <w:pPr>
        <w:jc w:val="both"/>
        <w:ind w:left="40" w:firstLine="644"/>
        <w:spacing w:after="0" w:line="214" w:lineRule="auto"/>
        <w:tabs>
          <w:tab w:leader="none" w:pos="1217" w:val="left"/>
        </w:tabs>
        <w:numPr>
          <w:ilvl w:val="1"/>
          <w:numId w:val="49"/>
        </w:numPr>
        <w:rPr>
          <w:rFonts w:ascii="Arial" w:cs="Arial" w:eastAsia="Arial" w:hAnsi="Arial"/>
          <w:sz w:val="20"/>
          <w:szCs w:val="20"/>
          <w:color w:val="auto"/>
        </w:rPr>
      </w:pPr>
      <w:r>
        <w:rPr>
          <w:rFonts w:ascii="Arial" w:cs="Arial" w:eastAsia="Arial" w:hAnsi="Arial"/>
          <w:sz w:val="20"/>
          <w:szCs w:val="20"/>
          <w:u w:val="single" w:color="auto"/>
          <w:color w:val="auto"/>
        </w:rPr>
        <w:t>Registration Statement</w:t>
      </w:r>
      <w:r>
        <w:rPr>
          <w:rFonts w:ascii="Arial" w:cs="Arial" w:eastAsia="Arial" w:hAnsi="Arial"/>
          <w:sz w:val="20"/>
          <w:szCs w:val="20"/>
          <w:color w:val="auto"/>
        </w:rPr>
        <w:t>. The Participant acknowledges and agrees that the Company has filed a Registration Statement on Form S-8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under the Securities Act of 1933, as amended (the “</w:t>
      </w:r>
      <w:r>
        <w:rPr>
          <w:rFonts w:ascii="Arial" w:cs="Arial" w:eastAsia="Arial" w:hAnsi="Arial"/>
          <w:sz w:val="20"/>
          <w:szCs w:val="20"/>
          <w:b w:val="1"/>
          <w:bCs w:val="1"/>
          <w:i w:val="1"/>
          <w:iCs w:val="1"/>
          <w:color w:val="auto"/>
        </w:rPr>
        <w:t>1933 Act</w:t>
      </w:r>
      <w:r>
        <w:rPr>
          <w:rFonts w:ascii="Arial" w:cs="Arial" w:eastAsia="Arial" w:hAnsi="Arial"/>
          <w:sz w:val="20"/>
          <w:szCs w:val="20"/>
          <w:color w:val="auto"/>
        </w:rPr>
        <w:t>”), to register the Shares under the 1933 Act. The Participant acknowledges receipt of the Prospectus prepared by the Company in connection with the Registration Statement. Prior to conversion of the PRSUs into Shares, the Participant shall execute and deliver to the Company such representations in writing as may be requested by the Company in order for it to comply with the applicable requirements of federal and state securities law.</w:t>
      </w:r>
    </w:p>
    <w:p>
      <w:pPr>
        <w:spacing w:after="0" w:line="214" w:lineRule="exact"/>
        <w:rPr>
          <w:rFonts w:ascii="Arial" w:cs="Arial" w:eastAsia="Arial" w:hAnsi="Arial"/>
          <w:sz w:val="20"/>
          <w:szCs w:val="20"/>
          <w:color w:val="auto"/>
        </w:rPr>
      </w:pPr>
    </w:p>
    <w:p>
      <w:pPr>
        <w:ind w:left="960" w:hanging="277"/>
        <w:spacing w:after="0"/>
        <w:tabs>
          <w:tab w:leader="none" w:pos="960" w:val="left"/>
        </w:tabs>
        <w:numPr>
          <w:ilvl w:val="1"/>
          <w:numId w:val="49"/>
        </w:numPr>
        <w:rPr>
          <w:rFonts w:ascii="Arial" w:cs="Arial" w:eastAsia="Arial" w:hAnsi="Arial"/>
          <w:sz w:val="20"/>
          <w:szCs w:val="20"/>
          <w:color w:val="auto"/>
        </w:rPr>
      </w:pPr>
      <w:r>
        <w:rPr>
          <w:rFonts w:ascii="Arial" w:cs="Arial" w:eastAsia="Arial" w:hAnsi="Arial"/>
          <w:sz w:val="20"/>
          <w:szCs w:val="20"/>
          <w:u w:val="single" w:color="auto"/>
          <w:color w:val="auto"/>
        </w:rPr>
        <w:t>Taxes; Potential Forfeiture</w:t>
      </w:r>
      <w:r>
        <w:rPr>
          <w:rFonts w:ascii="Arial" w:cs="Arial" w:eastAsia="Arial" w:hAnsi="Arial"/>
          <w:sz w:val="20"/>
          <w:szCs w:val="20"/>
          <w:color w:val="auto"/>
        </w:rPr>
        <w:t>.</w:t>
      </w:r>
    </w:p>
    <w:p>
      <w:pPr>
        <w:spacing w:after="0" w:line="310" w:lineRule="exact"/>
        <w:rPr>
          <w:rFonts w:ascii="Arial" w:cs="Arial" w:eastAsia="Arial" w:hAnsi="Arial"/>
          <w:sz w:val="20"/>
          <w:szCs w:val="20"/>
          <w:color w:val="auto"/>
        </w:rPr>
      </w:pPr>
    </w:p>
    <w:p>
      <w:pPr>
        <w:jc w:val="both"/>
        <w:ind w:left="40" w:firstLine="1292"/>
        <w:spacing w:after="0" w:line="212" w:lineRule="auto"/>
        <w:tabs>
          <w:tab w:leader="none" w:pos="1875" w:val="left"/>
        </w:tabs>
        <w:numPr>
          <w:ilvl w:val="2"/>
          <w:numId w:val="49"/>
        </w:numPr>
        <w:rPr>
          <w:rFonts w:ascii="Arial" w:cs="Arial" w:eastAsia="Arial" w:hAnsi="Arial"/>
          <w:sz w:val="20"/>
          <w:szCs w:val="20"/>
          <w:color w:val="auto"/>
        </w:rPr>
      </w:pPr>
      <w:r>
        <w:rPr>
          <w:rFonts w:ascii="Arial" w:cs="Arial" w:eastAsia="Arial" w:hAnsi="Arial"/>
          <w:sz w:val="20"/>
          <w:szCs w:val="20"/>
          <w:u w:val="single" w:color="auto"/>
          <w:color w:val="auto"/>
        </w:rPr>
        <w:t>Payment of Taxes</w:t>
      </w:r>
      <w:r>
        <w:rPr>
          <w:rFonts w:ascii="Arial" w:cs="Arial" w:eastAsia="Arial" w:hAnsi="Arial"/>
          <w:sz w:val="20"/>
          <w:szCs w:val="20"/>
          <w:color w:val="auto"/>
        </w:rPr>
        <w:t>. On or prior to the date on which any Shares corresponding to any vested PRSUs (or, if applicable, consideration corresponding to Acquirer RSUs) are delivered or the Participant’s vested Cash Account is paid, the Participant shall remit to the Company an amount sufficient to satisfy any applicable federal, state, local and foreign withholding or other taxes. No certificate for any Shares corresponding to any PRSUs (or, if applicable, consideration corresponding to Acquirer RSUs) that have vested, uncertificated shares or any cash attributable to the Participant’s Cash Account, shall be delivered or paid to the Participant until the foregoing obligation has been satisfied.</w:t>
      </w:r>
    </w:p>
    <w:p>
      <w:pPr>
        <w:spacing w:after="0" w:line="212" w:lineRule="exact"/>
        <w:rPr>
          <w:rFonts w:ascii="Arial" w:cs="Arial" w:eastAsia="Arial" w:hAnsi="Arial"/>
          <w:sz w:val="20"/>
          <w:szCs w:val="20"/>
          <w:color w:val="auto"/>
        </w:rPr>
      </w:pPr>
    </w:p>
    <w:p>
      <w:pPr>
        <w:jc w:val="both"/>
        <w:ind w:left="40" w:firstLine="1292"/>
        <w:spacing w:after="0" w:line="206" w:lineRule="auto"/>
        <w:tabs>
          <w:tab w:leader="none" w:pos="1875" w:val="left"/>
        </w:tabs>
        <w:numPr>
          <w:ilvl w:val="2"/>
          <w:numId w:val="49"/>
        </w:numPr>
        <w:rPr>
          <w:rFonts w:ascii="Arial" w:cs="Arial" w:eastAsia="Arial" w:hAnsi="Arial"/>
          <w:sz w:val="20"/>
          <w:szCs w:val="20"/>
          <w:color w:val="auto"/>
        </w:rPr>
      </w:pPr>
      <w:r>
        <w:rPr>
          <w:rFonts w:ascii="Arial" w:cs="Arial" w:eastAsia="Arial" w:hAnsi="Arial"/>
          <w:sz w:val="20"/>
          <w:szCs w:val="20"/>
          <w:u w:val="single" w:color="auto"/>
          <w:color w:val="auto"/>
        </w:rPr>
        <w:t>Alternative Payment Methods and Company Rights</w:t>
      </w:r>
      <w:r>
        <w:rPr>
          <w:rFonts w:ascii="Arial" w:cs="Arial" w:eastAsia="Arial" w:hAnsi="Arial"/>
          <w:sz w:val="20"/>
          <w:szCs w:val="20"/>
          <w:color w:val="auto"/>
        </w:rPr>
        <w:t xml:space="preserve">. The Company or Participant may, at its, his or her option, permit the Participant to satisfy his or her obligations under this Section 9, by tendering to the Company a portion of the Shares (or, if applicable, consideration corresponding to Acquirer RSUs) that otherwise would be delivered to the Participant pursuant to the PRSU (or, if applicable, Acquirer RSUs) ;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the Participant elects to satisfy his or her obligations by surrendering a portion of such Shares, such election shall be binding on the Company. In the event that the Participant fails to satisfy his or her obligations under this Section 9,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w:t>
      </w:r>
    </w:p>
    <w:p>
      <w:pPr>
        <w:spacing w:after="0" w:line="5" w:lineRule="exact"/>
        <w:rPr>
          <w:rFonts w:ascii="Arial" w:cs="Arial" w:eastAsia="Arial" w:hAnsi="Arial"/>
          <w:sz w:val="20"/>
          <w:szCs w:val="20"/>
          <w:color w:val="auto"/>
        </w:rPr>
      </w:pPr>
    </w:p>
    <w:p>
      <w:pPr>
        <w:jc w:val="both"/>
        <w:ind w:left="40" w:hanging="4"/>
        <w:spacing w:after="0" w:line="215" w:lineRule="auto"/>
        <w:tabs>
          <w:tab w:leader="none" w:pos="579" w:val="left"/>
        </w:tabs>
        <w:numPr>
          <w:ilvl w:val="0"/>
          <w:numId w:val="50"/>
        </w:numPr>
        <w:rPr>
          <w:rFonts w:ascii="Arial" w:cs="Arial" w:eastAsia="Arial" w:hAnsi="Arial"/>
          <w:sz w:val="20"/>
          <w:szCs w:val="20"/>
          <w:color w:val="auto"/>
        </w:rPr>
      </w:pPr>
      <w:r>
        <w:rPr>
          <w:rFonts w:ascii="Arial" w:cs="Arial" w:eastAsia="Arial" w:hAnsi="Arial"/>
          <w:sz w:val="20"/>
          <w:szCs w:val="20"/>
          <w:color w:val="auto"/>
        </w:rPr>
        <w:t>selling all or a portion of the Shares underlying the PRSUs (or, if applicable, consideration underlying Acquirer RSUs) in the open market or (3) withholding and canceling all or a portion of the Shares corresponding to the vested PRSUs (or, if applicable, consideration corresponding to Acquirer RSUs). Any acquisition of Shares corresponding to PRSUs (or, if applicable, consideration corresponding to Acquirer RSUs) by the Company as contemplated hereby is expressly approved by the Committee as part of the approval of this Agreement.</w:t>
      </w:r>
    </w:p>
    <w:p>
      <w:pPr>
        <w:spacing w:after="0" w:line="211" w:lineRule="exact"/>
        <w:rPr>
          <w:rFonts w:ascii="Arial" w:cs="Arial" w:eastAsia="Arial" w:hAnsi="Arial"/>
          <w:sz w:val="20"/>
          <w:szCs w:val="20"/>
          <w:color w:val="auto"/>
        </w:rPr>
      </w:pPr>
    </w:p>
    <w:p>
      <w:pPr>
        <w:jc w:val="both"/>
        <w:ind w:left="40" w:firstLine="1292"/>
        <w:spacing w:after="0" w:line="216" w:lineRule="auto"/>
        <w:tabs>
          <w:tab w:leader="none" w:pos="1864" w:val="left"/>
        </w:tabs>
        <w:numPr>
          <w:ilvl w:val="2"/>
          <w:numId w:val="50"/>
        </w:numPr>
        <w:rPr>
          <w:rFonts w:ascii="Arial" w:cs="Arial" w:eastAsia="Arial" w:hAnsi="Arial"/>
          <w:sz w:val="20"/>
          <w:szCs w:val="20"/>
          <w:color w:val="auto"/>
        </w:rPr>
      </w:pPr>
      <w:r>
        <w:rPr>
          <w:rFonts w:ascii="Arial" w:cs="Arial" w:eastAsia="Arial" w:hAnsi="Arial"/>
          <w:sz w:val="20"/>
          <w:szCs w:val="20"/>
          <w:u w:val="single" w:color="auto"/>
          <w:color w:val="auto"/>
        </w:rPr>
        <w:t>Forfeiture for Failure to Pay Taxes</w:t>
      </w:r>
      <w:r>
        <w:rPr>
          <w:rFonts w:ascii="Arial" w:cs="Arial" w:eastAsia="Arial" w:hAnsi="Arial"/>
          <w:sz w:val="20"/>
          <w:szCs w:val="20"/>
          <w:color w:val="auto"/>
        </w:rPr>
        <w:t>. If and to the extent that (i) the Participant fails to satisfy his or her obligations under this Section 9 and (ii) the Company does not exercise its right to satisfy those obligations under Section 9(b) hereof with respect to any PRSUs (or, if applicable, Acquirer RSUs) or any portion of the vested Cash Account within 30 days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400" w:top="1337" w:right="439" w:bottom="1440" w:gutter="0" w:footer="0" w:header="0"/>
        </w:sectPr>
      </w:pPr>
    </w:p>
    <w:bookmarkStart w:id="94" w:name="page95"/>
    <w:bookmarkEnd w:id="94"/>
    <w:p>
      <w:pPr>
        <w:ind w:left="40" w:right="20"/>
        <w:spacing w:after="0" w:line="204" w:lineRule="auto"/>
        <w:rPr>
          <w:sz w:val="20"/>
          <w:szCs w:val="20"/>
          <w:color w:val="auto"/>
        </w:rPr>
      </w:pPr>
      <w:r>
        <w:rPr>
          <w:rFonts w:ascii="Arial" w:cs="Arial" w:eastAsia="Arial" w:hAnsi="Arial"/>
          <w:sz w:val="20"/>
          <w:szCs w:val="20"/>
          <w:color w:val="auto"/>
        </w:rPr>
        <w:t>date on which the Shares corresponding to the vested PRSUs (or, if applicable, consideration corresponding to Acquirer RSUs) or vested Cash Account otherwise would be delivered pursuant to Sections 5 and 6(b) hereof, as applicable, the</w:t>
      </w:r>
    </w:p>
    <w:p>
      <w:pPr>
        <w:spacing w:after="0" w:line="1" w:lineRule="exact"/>
        <w:rPr>
          <w:sz w:val="20"/>
          <w:szCs w:val="20"/>
          <w:color w:val="auto"/>
        </w:rPr>
      </w:pPr>
    </w:p>
    <w:p>
      <w:pPr>
        <w:ind w:left="40" w:right="20"/>
        <w:spacing w:after="0" w:line="229" w:lineRule="auto"/>
        <w:rPr>
          <w:sz w:val="20"/>
          <w:szCs w:val="20"/>
          <w:color w:val="auto"/>
        </w:rPr>
      </w:pPr>
      <w:r>
        <w:rPr>
          <w:rFonts w:ascii="Arial" w:cs="Arial" w:eastAsia="Arial" w:hAnsi="Arial"/>
          <w:sz w:val="20"/>
          <w:szCs w:val="20"/>
          <w:color w:val="auto"/>
        </w:rPr>
        <w:t>Participant shall immediately forfeit any rights with respect to the portion of the PRSUs (or, if applicable, Acquirer RSUs) or vested Cash Account to which such failure relates.</w:t>
      </w:r>
    </w:p>
    <w:p>
      <w:pPr>
        <w:spacing w:after="0" w:line="209" w:lineRule="exact"/>
        <w:rPr>
          <w:sz w:val="20"/>
          <w:szCs w:val="20"/>
          <w:color w:val="auto"/>
        </w:rPr>
      </w:pPr>
    </w:p>
    <w:p>
      <w:pPr>
        <w:jc w:val="both"/>
        <w:ind w:left="40" w:firstLine="644"/>
        <w:spacing w:after="0" w:line="210" w:lineRule="auto"/>
        <w:tabs>
          <w:tab w:leader="none" w:pos="1219"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Stock Retention Policy</w:t>
      </w:r>
      <w:r>
        <w:rPr>
          <w:rFonts w:ascii="Arial" w:cs="Arial" w:eastAsia="Arial" w:hAnsi="Arial"/>
          <w:sz w:val="20"/>
          <w:szCs w:val="20"/>
          <w:color w:val="auto"/>
        </w:rPr>
        <w:t>. The Participant understands that the Committee has adopted a policy that requires the Participant to retain ownership of one-half (50%) of the Shares underlying the PRSUs acquired by the Participant hereunder (net of the number of Shares that the Company determines to withhold or that the Participant is permitted to tender, in each case, pursuant to Section 9 hereof to satisfy applicable tax withholding requirements), for a period of three (3) years after vesting of such PRSUs (or until the Participant’s employment with, and services for, the Company and its Subsidiaries terminates, if earlier). The Participant agrees to comply with such policy and any modifications thereof that may be adopted by the Committee from time to time. Notwithstanding the foregoing, such policy shall not apply following a Change of Control to any Shares acquired by the Participant hereunder.</w:t>
      </w:r>
    </w:p>
    <w:p>
      <w:pPr>
        <w:spacing w:after="0" w:line="226" w:lineRule="exact"/>
        <w:rPr>
          <w:rFonts w:ascii="Arial" w:cs="Arial" w:eastAsia="Arial" w:hAnsi="Arial"/>
          <w:sz w:val="20"/>
          <w:szCs w:val="20"/>
          <w:color w:val="auto"/>
        </w:rPr>
      </w:pPr>
    </w:p>
    <w:p>
      <w:pPr>
        <w:jc w:val="both"/>
        <w:ind w:left="40" w:firstLine="644"/>
        <w:spacing w:after="0" w:line="216" w:lineRule="auto"/>
        <w:tabs>
          <w:tab w:leader="none" w:pos="1219"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Stock Ownership Policy</w:t>
      </w:r>
      <w:r>
        <w:rPr>
          <w:rFonts w:ascii="Arial" w:cs="Arial" w:eastAsia="Arial" w:hAnsi="Arial"/>
          <w:sz w:val="20"/>
          <w:szCs w:val="20"/>
          <w:color w:val="auto"/>
        </w:rPr>
        <w:t>. The Participant understands that the Committee has adopted a policy that requires the Participant to own a multiple of the Participant’s base salary, determined by leadership level, in Shares. The Participant agrees to comply with such policy and any modifications thereof that may be adopted by the Committee from time to time. Notwithstanding the foregoing, such policy shall not apply following a Change of Control.</w:t>
      </w:r>
    </w:p>
    <w:p>
      <w:pPr>
        <w:spacing w:after="0" w:line="211" w:lineRule="exact"/>
        <w:rPr>
          <w:rFonts w:ascii="Arial" w:cs="Arial" w:eastAsia="Arial" w:hAnsi="Arial"/>
          <w:sz w:val="20"/>
          <w:szCs w:val="20"/>
          <w:color w:val="auto"/>
        </w:rPr>
      </w:pPr>
    </w:p>
    <w:p>
      <w:pPr>
        <w:jc w:val="both"/>
        <w:ind w:left="40" w:firstLine="644"/>
        <w:spacing w:after="0" w:line="212" w:lineRule="auto"/>
        <w:tabs>
          <w:tab w:leader="none" w:pos="1219"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No Effect on Employment</w:t>
      </w:r>
      <w:r>
        <w:rPr>
          <w:rFonts w:ascii="Arial" w:cs="Arial" w:eastAsia="Arial" w:hAnsi="Arial"/>
          <w:sz w:val="20"/>
          <w:szCs w:val="20"/>
          <w:color w:val="auto"/>
        </w:rPr>
        <w:t>. Except as otherwise provided in the Participant’s Employment Arrangement, the Participant’s employment with the Company and any Subsidiary is on an at-will basis only. Accordingly, subject to the terms of such Employment Arrangement,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211" w:lineRule="exact"/>
        <w:rPr>
          <w:rFonts w:ascii="Arial" w:cs="Arial" w:eastAsia="Arial" w:hAnsi="Arial"/>
          <w:sz w:val="20"/>
          <w:szCs w:val="20"/>
          <w:color w:val="auto"/>
        </w:rPr>
      </w:pPr>
    </w:p>
    <w:p>
      <w:pPr>
        <w:jc w:val="both"/>
        <w:ind w:left="40" w:firstLine="644"/>
        <w:spacing w:after="0" w:line="223" w:lineRule="auto"/>
        <w:tabs>
          <w:tab w:leader="none" w:pos="1219"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Other Benefits</w:t>
      </w:r>
      <w:r>
        <w:rPr>
          <w:rFonts w:ascii="Arial" w:cs="Arial" w:eastAsia="Arial" w:hAnsi="Arial"/>
          <w:sz w:val="20"/>
          <w:szCs w:val="20"/>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209" w:lineRule="exact"/>
        <w:rPr>
          <w:rFonts w:ascii="Arial" w:cs="Arial" w:eastAsia="Arial" w:hAnsi="Arial"/>
          <w:sz w:val="20"/>
          <w:szCs w:val="20"/>
          <w:color w:val="auto"/>
        </w:rPr>
      </w:pPr>
    </w:p>
    <w:p>
      <w:pPr>
        <w:ind w:left="40" w:right="20" w:firstLine="644"/>
        <w:spacing w:after="0" w:line="229" w:lineRule="auto"/>
        <w:tabs>
          <w:tab w:leader="none" w:pos="1219"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This Agreement shall be binding upon and inure to the benefit of the heirs, legatees, legal representatives, successors and assigns of the parties hereto.</w:t>
      </w:r>
    </w:p>
    <w:p>
      <w:pPr>
        <w:spacing w:after="0" w:line="209" w:lineRule="exact"/>
        <w:rPr>
          <w:rFonts w:ascii="Arial" w:cs="Arial" w:eastAsia="Arial" w:hAnsi="Arial"/>
          <w:sz w:val="20"/>
          <w:szCs w:val="20"/>
          <w:color w:val="auto"/>
        </w:rPr>
      </w:pPr>
    </w:p>
    <w:p>
      <w:pPr>
        <w:jc w:val="both"/>
        <w:ind w:left="40" w:firstLine="644"/>
        <w:spacing w:after="0" w:line="218" w:lineRule="auto"/>
        <w:tabs>
          <w:tab w:leader="none" w:pos="1219"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Plan Governs</w:t>
      </w:r>
      <w:r>
        <w:rPr>
          <w:rFonts w:ascii="Arial" w:cs="Arial" w:eastAsia="Arial" w:hAnsi="Arial"/>
          <w:sz w:val="20"/>
          <w:szCs w:val="20"/>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223" w:lineRule="exact"/>
        <w:rPr>
          <w:rFonts w:ascii="Arial" w:cs="Arial" w:eastAsia="Arial" w:hAnsi="Arial"/>
          <w:sz w:val="20"/>
          <w:szCs w:val="20"/>
          <w:color w:val="auto"/>
        </w:rPr>
      </w:pPr>
    </w:p>
    <w:p>
      <w:pPr>
        <w:jc w:val="both"/>
        <w:ind w:left="40" w:firstLine="643"/>
        <w:spacing w:after="0" w:line="210" w:lineRule="auto"/>
        <w:tabs>
          <w:tab w:leader="none" w:pos="1219"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Governing Law/Jurisdiction</w:t>
      </w:r>
      <w:r>
        <w:rPr>
          <w:rFonts w:ascii="Arial" w:cs="Arial" w:eastAsia="Arial" w:hAnsi="Arial"/>
          <w:sz w:val="20"/>
          <w:szCs w:val="20"/>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400" w:top="1337" w:right="439" w:bottom="1440" w:gutter="0" w:footer="0" w:header="0"/>
        </w:sectPr>
      </w:pPr>
    </w:p>
    <w:bookmarkStart w:id="95" w:name="page96"/>
    <w:bookmarkEnd w:id="95"/>
    <w:p>
      <w:pPr>
        <w:ind w:left="40"/>
        <w:spacing w:after="0" w:line="222" w:lineRule="auto"/>
        <w:rPr>
          <w:sz w:val="20"/>
          <w:szCs w:val="20"/>
          <w:color w:val="auto"/>
        </w:rPr>
      </w:pPr>
      <w:r>
        <w:rPr>
          <w:rFonts w:ascii="Arial" w:cs="Arial" w:eastAsia="Arial" w:hAnsi="Arial"/>
          <w:sz w:val="20"/>
          <w:szCs w:val="20"/>
          <w:color w:val="auto"/>
        </w:rPr>
        <w:t>Each party hereby irrevocably waives, to the fullest extent it may effectively do so, the defense of an inconvenient forum to the maintenance of any litigation in Miami-Dade County, Florida.</w:t>
      </w:r>
    </w:p>
    <w:p>
      <w:pPr>
        <w:spacing w:after="0" w:line="209" w:lineRule="exact"/>
        <w:rPr>
          <w:sz w:val="20"/>
          <w:szCs w:val="20"/>
          <w:color w:val="auto"/>
        </w:rPr>
      </w:pPr>
    </w:p>
    <w:p>
      <w:pPr>
        <w:jc w:val="both"/>
        <w:ind w:left="40" w:firstLine="644"/>
        <w:spacing w:after="0" w:line="214" w:lineRule="auto"/>
        <w:tabs>
          <w:tab w:leader="none" w:pos="1219"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The Committee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214" w:lineRule="exact"/>
        <w:rPr>
          <w:rFonts w:ascii="Arial" w:cs="Arial" w:eastAsia="Arial" w:hAnsi="Arial"/>
          <w:sz w:val="20"/>
          <w:szCs w:val="20"/>
          <w:color w:val="auto"/>
        </w:rPr>
      </w:pPr>
    </w:p>
    <w:p>
      <w:pPr>
        <w:ind w:left="40" w:right="20" w:firstLine="644"/>
        <w:spacing w:after="0" w:line="229" w:lineRule="auto"/>
        <w:tabs>
          <w:tab w:leader="none" w:pos="1219"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provided herein are for convenience only and are not to serve as a basis for the interpretation or construction of this Agreement.</w:t>
      </w:r>
    </w:p>
    <w:p>
      <w:pPr>
        <w:spacing w:after="0" w:line="209" w:lineRule="exact"/>
        <w:rPr>
          <w:rFonts w:ascii="Arial" w:cs="Arial" w:eastAsia="Arial" w:hAnsi="Arial"/>
          <w:sz w:val="20"/>
          <w:szCs w:val="20"/>
          <w:color w:val="auto"/>
        </w:rPr>
      </w:pPr>
    </w:p>
    <w:p>
      <w:pPr>
        <w:jc w:val="both"/>
        <w:ind w:left="40" w:firstLine="644"/>
        <w:spacing w:after="0" w:line="218" w:lineRule="auto"/>
        <w:tabs>
          <w:tab w:leader="none" w:pos="1219"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23" w:lineRule="exact"/>
        <w:rPr>
          <w:rFonts w:ascii="Arial" w:cs="Arial" w:eastAsia="Arial" w:hAnsi="Arial"/>
          <w:sz w:val="20"/>
          <w:szCs w:val="20"/>
          <w:color w:val="auto"/>
        </w:rPr>
      </w:pPr>
    </w:p>
    <w:p>
      <w:pPr>
        <w:jc w:val="both"/>
        <w:ind w:left="40" w:firstLine="644"/>
        <w:spacing w:after="0" w:line="210" w:lineRule="auto"/>
        <w:tabs>
          <w:tab w:leader="none" w:pos="1219"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 This Agreement may be executed and delivered by facsimile or other electronic signature and in two or more counterparts, each of which shall be deemed an original, but all of which together shall constitute one and the same instrument.</w:t>
      </w:r>
    </w:p>
    <w:p>
      <w:pPr>
        <w:spacing w:after="0" w:line="215" w:lineRule="exact"/>
        <w:rPr>
          <w:rFonts w:ascii="Arial" w:cs="Arial" w:eastAsia="Arial" w:hAnsi="Arial"/>
          <w:sz w:val="20"/>
          <w:szCs w:val="20"/>
          <w:color w:val="auto"/>
        </w:rPr>
      </w:pPr>
    </w:p>
    <w:p>
      <w:pPr>
        <w:ind w:left="1060" w:hanging="377"/>
        <w:spacing w:after="0"/>
        <w:tabs>
          <w:tab w:leader="none" w:pos="106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w:t>
      </w:r>
    </w:p>
    <w:p>
      <w:pPr>
        <w:spacing w:after="0" w:line="296" w:lineRule="exact"/>
        <w:rPr>
          <w:rFonts w:ascii="Arial" w:cs="Arial" w:eastAsia="Arial" w:hAnsi="Arial"/>
          <w:sz w:val="20"/>
          <w:szCs w:val="20"/>
          <w:color w:val="auto"/>
        </w:rPr>
      </w:pPr>
    </w:p>
    <w:p>
      <w:pPr>
        <w:jc w:val="both"/>
        <w:ind w:left="40" w:firstLine="1291"/>
        <w:spacing w:after="0" w:line="212" w:lineRule="auto"/>
        <w:tabs>
          <w:tab w:leader="none" w:pos="1875" w:val="left"/>
        </w:tabs>
        <w:numPr>
          <w:ilvl w:val="1"/>
          <w:numId w:val="52"/>
        </w:numPr>
        <w:rPr>
          <w:rFonts w:ascii="Arial" w:cs="Arial" w:eastAsia="Arial" w:hAnsi="Arial"/>
          <w:sz w:val="20"/>
          <w:szCs w:val="20"/>
          <w:color w:val="auto"/>
        </w:rPr>
      </w:pPr>
      <w:r>
        <w:rPr>
          <w:rFonts w:ascii="Arial" w:cs="Arial" w:eastAsia="Arial" w:hAnsi="Arial"/>
          <w:sz w:val="20"/>
          <w:szCs w:val="20"/>
          <w:color w:val="auto"/>
        </w:rPr>
        <w:t>It is intended that the PRSUs awarded pursuant to this Agreement and the Cash Account be exempt from Section 409A, because it is believed that the Agreement does not provide for a deferral of compensation and accordingly that the Agreement does not constitute a nonqualified deferred compensation plan within the meaning of Section 409A. If and to the extent that the Company believes that the PRSUs (including, if applicable, the Acquirer RSUs) or rights to the Cash Account may constitute a “nonqualified deferred compensation plan” under Section 409A, the terms and conditions set forth in this Agreement (and/or the provisions of the Plan applicable thereto) shall be interpreted in a manner consistent with the applicable requirements of Section 409A, and the Company, in its sole discretion and without the consent of the Participant, may amend this Agreement (and the provisions of the Plan applicable thereto) if and to the extent that the Company determines necessary or appropriate to comply with applicable requirements of Section 409A.</w:t>
      </w:r>
    </w:p>
    <w:p>
      <w:pPr>
        <w:spacing w:after="0" w:line="210" w:lineRule="exact"/>
        <w:rPr>
          <w:rFonts w:ascii="Arial" w:cs="Arial" w:eastAsia="Arial" w:hAnsi="Arial"/>
          <w:sz w:val="20"/>
          <w:szCs w:val="20"/>
          <w:color w:val="auto"/>
        </w:rPr>
      </w:pPr>
    </w:p>
    <w:p>
      <w:pPr>
        <w:ind w:left="1680" w:hanging="349"/>
        <w:spacing w:after="0"/>
        <w:tabs>
          <w:tab w:leader="none" w:pos="1680" w:val="left"/>
        </w:tabs>
        <w:numPr>
          <w:ilvl w:val="1"/>
          <w:numId w:val="52"/>
        </w:numPr>
        <w:rPr>
          <w:rFonts w:ascii="Arial" w:cs="Arial" w:eastAsia="Arial" w:hAnsi="Arial"/>
          <w:sz w:val="20"/>
          <w:szCs w:val="20"/>
          <w:color w:val="auto"/>
        </w:rPr>
      </w:pPr>
      <w:r>
        <w:rPr>
          <w:rFonts w:ascii="Arial" w:cs="Arial" w:eastAsia="Arial" w:hAnsi="Arial"/>
          <w:sz w:val="20"/>
          <w:szCs w:val="20"/>
          <w:color w:val="auto"/>
        </w:rPr>
        <w:t>If and to the extent required to comply with Section 409A:</w:t>
      </w:r>
    </w:p>
    <w:p>
      <w:pPr>
        <w:spacing w:after="0" w:line="216" w:lineRule="exact"/>
        <w:rPr>
          <w:sz w:val="20"/>
          <w:szCs w:val="20"/>
          <w:color w:val="auto"/>
        </w:rPr>
      </w:pPr>
    </w:p>
    <w:p>
      <w:pPr>
        <w:ind w:left="680" w:right="240" w:firstLine="1010"/>
        <w:spacing w:after="0" w:line="229" w:lineRule="auto"/>
        <w:rPr>
          <w:sz w:val="20"/>
          <w:szCs w:val="20"/>
          <w:color w:val="auto"/>
        </w:rPr>
      </w:pPr>
      <w:r>
        <w:rPr>
          <w:rFonts w:ascii="Arial" w:cs="Arial" w:eastAsia="Arial" w:hAnsi="Arial"/>
          <w:sz w:val="20"/>
          <w:szCs w:val="20"/>
          <w:color w:val="auto"/>
        </w:rPr>
        <w:t>(i)Payments or delivery of Shares (or, if applicable, consideration in respect of Acquirer RSUs) or cash in respect of the Participant’s Cash Account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400" w:top="1337" w:right="439" w:bottom="1440" w:gutter="0" w:footer="0" w:header="0"/>
        </w:sectPr>
      </w:pPr>
    </w:p>
    <w:bookmarkStart w:id="96" w:name="page97"/>
    <w:bookmarkEnd w:id="96"/>
    <w:p>
      <w:pPr>
        <w:ind w:left="680"/>
        <w:spacing w:after="0"/>
        <w:rPr>
          <w:sz w:val="20"/>
          <w:szCs w:val="20"/>
          <w:color w:val="auto"/>
        </w:rPr>
      </w:pPr>
      <w:r>
        <w:rPr>
          <w:rFonts w:ascii="Arial" w:cs="Arial" w:eastAsia="Arial" w:hAnsi="Arial"/>
          <w:sz w:val="20"/>
          <w:szCs w:val="20"/>
          <w:color w:val="auto"/>
        </w:rPr>
        <w:t>Agreement may not be made earlier than (u) the Participant’s “separation from service”,</w:t>
      </w:r>
    </w:p>
    <w:p>
      <w:pPr>
        <w:jc w:val="both"/>
        <w:ind w:left="680" w:right="20" w:firstLine="4"/>
        <w:spacing w:after="0" w:line="216" w:lineRule="auto"/>
        <w:tabs>
          <w:tab w:leader="none" w:pos="1208"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date the Participant becomes “disabled”, (w) the Participant’s death, (x) a “specified time (or pursuant to a fixed schedule)” specified in this Agreement at the date of the deferral of such compensation or (y) a “change in the ownership or effective control” of the corporation, or in the “ownership of a substantial portion of the assets” of the corporation;</w:t>
      </w:r>
    </w:p>
    <w:p>
      <w:pPr>
        <w:spacing w:after="0" w:line="225" w:lineRule="exact"/>
        <w:rPr>
          <w:sz w:val="20"/>
          <w:szCs w:val="20"/>
          <w:color w:val="auto"/>
        </w:rPr>
      </w:pPr>
    </w:p>
    <w:p>
      <w:pPr>
        <w:ind w:left="680" w:right="20" w:firstLine="967"/>
        <w:spacing w:after="0" w:line="204" w:lineRule="auto"/>
        <w:rPr>
          <w:sz w:val="20"/>
          <w:szCs w:val="20"/>
          <w:color w:val="auto"/>
        </w:rPr>
      </w:pPr>
      <w:r>
        <w:rPr>
          <w:rFonts w:ascii="Arial" w:cs="Arial" w:eastAsia="Arial" w:hAnsi="Arial"/>
          <w:sz w:val="20"/>
          <w:szCs w:val="20"/>
          <w:color w:val="auto"/>
        </w:rPr>
        <w:t>(ii)The time or schedule for any payment of the deferred compensation may not be accelerated, except to the extent provided in applicable Treasury Regulations or other applicable guidance issued by the Internal Revenue</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20"/>
          <w:szCs w:val="20"/>
          <w:color w:val="auto"/>
        </w:rPr>
        <w:t>Service; and</w:t>
      </w:r>
    </w:p>
    <w:p>
      <w:pPr>
        <w:spacing w:after="0" w:line="188"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(iii)If the Participant is a “specified employee”, a distribution on account of a “separation from service” may</w:t>
      </w:r>
    </w:p>
    <w:p>
      <w:pPr>
        <w:ind w:left="680"/>
        <w:spacing w:after="0" w:line="222" w:lineRule="auto"/>
        <w:rPr>
          <w:sz w:val="20"/>
          <w:szCs w:val="20"/>
          <w:color w:val="auto"/>
        </w:rPr>
      </w:pPr>
      <w:r>
        <w:rPr>
          <w:rFonts w:ascii="Arial" w:cs="Arial" w:eastAsia="Arial" w:hAnsi="Arial"/>
          <w:sz w:val="20"/>
          <w:szCs w:val="20"/>
          <w:color w:val="auto"/>
        </w:rPr>
        <w:t>not be made before the date which is six (6) months after the date of the Participant’s “separation from service” (or, if earlier, the date of the Participant’s death).</w:t>
      </w:r>
    </w:p>
    <w:p>
      <w:pPr>
        <w:spacing w:after="0" w:line="223" w:lineRule="exact"/>
        <w:rPr>
          <w:sz w:val="20"/>
          <w:szCs w:val="20"/>
          <w:color w:val="auto"/>
        </w:rPr>
      </w:pPr>
    </w:p>
    <w:p>
      <w:pPr>
        <w:ind w:left="40" w:right="20"/>
        <w:spacing w:after="0" w:line="204" w:lineRule="auto"/>
        <w:rPr>
          <w:sz w:val="20"/>
          <w:szCs w:val="20"/>
          <w:color w:val="auto"/>
        </w:rPr>
      </w:pPr>
      <w:r>
        <w:rPr>
          <w:rFonts w:ascii="Arial" w:cs="Arial" w:eastAsia="Arial" w:hAnsi="Arial"/>
          <w:sz w:val="20"/>
          <w:szCs w:val="20"/>
          <w:color w:val="auto"/>
        </w:rPr>
        <w:t>For purposes of the foregoing, the terms in quotations shall have the same meanings as those terms have for purposes of Section 409A, and the limitations set forth herein shall be applied in such manner (and only to the extent) as shall be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0"/>
          <w:szCs w:val="20"/>
          <w:color w:val="auto"/>
        </w:rPr>
        <w:t>necessary to comply with any requirements of Section 409A that are applicable to this Agreement.</w:t>
      </w:r>
    </w:p>
    <w:p>
      <w:pPr>
        <w:spacing w:after="0" w:line="216" w:lineRule="exact"/>
        <w:rPr>
          <w:sz w:val="20"/>
          <w:szCs w:val="20"/>
          <w:color w:val="auto"/>
        </w:rPr>
      </w:pPr>
    </w:p>
    <w:p>
      <w:pPr>
        <w:jc w:val="both"/>
        <w:ind w:left="40" w:firstLine="1291"/>
        <w:spacing w:after="0" w:line="212" w:lineRule="auto"/>
        <w:tabs>
          <w:tab w:leader="none" w:pos="1863" w:val="left"/>
        </w:tabs>
        <w:numPr>
          <w:ilvl w:val="1"/>
          <w:numId w:val="54"/>
        </w:numPr>
        <w:rPr>
          <w:rFonts w:ascii="Arial" w:cs="Arial" w:eastAsia="Arial" w:hAnsi="Arial"/>
          <w:sz w:val="20"/>
          <w:szCs w:val="20"/>
          <w:color w:val="auto"/>
        </w:rPr>
      </w:pPr>
      <w:r>
        <w:rPr>
          <w:rFonts w:ascii="Arial" w:cs="Arial" w:eastAsia="Arial" w:hAnsi="Arial"/>
          <w:sz w:val="20"/>
          <w:szCs w:val="20"/>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224" w:lineRule="exact"/>
        <w:rPr>
          <w:rFonts w:ascii="Arial" w:cs="Arial" w:eastAsia="Arial" w:hAnsi="Arial"/>
          <w:sz w:val="20"/>
          <w:szCs w:val="20"/>
          <w:color w:val="auto"/>
        </w:rPr>
      </w:pPr>
    </w:p>
    <w:p>
      <w:pPr>
        <w:jc w:val="both"/>
        <w:ind w:left="40" w:firstLine="644"/>
        <w:spacing w:after="0" w:line="216" w:lineRule="auto"/>
        <w:tabs>
          <w:tab w:leader="none" w:pos="1219"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Unfunded Agreement</w:t>
      </w:r>
      <w:r>
        <w:rPr>
          <w:rFonts w:ascii="Arial" w:cs="Arial" w:eastAsia="Arial" w:hAnsi="Arial"/>
          <w:sz w:val="20"/>
          <w:szCs w:val="20"/>
          <w:color w:val="auto"/>
        </w:rPr>
        <w:t>. The rights of the Participant under this Agreement with respect to the Company’s obligation to distribute Shares corresponding to vested PRSUs (or, if applicable, consideration corresponding to Acquirer RSUs) and the value of the Participant’s vested Cash Account, if any, shall be unfunded and shall not be greater than the rights of an unsecured general creditor of the Company.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400" w:top="1296" w:right="439" w:bottom="1440" w:gutter="0" w:footer="0" w:header="0"/>
        </w:sectPr>
      </w:pPr>
    </w:p>
    <w:bookmarkStart w:id="97" w:name="page98"/>
    <w:bookmarkEnd w:id="97"/>
    <w:p>
      <w:pPr>
        <w:spacing w:after="0" w:line="76"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as of the Grant Date.</w:t>
      </w:r>
    </w:p>
    <w:p>
      <w:pPr>
        <w:spacing w:after="0" w:line="227"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-22860</wp:posOffset>
            </wp:positionV>
            <wp:extent cx="139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263" w:lineRule="exact"/>
        <w:rPr>
          <w:sz w:val="20"/>
          <w:szCs w:val="20"/>
          <w:color w:val="auto"/>
        </w:rPr>
      </w:pPr>
    </w:p>
    <w:p>
      <w:pPr>
        <w:ind w:left="2560"/>
        <w:spacing w:after="0"/>
        <w:rPr>
          <w:sz w:val="20"/>
          <w:szCs w:val="20"/>
          <w:color w:val="auto"/>
        </w:rPr>
      </w:pPr>
      <w:r>
        <w:rPr>
          <w:rFonts w:ascii="Arial" w:cs="Arial" w:eastAsia="Arial" w:hAnsi="Arial"/>
          <w:sz w:val="20"/>
          <w:szCs w:val="20"/>
          <w:color w:val="auto"/>
        </w:rPr>
        <w:t>Name:</w:t>
      </w:r>
    </w:p>
    <w:p>
      <w:pPr>
        <w:spacing w:after="0" w:line="229" w:lineRule="exact"/>
        <w:rPr>
          <w:sz w:val="20"/>
          <w:szCs w:val="20"/>
          <w:color w:val="auto"/>
        </w:rPr>
      </w:pPr>
    </w:p>
    <w:p>
      <w:pPr>
        <w:ind w:left="25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97" w:lineRule="exact"/>
        <w:rPr>
          <w:sz w:val="20"/>
          <w:szCs w:val="20"/>
          <w:color w:val="auto"/>
        </w:rPr>
      </w:pPr>
    </w:p>
    <w:p>
      <w:pPr>
        <w:ind w:left="2560"/>
        <w:spacing w:after="0"/>
        <w:rPr>
          <w:sz w:val="20"/>
          <w:szCs w:val="20"/>
          <w:color w:val="auto"/>
        </w:rPr>
      </w:pPr>
      <w:r>
        <w:rPr>
          <w:rFonts w:ascii="Arial" w:cs="Arial" w:eastAsia="Arial" w:hAnsi="Arial"/>
          <w:sz w:val="20"/>
          <w:szCs w:val="20"/>
          <w:b w:val="1"/>
          <w:bCs w:val="1"/>
          <w:u w:val="single" w:color="auto"/>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560"/>
        <w:spacing w:after="0"/>
        <w:rPr>
          <w:sz w:val="20"/>
          <w:szCs w:val="20"/>
          <w:color w:val="auto"/>
        </w:rPr>
      </w:pPr>
      <w:r>
        <w:rPr>
          <w:rFonts w:ascii="Arial" w:cs="Arial" w:eastAsia="Arial" w:hAnsi="Arial"/>
          <w:sz w:val="20"/>
          <w:szCs w:val="20"/>
          <w:color w:val="auto"/>
        </w:rPr>
        <w:t xml:space="preserve">Signature: </w:t>
      </w:r>
      <w:r>
        <w:rPr>
          <w:rFonts w:ascii="Arial" w:cs="Arial" w:eastAsia="Arial" w:hAnsi="Arial"/>
          <w:sz w:val="21"/>
          <w:szCs w:val="21"/>
          <w:b w:val="1"/>
          <w:bCs w:val="1"/>
          <w:color w:val="auto"/>
        </w:rPr>
        <w:t>________________________</w:t>
      </w:r>
    </w:p>
    <w:p>
      <w:pPr>
        <w:spacing w:after="0" w:line="218" w:lineRule="exact"/>
        <w:rPr>
          <w:sz w:val="20"/>
          <w:szCs w:val="20"/>
          <w:color w:val="auto"/>
        </w:rPr>
      </w:pPr>
    </w:p>
    <w:p>
      <w:pPr>
        <w:ind w:left="25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1"/>
          <w:szCs w:val="21"/>
          <w:b w:val="1"/>
          <w:bCs w:val="1"/>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59"/>
          </w:cols>
          <w:pgMar w:left="400" w:top="1440" w:right="1440" w:bottom="1440" w:gutter="0" w:footer="0" w:header="0"/>
        </w:sectPr>
      </w:pPr>
    </w:p>
    <w:bookmarkStart w:id="98" w:name="page99"/>
    <w:bookmarkEnd w:id="98"/>
    <w:p>
      <w:pPr>
        <w:jc w:val="right"/>
        <w:ind w:right="3879"/>
        <w:spacing w:after="0"/>
        <w:rPr>
          <w:sz w:val="20"/>
          <w:szCs w:val="20"/>
          <w:color w:val="auto"/>
        </w:rPr>
      </w:pPr>
      <w:r>
        <w:rPr>
          <w:rFonts w:ascii="Arial" w:cs="Arial" w:eastAsia="Arial" w:hAnsi="Arial"/>
          <w:sz w:val="20"/>
          <w:szCs w:val="20"/>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59"/>
          </w:cols>
          <w:pgMar w:left="400" w:top="1094" w:right="1440" w:bottom="1440" w:gutter="0" w:footer="0" w:header="0"/>
        </w:sectPr>
      </w:pPr>
    </w:p>
    <w:bookmarkStart w:id="99" w:name="page100"/>
    <w:bookmarkEnd w:id="99"/>
    <w:p>
      <w:pPr>
        <w:ind w:left="9200"/>
        <w:spacing w:after="0"/>
        <w:rPr>
          <w:sz w:val="20"/>
          <w:szCs w:val="20"/>
          <w:color w:val="auto"/>
        </w:rPr>
      </w:pPr>
      <w:r>
        <w:rPr>
          <w:rFonts w:ascii="Arial" w:cs="Arial" w:eastAsia="Arial" w:hAnsi="Arial"/>
          <w:sz w:val="18"/>
          <w:szCs w:val="18"/>
          <w:b w:val="1"/>
          <w:bCs w:val="1"/>
          <w:color w:val="auto"/>
        </w:rPr>
        <w:t>Exhibit 10.8</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Form of Executive Officer Service-Based RSU Award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179" w:lineRule="exact"/>
        <w:rPr>
          <w:sz w:val="20"/>
          <w:szCs w:val="20"/>
          <w:color w:val="auto"/>
        </w:rPr>
      </w:pPr>
    </w:p>
    <w:p>
      <w:pPr>
        <w:ind w:left="1100" w:hanging="444"/>
        <w:spacing w:after="0"/>
        <w:tabs>
          <w:tab w:leader="none" w:pos="1100"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Grant of Award</w:t>
      </w:r>
      <w:r>
        <w:rPr>
          <w:rFonts w:ascii="Arial" w:cs="Arial" w:eastAsia="Arial" w:hAnsi="Arial"/>
          <w:sz w:val="21"/>
          <w:szCs w:val="21"/>
          <w:color w:val="auto"/>
        </w:rPr>
        <w:t>. World Fuel Services Corporation, a Florida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has awarded to</w:t>
      </w:r>
    </w:p>
    <w:p>
      <w:pPr>
        <w:spacing w:after="0" w:line="215" w:lineRule="auto"/>
        <w:tabs>
          <w:tab w:leader="none" w:pos="5900" w:val="left"/>
          <w:tab w:leader="none" w:pos="8800" w:val="left"/>
        </w:tabs>
        <w:rPr>
          <w:sz w:val="20"/>
          <w:szCs w:val="20"/>
          <w:color w:val="auto"/>
        </w:rPr>
      </w:pPr>
      <w:r>
        <w:rPr>
          <w:rFonts w:ascii="Arial" w:cs="Arial" w:eastAsia="Arial" w:hAnsi="Arial"/>
          <w:sz w:val="22"/>
          <w:szCs w:val="22"/>
          <w:color w:val="auto"/>
        </w:rPr>
        <w:t>_____________ (the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effective as of</w:t>
      </w:r>
      <w:r>
        <w:rPr>
          <w:sz w:val="20"/>
          <w:szCs w:val="20"/>
          <w:color w:val="auto"/>
        </w:rPr>
        <w:tab/>
      </w:r>
      <w:r>
        <w:rPr>
          <w:rFonts w:ascii="Arial" w:cs="Arial" w:eastAsia="Arial" w:hAnsi="Arial"/>
          <w:sz w:val="22"/>
          <w:szCs w:val="22"/>
          <w:color w:val="auto"/>
        </w:rPr>
        <w:t>(the “</w:t>
      </w:r>
      <w:r>
        <w:rPr>
          <w:rFonts w:ascii="Arial" w:cs="Arial" w:eastAsia="Arial" w:hAnsi="Arial"/>
          <w:sz w:val="22"/>
          <w:szCs w:val="22"/>
          <w:b w:val="1"/>
          <w:bCs w:val="1"/>
          <w:i w:val="1"/>
          <w:iCs w:val="1"/>
          <w:color w:val="auto"/>
        </w:rPr>
        <w:t>Grant Date</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restricted stock units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-3810</wp:posOffset>
            </wp:positionV>
            <wp:extent cx="6000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4948555</wp:posOffset>
            </wp:positionH>
            <wp:positionV relativeFrom="paragraph">
              <wp:posOffset>-3810</wp:posOffset>
            </wp:positionV>
            <wp:extent cx="6083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jc w:val="both"/>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RSUs</w:t>
      </w:r>
      <w:r>
        <w:rPr>
          <w:rFonts w:ascii="Arial" w:cs="Arial" w:eastAsia="Arial" w:hAnsi="Arial"/>
          <w:sz w:val="22"/>
          <w:szCs w:val="22"/>
          <w:color w:val="auto"/>
        </w:rPr>
        <w:t>”) corresponding to the same number of shares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of the Company’s common stock, par value US$0.01 per share (the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The RSUs have been granted under the Company’s 2021 Omnibus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which is incorporated herein for all purposes, and the grant of RSUs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w:t>
      </w:r>
    </w:p>
    <w:p>
      <w:pPr>
        <w:spacing w:after="0" w:line="178" w:lineRule="exact"/>
        <w:rPr>
          <w:sz w:val="20"/>
          <w:szCs w:val="20"/>
          <w:color w:val="auto"/>
        </w:rPr>
      </w:pPr>
    </w:p>
    <w:p>
      <w:pPr>
        <w:ind w:firstLine="656"/>
        <w:spacing w:after="0" w:line="236" w:lineRule="auto"/>
        <w:tabs>
          <w:tab w:leader="none" w:pos="1068"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Capitalized terms and phrases used in this Agreement shall have the meaning set forth below. Capitalized terms used herein and not defined in this Agreement, shall have the meaning set forth in the Plan.</w:t>
      </w:r>
    </w:p>
    <w:p>
      <w:pPr>
        <w:spacing w:after="0" w:line="147" w:lineRule="exact"/>
        <w:rPr>
          <w:sz w:val="20"/>
          <w:szCs w:val="20"/>
          <w:color w:val="auto"/>
        </w:rPr>
      </w:pPr>
    </w:p>
    <w:p>
      <w:pPr>
        <w:ind w:left="1160" w:hanging="504"/>
        <w:spacing w:after="0"/>
        <w:tabs>
          <w:tab w:leader="none" w:pos="11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means:</w:t>
      </w:r>
    </w:p>
    <w:p>
      <w:pPr>
        <w:spacing w:after="0" w:line="205" w:lineRule="exact"/>
        <w:rPr>
          <w:rFonts w:ascii="Arial" w:cs="Arial" w:eastAsia="Arial" w:hAnsi="Arial"/>
          <w:sz w:val="22"/>
          <w:szCs w:val="22"/>
          <w:color w:val="auto"/>
        </w:rPr>
      </w:pPr>
    </w:p>
    <w:p>
      <w:pPr>
        <w:ind w:left="820" w:firstLine="1213"/>
        <w:spacing w:after="0" w:line="225" w:lineRule="auto"/>
        <w:tabs>
          <w:tab w:leader="none" w:pos="2620" w:val="left"/>
        </w:tabs>
        <w:numPr>
          <w:ilvl w:val="1"/>
          <w:numId w:val="58"/>
        </w:numPr>
        <w:rPr>
          <w:rFonts w:ascii="Arial" w:cs="Arial" w:eastAsia="Arial" w:hAnsi="Arial"/>
          <w:sz w:val="22"/>
          <w:szCs w:val="22"/>
          <w:color w:val="auto"/>
        </w:rPr>
      </w:pPr>
      <w:r>
        <w:rPr>
          <w:rFonts w:ascii="Arial" w:cs="Arial" w:eastAsia="Arial" w:hAnsi="Arial"/>
          <w:sz w:val="22"/>
          <w:szCs w:val="22"/>
          <w:color w:val="auto"/>
        </w:rPr>
        <w:t>the failure by the Participant to perform, in a reasonable manner, his or her duties as assigned by the Company or any Subsidiary;</w:t>
      </w:r>
    </w:p>
    <w:p>
      <w:pPr>
        <w:spacing w:after="0" w:line="173" w:lineRule="exact"/>
        <w:rPr>
          <w:rFonts w:ascii="Arial" w:cs="Arial" w:eastAsia="Arial" w:hAnsi="Arial"/>
          <w:sz w:val="22"/>
          <w:szCs w:val="22"/>
          <w:color w:val="auto"/>
        </w:rPr>
      </w:pPr>
    </w:p>
    <w:p>
      <w:pPr>
        <w:ind w:left="740" w:firstLine="1293"/>
        <w:spacing w:after="0" w:line="225" w:lineRule="auto"/>
        <w:tabs>
          <w:tab w:leader="none" w:pos="2564" w:val="left"/>
        </w:tabs>
        <w:numPr>
          <w:ilvl w:val="1"/>
          <w:numId w:val="58"/>
        </w:numPr>
        <w:rPr>
          <w:rFonts w:ascii="Arial" w:cs="Arial" w:eastAsia="Arial" w:hAnsi="Arial"/>
          <w:sz w:val="22"/>
          <w:szCs w:val="22"/>
          <w:color w:val="auto"/>
        </w:rPr>
      </w:pPr>
      <w:r>
        <w:rPr>
          <w:rFonts w:ascii="Arial" w:cs="Arial" w:eastAsia="Arial" w:hAnsi="Arial"/>
          <w:sz w:val="22"/>
          <w:szCs w:val="22"/>
          <w:color w:val="auto"/>
        </w:rPr>
        <w:t>any violation or breach by the Participant of his or her employment agreement, consulting or other similar agreement with the Company or any Subsidiary (or successor company), if any;</w:t>
      </w:r>
    </w:p>
    <w:p>
      <w:pPr>
        <w:spacing w:after="0" w:line="173" w:lineRule="exact"/>
        <w:rPr>
          <w:rFonts w:ascii="Arial" w:cs="Arial" w:eastAsia="Arial" w:hAnsi="Arial"/>
          <w:sz w:val="22"/>
          <w:szCs w:val="22"/>
          <w:color w:val="auto"/>
        </w:rPr>
      </w:pPr>
    </w:p>
    <w:p>
      <w:pPr>
        <w:ind w:left="740" w:firstLine="1293"/>
        <w:spacing w:after="0" w:line="225" w:lineRule="auto"/>
        <w:tabs>
          <w:tab w:leader="none" w:pos="2685" w:val="left"/>
        </w:tabs>
        <w:numPr>
          <w:ilvl w:val="1"/>
          <w:numId w:val="58"/>
        </w:numPr>
        <w:rPr>
          <w:rFonts w:ascii="Arial" w:cs="Arial" w:eastAsia="Arial" w:hAnsi="Arial"/>
          <w:sz w:val="22"/>
          <w:szCs w:val="22"/>
          <w:color w:val="auto"/>
        </w:rPr>
      </w:pPr>
      <w:r>
        <w:rPr>
          <w:rFonts w:ascii="Arial" w:cs="Arial" w:eastAsia="Arial" w:hAnsi="Arial"/>
          <w:sz w:val="22"/>
          <w:szCs w:val="22"/>
          <w:color w:val="auto"/>
        </w:rPr>
        <w:t>any actual or threatened violation or breach by the Participant of any non-competition, non-solicitation, non-disclosure and/or other similar agreement with the Company or any Subsidiary;</w:t>
      </w:r>
    </w:p>
    <w:p>
      <w:pPr>
        <w:spacing w:after="0" w:line="148" w:lineRule="exact"/>
        <w:rPr>
          <w:rFonts w:ascii="Arial" w:cs="Arial" w:eastAsia="Arial" w:hAnsi="Arial"/>
          <w:sz w:val="22"/>
          <w:szCs w:val="22"/>
          <w:color w:val="auto"/>
        </w:rPr>
      </w:pPr>
    </w:p>
    <w:p>
      <w:pPr>
        <w:ind w:left="2600" w:hanging="567"/>
        <w:spacing w:after="0"/>
        <w:tabs>
          <w:tab w:leader="none" w:pos="2600" w:val="left"/>
        </w:tabs>
        <w:numPr>
          <w:ilvl w:val="1"/>
          <w:numId w:val="58"/>
        </w:numPr>
        <w:rPr>
          <w:rFonts w:ascii="Arial" w:cs="Arial" w:eastAsia="Arial" w:hAnsi="Arial"/>
          <w:sz w:val="21"/>
          <w:szCs w:val="21"/>
          <w:color w:val="auto"/>
        </w:rPr>
      </w:pPr>
      <w:r>
        <w:rPr>
          <w:rFonts w:ascii="Arial" w:cs="Arial" w:eastAsia="Arial" w:hAnsi="Arial"/>
          <w:sz w:val="21"/>
          <w:szCs w:val="21"/>
          <w:color w:val="auto"/>
        </w:rPr>
        <w:t>any violation or breach by the Participant of the Company’s Code of Conduct or any other</w:t>
      </w:r>
    </w:p>
    <w:p>
      <w:pPr>
        <w:ind w:left="740"/>
        <w:spacing w:after="0"/>
        <w:rPr>
          <w:rFonts w:ascii="Arial" w:cs="Arial" w:eastAsia="Arial" w:hAnsi="Arial"/>
          <w:sz w:val="21"/>
          <w:szCs w:val="21"/>
          <w:color w:val="auto"/>
        </w:rPr>
      </w:pPr>
      <w:r>
        <w:rPr>
          <w:rFonts w:ascii="Arial" w:cs="Arial" w:eastAsia="Arial" w:hAnsi="Arial"/>
          <w:sz w:val="22"/>
          <w:szCs w:val="22"/>
          <w:color w:val="auto"/>
        </w:rPr>
        <w:t>Company policy;</w:t>
      </w:r>
    </w:p>
    <w:p>
      <w:pPr>
        <w:spacing w:after="0" w:line="179" w:lineRule="exact"/>
        <w:rPr>
          <w:rFonts w:ascii="Arial" w:cs="Arial" w:eastAsia="Arial" w:hAnsi="Arial"/>
          <w:sz w:val="21"/>
          <w:szCs w:val="21"/>
          <w:color w:val="auto"/>
        </w:rPr>
      </w:pPr>
    </w:p>
    <w:p>
      <w:pPr>
        <w:ind w:left="740" w:firstLine="1293"/>
        <w:spacing w:after="0" w:line="225" w:lineRule="auto"/>
        <w:tabs>
          <w:tab w:leader="none" w:pos="2568" w:val="left"/>
        </w:tabs>
        <w:numPr>
          <w:ilvl w:val="1"/>
          <w:numId w:val="58"/>
        </w:numPr>
        <w:rPr>
          <w:rFonts w:ascii="Arial" w:cs="Arial" w:eastAsia="Arial" w:hAnsi="Arial"/>
          <w:sz w:val="22"/>
          <w:szCs w:val="22"/>
          <w:color w:val="auto"/>
        </w:rPr>
      </w:pPr>
      <w:r>
        <w:rPr>
          <w:rFonts w:ascii="Arial" w:cs="Arial" w:eastAsia="Arial" w:hAnsi="Arial"/>
          <w:sz w:val="22"/>
          <w:szCs w:val="22"/>
          <w:color w:val="auto"/>
        </w:rPr>
        <w:t>any act by the Participant of dishonesty or fraud that injures the reputation or business of, or causes harm to, the Company or any Subsidiary (or successor company);</w:t>
      </w:r>
    </w:p>
    <w:p>
      <w:pPr>
        <w:spacing w:after="0" w:line="173" w:lineRule="exact"/>
        <w:rPr>
          <w:rFonts w:ascii="Arial" w:cs="Arial" w:eastAsia="Arial" w:hAnsi="Arial"/>
          <w:sz w:val="22"/>
          <w:szCs w:val="22"/>
          <w:color w:val="auto"/>
        </w:rPr>
      </w:pPr>
    </w:p>
    <w:p>
      <w:pPr>
        <w:ind w:left="740" w:firstLine="1293"/>
        <w:spacing w:after="0" w:line="225" w:lineRule="auto"/>
        <w:tabs>
          <w:tab w:leader="none" w:pos="2667" w:val="left"/>
        </w:tabs>
        <w:numPr>
          <w:ilvl w:val="1"/>
          <w:numId w:val="58"/>
        </w:numPr>
        <w:rPr>
          <w:rFonts w:ascii="Arial" w:cs="Arial" w:eastAsia="Arial" w:hAnsi="Arial"/>
          <w:sz w:val="22"/>
          <w:szCs w:val="22"/>
          <w:color w:val="auto"/>
        </w:rPr>
      </w:pPr>
      <w:r>
        <w:rPr>
          <w:rFonts w:ascii="Arial" w:cs="Arial" w:eastAsia="Arial" w:hAnsi="Arial"/>
          <w:sz w:val="22"/>
          <w:szCs w:val="22"/>
          <w:color w:val="auto"/>
        </w:rPr>
        <w:t>the Participant’s impeding of, interfering with, or failing to reasonably cooperate with an investigation authorized by the Company or any Subsidiary or Affiliate; or</w:t>
      </w:r>
    </w:p>
    <w:p>
      <w:pPr>
        <w:spacing w:after="0" w:line="173" w:lineRule="exact"/>
        <w:rPr>
          <w:rFonts w:ascii="Arial" w:cs="Arial" w:eastAsia="Arial" w:hAnsi="Arial"/>
          <w:sz w:val="22"/>
          <w:szCs w:val="22"/>
          <w:color w:val="auto"/>
        </w:rPr>
      </w:pPr>
    </w:p>
    <w:p>
      <w:pPr>
        <w:ind w:left="740" w:firstLine="1293"/>
        <w:spacing w:after="0" w:line="225" w:lineRule="auto"/>
        <w:tabs>
          <w:tab w:leader="none" w:pos="2717" w:val="left"/>
        </w:tabs>
        <w:numPr>
          <w:ilvl w:val="1"/>
          <w:numId w:val="58"/>
        </w:numPr>
        <w:rPr>
          <w:rFonts w:ascii="Arial" w:cs="Arial" w:eastAsia="Arial" w:hAnsi="Arial"/>
          <w:sz w:val="22"/>
          <w:szCs w:val="22"/>
          <w:color w:val="auto"/>
        </w:rPr>
      </w:pPr>
      <w:r>
        <w:rPr>
          <w:rFonts w:ascii="Arial" w:cs="Arial" w:eastAsia="Arial" w:hAnsi="Arial"/>
          <w:sz w:val="22"/>
          <w:szCs w:val="22"/>
          <w:color w:val="auto"/>
        </w:rPr>
        <w:t>the conviction of, or entry of a plea of guilty or nolo contendere to, a felony or a crime involving moral turpitude.</w:t>
      </w:r>
    </w:p>
    <w:p>
      <w:pPr>
        <w:spacing w:after="0" w:line="174" w:lineRule="exact"/>
        <w:rPr>
          <w:sz w:val="20"/>
          <w:szCs w:val="20"/>
          <w:color w:val="auto"/>
        </w:rPr>
      </w:pPr>
    </w:p>
    <w:p>
      <w:pPr>
        <w:jc w:val="both"/>
        <w:spacing w:after="0" w:line="213" w:lineRule="auto"/>
        <w:rPr>
          <w:sz w:val="20"/>
          <w:szCs w:val="20"/>
          <w:color w:val="auto"/>
        </w:rPr>
      </w:pPr>
      <w:r>
        <w:rPr>
          <w:rFonts w:ascii="Arial" w:cs="Arial" w:eastAsia="Arial" w:hAnsi="Arial"/>
          <w:sz w:val="22"/>
          <w:szCs w:val="22"/>
          <w:color w:val="auto"/>
        </w:rPr>
        <w:t>The good faith determination by the Committee of whether the Participant’s employment or service was terminated for “Cause” shall be final and binding for all purposes hereunder. Notwithstanding the foregoing, the definition of “Cause” shall, following a Change of Control, be modified so that (x) clause (i) shall no longer be applicable, and (y) clauses (ii) through (vi) above will be deemed to have the term “materiality” inserted as a qualifier to each instance of violation, breach or other misconduct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4" w:right="339" w:bottom="1440" w:gutter="0" w:footer="0" w:header="0"/>
        </w:sectPr>
      </w:pPr>
    </w:p>
    <w:bookmarkStart w:id="100" w:name="page101"/>
    <w:bookmarkEnd w:id="100"/>
    <w:p>
      <w:pPr>
        <w:ind w:left="1800" w:hanging="496"/>
        <w:spacing w:after="0"/>
        <w:tabs>
          <w:tab w:leader="none" w:pos="18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the Compensation Committee of the Board of Directors of the Company.</w:t>
      </w:r>
    </w:p>
    <w:p>
      <w:pPr>
        <w:spacing w:after="0" w:line="179" w:lineRule="exact"/>
        <w:rPr>
          <w:rFonts w:ascii="Arial" w:cs="Arial" w:eastAsia="Arial" w:hAnsi="Arial"/>
          <w:sz w:val="22"/>
          <w:szCs w:val="22"/>
          <w:color w:val="auto"/>
        </w:rPr>
      </w:pPr>
    </w:p>
    <w:p>
      <w:pPr>
        <w:jc w:val="both"/>
        <w:ind w:firstLine="1304"/>
        <w:spacing w:after="0" w:line="214" w:lineRule="auto"/>
        <w:tabs>
          <w:tab w:leader="none" w:pos="1828" w:val="left"/>
        </w:tabs>
        <w:numPr>
          <w:ilvl w:val="0"/>
          <w:numId w:val="5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the inability of the Participant, due to illness, accident or any other physical or mental incapacity, to perform, with or without reasonable accommodation, the essential functions of his or her employment duties for the Company and its Subsidiaries for an aggregate of one hundred eighty (180) days within any period of twelve (12) consecutive months, as determined by a physician satisfactory to the Company, which determination will be final and binding; provided that, in the case of any payments or benefits that are subject to Section 409A, such circumstances shall only constitute “Disability” if to the extent they constitute Disability within the meaning of Treasury Regulation Section 1.409A-3(i)(4).</w:t>
      </w:r>
    </w:p>
    <w:p>
      <w:pPr>
        <w:spacing w:after="0" w:line="149" w:lineRule="exact"/>
        <w:rPr>
          <w:sz w:val="20"/>
          <w:szCs w:val="20"/>
          <w:color w:val="auto"/>
        </w:rPr>
      </w:pPr>
    </w:p>
    <w:p>
      <w:pPr>
        <w:ind w:firstLine="1304"/>
        <w:spacing w:after="0" w:line="237" w:lineRule="auto"/>
        <w:tabs>
          <w:tab w:leader="none" w:pos="1949" w:val="left"/>
        </w:tabs>
        <w:numPr>
          <w:ilvl w:val="0"/>
          <w:numId w:val="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means the occurrence of any of the following within two (2) years after the occurrence of a Change of Control:</w:t>
      </w:r>
    </w:p>
    <w:p>
      <w:pPr>
        <w:spacing w:after="0" w:line="174" w:lineRule="exact"/>
        <w:rPr>
          <w:rFonts w:ascii="Arial" w:cs="Arial" w:eastAsia="Arial" w:hAnsi="Arial"/>
          <w:sz w:val="22"/>
          <w:szCs w:val="22"/>
          <w:color w:val="auto"/>
        </w:rPr>
      </w:pPr>
    </w:p>
    <w:p>
      <w:pPr>
        <w:jc w:val="both"/>
        <w:ind w:left="740" w:firstLine="1212"/>
        <w:spacing w:after="0" w:line="213" w:lineRule="auto"/>
        <w:tabs>
          <w:tab w:leader="none" w:pos="2207"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assignment to the Participant of regular duties inconsistent in any material respect with the Participant’s then-current position (including status, title and reporting requirements), authority, duties or responsibilities, or any other action by the Company that results in a material diminution in such position, authority, duties or responsibilities, excluding for this purpose an action not taken in bad faith and which is remedied by the Company promptly after written notice thereof given by the Participant;</w:t>
      </w:r>
    </w:p>
    <w:p>
      <w:pPr>
        <w:spacing w:after="0" w:line="173" w:lineRule="exact"/>
        <w:rPr>
          <w:rFonts w:ascii="Arial" w:cs="Arial" w:eastAsia="Arial" w:hAnsi="Arial"/>
          <w:sz w:val="22"/>
          <w:szCs w:val="22"/>
          <w:color w:val="auto"/>
        </w:rPr>
      </w:pPr>
    </w:p>
    <w:p>
      <w:pPr>
        <w:ind w:left="740" w:firstLine="1212"/>
        <w:spacing w:after="0" w:line="225" w:lineRule="auto"/>
        <w:tabs>
          <w:tab w:leader="none" w:pos="2282"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any reduction in, or failure to pay, the Participant’s base salary, other than a reduction or failure that is remedied by the Company within 15 days after notice thereof given by the Participant;</w:t>
      </w:r>
    </w:p>
    <w:p>
      <w:pPr>
        <w:spacing w:after="0" w:line="173" w:lineRule="exact"/>
        <w:rPr>
          <w:rFonts w:ascii="Arial" w:cs="Arial" w:eastAsia="Arial" w:hAnsi="Arial"/>
          <w:sz w:val="22"/>
          <w:szCs w:val="22"/>
          <w:color w:val="auto"/>
        </w:rPr>
      </w:pPr>
    </w:p>
    <w:p>
      <w:pPr>
        <w:jc w:val="both"/>
        <w:ind w:left="740" w:right="20" w:firstLine="1212"/>
        <w:spacing w:after="0" w:line="225" w:lineRule="auto"/>
        <w:tabs>
          <w:tab w:leader="none" w:pos="2303" w:val="left"/>
        </w:tabs>
        <w:numPr>
          <w:ilvl w:val="1"/>
          <w:numId w:val="60"/>
        </w:numPr>
        <w:rPr>
          <w:rFonts w:ascii="Arial" w:cs="Arial" w:eastAsia="Arial" w:hAnsi="Arial"/>
          <w:sz w:val="21"/>
          <w:szCs w:val="21"/>
          <w:color w:val="auto"/>
        </w:rPr>
      </w:pPr>
      <w:r>
        <w:rPr>
          <w:rFonts w:ascii="Arial" w:cs="Arial" w:eastAsia="Arial" w:hAnsi="Arial"/>
          <w:sz w:val="21"/>
          <w:szCs w:val="21"/>
          <w:color w:val="auto"/>
        </w:rPr>
        <w:t>any failure by the Company to provide the Participant with Bonus and equity opportunities, or employee benefits and perquisites in the aggregate, that are not less than those provided to the Participant in the calendar year immediately preceding the Change in Control, other than a failure not occurring in bad faith and that is remedied by the Company within 15 days after receipt of notice thereof given by the Participant; or</w:t>
      </w:r>
    </w:p>
    <w:p>
      <w:pPr>
        <w:spacing w:after="0" w:line="174" w:lineRule="exact"/>
        <w:rPr>
          <w:rFonts w:ascii="Arial" w:cs="Arial" w:eastAsia="Arial" w:hAnsi="Arial"/>
          <w:sz w:val="21"/>
          <w:szCs w:val="21"/>
          <w:color w:val="auto"/>
        </w:rPr>
      </w:pPr>
    </w:p>
    <w:p>
      <w:pPr>
        <w:jc w:val="both"/>
        <w:ind w:left="740" w:firstLine="1212"/>
        <w:spacing w:after="0" w:line="218" w:lineRule="auto"/>
        <w:tabs>
          <w:tab w:leader="none" w:pos="2355"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Company’s requiring the Participant to be based at any office or location outside of Miami-Dade or Broward County, Florida, except for travel reasonably required in the performance of the Participant's responsibilities, consistent with the Participant’s position.</w:t>
      </w:r>
    </w:p>
    <w:p>
      <w:pPr>
        <w:spacing w:after="0" w:line="175" w:lineRule="exact"/>
        <w:rPr>
          <w:sz w:val="20"/>
          <w:szCs w:val="20"/>
          <w:color w:val="auto"/>
        </w:rPr>
      </w:pPr>
    </w:p>
    <w:p>
      <w:pPr>
        <w:jc w:val="both"/>
        <w:ind w:left="740" w:firstLine="1215"/>
        <w:spacing w:after="0" w:line="211" w:lineRule="auto"/>
        <w:rPr>
          <w:sz w:val="20"/>
          <w:szCs w:val="20"/>
          <w:color w:val="auto"/>
        </w:rPr>
      </w:pPr>
      <w:r>
        <w:rPr>
          <w:rFonts w:ascii="Arial" w:cs="Arial" w:eastAsia="Arial" w:hAnsi="Arial"/>
          <w:sz w:val="22"/>
          <w:szCs w:val="22"/>
          <w:color w:val="auto"/>
        </w:rPr>
        <w:t>Notwithstanding the foregoing, none of the circumstances described above shall constitute Good Reason unless (i) the Participant provides the Company with written notice specifying in reasonable detail the circumstances alleged to constitute Good Reason within ninety (90) days of the initial existence of any such circumstances, (ii) the Company fails to remedy the circumstances within the thirty (30) days following its receipt of such notice and (iii) the Participant actually terminates employment within the six (6) months following the initial existence of such circumstance.</w:t>
      </w:r>
    </w:p>
    <w:p>
      <w:pPr>
        <w:spacing w:after="0" w:line="152" w:lineRule="exact"/>
        <w:rPr>
          <w:sz w:val="20"/>
          <w:szCs w:val="20"/>
          <w:color w:val="auto"/>
        </w:rPr>
      </w:pPr>
    </w:p>
    <w:p>
      <w:pPr>
        <w:ind w:right="20" w:firstLine="1304"/>
        <w:spacing w:after="0" w:line="237" w:lineRule="auto"/>
        <w:tabs>
          <w:tab w:leader="none" w:pos="15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Section 409A</w:t>
      </w:r>
      <w:r>
        <w:rPr>
          <w:rFonts w:ascii="Arial" w:cs="Arial" w:eastAsia="Arial" w:hAnsi="Arial"/>
          <w:sz w:val="22"/>
          <w:szCs w:val="22"/>
          <w:color w:val="auto"/>
        </w:rPr>
        <w:t>” means Section 409A of the U.S. Internal Revenue Code of 1986, as amended, and the Treasury Regulations thereunder.</w:t>
      </w:r>
    </w:p>
    <w:p>
      <w:pPr>
        <w:spacing w:after="0" w:line="148" w:lineRule="exact"/>
        <w:rPr>
          <w:rFonts w:ascii="Arial" w:cs="Arial" w:eastAsia="Arial" w:hAnsi="Arial"/>
          <w:sz w:val="22"/>
          <w:szCs w:val="22"/>
          <w:color w:val="auto"/>
        </w:rPr>
      </w:pPr>
    </w:p>
    <w:p>
      <w:pPr>
        <w:ind w:right="20" w:firstLine="1304"/>
        <w:spacing w:after="0" w:line="237" w:lineRule="auto"/>
        <w:tabs>
          <w:tab w:leader="none" w:pos="1894" w:val="left"/>
        </w:tabs>
        <w:numPr>
          <w:ilvl w:val="0"/>
          <w:numId w:val="61"/>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“Termination Date” </w:t>
      </w:r>
      <w:r>
        <w:rPr>
          <w:rFonts w:ascii="Arial" w:cs="Arial" w:eastAsia="Arial" w:hAnsi="Arial"/>
          <w:sz w:val="22"/>
          <w:szCs w:val="22"/>
          <w:color w:val="auto"/>
        </w:rPr>
        <w:t>means the date on which the Participant is no longer an employee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0" w:right="339" w:bottom="1440" w:gutter="0" w:footer="0" w:header="0"/>
        </w:sectPr>
      </w:pPr>
    </w:p>
    <w:bookmarkStart w:id="101" w:name="page102"/>
    <w:bookmarkEnd w:id="101"/>
    <w:p>
      <w:pPr>
        <w:ind w:left="1080" w:hanging="424"/>
        <w:spacing w:after="0"/>
        <w:tabs>
          <w:tab w:leader="none" w:pos="1080"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Vesting and Forfeiture of Shares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13" w:lineRule="auto"/>
        <w:tabs>
          <w:tab w:leader="none" w:pos="1945" w:val="left"/>
        </w:tabs>
        <w:numPr>
          <w:ilvl w:val="2"/>
          <w:numId w:val="62"/>
        </w:numPr>
        <w:rPr>
          <w:rFonts w:ascii="Arial" w:cs="Arial" w:eastAsia="Arial" w:hAnsi="Arial"/>
          <w:sz w:val="22"/>
          <w:szCs w:val="22"/>
          <w:color w:val="auto"/>
        </w:rPr>
      </w:pPr>
      <w:r>
        <w:rPr>
          <w:rFonts w:ascii="Arial" w:cs="Arial" w:eastAsia="Arial" w:hAnsi="Arial"/>
          <w:sz w:val="22"/>
          <w:szCs w:val="22"/>
          <w:color w:val="auto"/>
        </w:rPr>
        <w:t>Subject to the provisions of this Section 3, if the Participant is continuously employed by the Company or any Subsidiary from the Grant Date through and until any of the dates (the “</w:t>
      </w:r>
      <w:r>
        <w:rPr>
          <w:rFonts w:ascii="Arial" w:cs="Arial" w:eastAsia="Arial" w:hAnsi="Arial"/>
          <w:sz w:val="22"/>
          <w:szCs w:val="22"/>
          <w:b w:val="1"/>
          <w:bCs w:val="1"/>
          <w:i w:val="1"/>
          <w:iCs w:val="1"/>
          <w:color w:val="auto"/>
        </w:rPr>
        <w:t>Vesting Date</w:t>
      </w:r>
      <w:r>
        <w:rPr>
          <w:rFonts w:ascii="Arial" w:cs="Arial" w:eastAsia="Arial" w:hAnsi="Arial"/>
          <w:sz w:val="22"/>
          <w:szCs w:val="22"/>
          <w:color w:val="auto"/>
        </w:rPr>
        <w:t>”) set forth in the vesting schedule attached hereto as Exhibit A (the “</w:t>
      </w:r>
      <w:r>
        <w:rPr>
          <w:rFonts w:ascii="Arial" w:cs="Arial" w:eastAsia="Arial" w:hAnsi="Arial"/>
          <w:sz w:val="22"/>
          <w:szCs w:val="22"/>
          <w:b w:val="1"/>
          <w:bCs w:val="1"/>
          <w:i w:val="1"/>
          <w:iCs w:val="1"/>
          <w:color w:val="auto"/>
        </w:rPr>
        <w:t>Vesting Schedule</w:t>
      </w:r>
      <w:r>
        <w:rPr>
          <w:rFonts w:ascii="Arial" w:cs="Arial" w:eastAsia="Arial" w:hAnsi="Arial"/>
          <w:sz w:val="22"/>
          <w:szCs w:val="22"/>
          <w:color w:val="auto"/>
        </w:rPr>
        <w:t>”), then the RSUs shall become vested as set forth in the Vesting Schedule on the applicable Vesting Date. Except as otherwise provided in this Section 3, there shall be no proportionate or partial vesting of the RSUs prior to the applicable Vesting Date.</w:t>
      </w:r>
    </w:p>
    <w:p>
      <w:pPr>
        <w:spacing w:after="0" w:line="173" w:lineRule="exact"/>
        <w:rPr>
          <w:rFonts w:ascii="Arial" w:cs="Arial" w:eastAsia="Arial" w:hAnsi="Arial"/>
          <w:sz w:val="22"/>
          <w:szCs w:val="22"/>
          <w:color w:val="auto"/>
        </w:rPr>
      </w:pPr>
    </w:p>
    <w:p>
      <w:pPr>
        <w:ind w:firstLine="1304"/>
        <w:spacing w:after="0" w:line="225" w:lineRule="auto"/>
        <w:tabs>
          <w:tab w:leader="none" w:pos="1816" w:val="left"/>
        </w:tabs>
        <w:numPr>
          <w:ilvl w:val="2"/>
          <w:numId w:val="62"/>
        </w:numPr>
        <w:rPr>
          <w:rFonts w:ascii="Arial" w:cs="Arial" w:eastAsia="Arial" w:hAnsi="Arial"/>
          <w:sz w:val="22"/>
          <w:szCs w:val="22"/>
          <w:color w:val="auto"/>
        </w:rPr>
      </w:pPr>
      <w:r>
        <w:rPr>
          <w:rFonts w:ascii="Arial" w:cs="Arial" w:eastAsia="Arial" w:hAnsi="Arial"/>
          <w:sz w:val="22"/>
          <w:szCs w:val="22"/>
          <w:color w:val="auto"/>
        </w:rPr>
        <w:t>The vesting of the RSUs (or, if applicable, Acquirer RSUs (as defined below)) shall be accelerated if and to the extent provided in this Section 3(b):</w:t>
      </w:r>
    </w:p>
    <w:p>
      <w:pPr>
        <w:spacing w:after="0" w:line="173" w:lineRule="exact"/>
        <w:rPr>
          <w:rFonts w:ascii="Arial" w:cs="Arial" w:eastAsia="Arial" w:hAnsi="Arial"/>
          <w:sz w:val="22"/>
          <w:szCs w:val="22"/>
          <w:color w:val="auto"/>
        </w:rPr>
      </w:pPr>
    </w:p>
    <w:p>
      <w:pPr>
        <w:jc w:val="both"/>
        <w:ind w:firstLine="1952"/>
        <w:spacing w:after="0" w:line="216" w:lineRule="auto"/>
        <w:tabs>
          <w:tab w:leader="none" w:pos="2555" w:val="left"/>
        </w:tabs>
        <w:numPr>
          <w:ilvl w:val="3"/>
          <w:numId w:val="62"/>
        </w:numPr>
        <w:rPr>
          <w:rFonts w:ascii="Arial" w:cs="Arial" w:eastAsia="Arial" w:hAnsi="Arial"/>
          <w:sz w:val="21"/>
          <w:szCs w:val="21"/>
          <w:color w:val="auto"/>
        </w:rPr>
      </w:pPr>
      <w:r>
        <w:rPr>
          <w:rFonts w:ascii="Arial" w:cs="Arial" w:eastAsia="Arial" w:hAnsi="Arial"/>
          <w:sz w:val="21"/>
          <w:szCs w:val="21"/>
          <w:color w:val="auto"/>
        </w:rPr>
        <w:t>The RSUs shall immediately vest upon the occurrence of a Change of Control of the Company while the Participant is employed by the Company or any Subsidiary. Notwithstanding the foregoing, if in the event of a Change of Control the successor company assumes or substitutes the RSUs as of the date of the Change of Control, then the vesting of the RSUs that are assumed or substituted shall not be so accelerated as a result of such Change of Control. For this purpose, the RSUs shall be considered assumed or substituted only if (A) the RSUs that are assumed or substituted vest at the times that such RSUs would vest pursuant to this Agreement, and (B) following the Change of Control, the RSUs confer the right to receive, for each unvested RSU held immediately prior to the Change of Control, the consideration (whether stock, cash or other securities or property) received by holders of Shares in the transaction constituting a Change of Control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of Control is not solely common stock of the successor company or its parent or subsidiary, the Company may provide that the consideration to be received upon the vesting of any RSU will be solely common stock of the successor company or its parent or subsidiary substantially equal in fair market value to the per share consideration received by holders of Shares in the transaction constituting a Change of Control. The determinations of (1) whether the RSUs shall be assumed or substituted or shall accelerate vesting in accordance with this Section 3(b)(i) and (2) in the event of an assumption or substitution, such substantial equality of value of consideration shall be made by the Compensation Committee of the Company (the “</w:t>
      </w:r>
      <w:r>
        <w:rPr>
          <w:rFonts w:ascii="Arial" w:cs="Arial" w:eastAsia="Arial" w:hAnsi="Arial"/>
          <w:sz w:val="21"/>
          <w:szCs w:val="21"/>
          <w:b w:val="1"/>
          <w:bCs w:val="1"/>
          <w:i w:val="1"/>
          <w:iCs w:val="1"/>
          <w:color w:val="auto"/>
        </w:rPr>
        <w:t>Committee</w:t>
      </w:r>
      <w:r>
        <w:rPr>
          <w:rFonts w:ascii="Arial" w:cs="Arial" w:eastAsia="Arial" w:hAnsi="Arial"/>
          <w:sz w:val="21"/>
          <w:szCs w:val="21"/>
          <w:color w:val="auto"/>
        </w:rPr>
        <w:t>”) in its sole discretion and its determinations shall be conclusive and binding. The award resulting from the assumption or substitution of the RSUs by the successor company shall be referred to hereafter as the “</w:t>
      </w:r>
      <w:r>
        <w:rPr>
          <w:rFonts w:ascii="Arial" w:cs="Arial" w:eastAsia="Arial" w:hAnsi="Arial"/>
          <w:sz w:val="21"/>
          <w:szCs w:val="21"/>
          <w:b w:val="1"/>
          <w:bCs w:val="1"/>
          <w:i w:val="1"/>
          <w:iCs w:val="1"/>
          <w:color w:val="auto"/>
        </w:rPr>
        <w:t>Acquirer RSUs</w:t>
      </w:r>
      <w:r>
        <w:rPr>
          <w:rFonts w:ascii="Arial" w:cs="Arial" w:eastAsia="Arial" w:hAnsi="Arial"/>
          <w:sz w:val="21"/>
          <w:szCs w:val="21"/>
          <w:color w:val="auto"/>
        </w:rPr>
        <w:t>”.</w:t>
      </w:r>
    </w:p>
    <w:p>
      <w:pPr>
        <w:spacing w:after="0" w:line="189" w:lineRule="exact"/>
        <w:rPr>
          <w:rFonts w:ascii="Arial" w:cs="Arial" w:eastAsia="Arial" w:hAnsi="Arial"/>
          <w:sz w:val="21"/>
          <w:szCs w:val="21"/>
          <w:color w:val="auto"/>
        </w:rPr>
      </w:pPr>
    </w:p>
    <w:p>
      <w:pPr>
        <w:jc w:val="both"/>
        <w:ind w:firstLine="8"/>
        <w:spacing w:after="0" w:line="210" w:lineRule="auto"/>
        <w:tabs>
          <w:tab w:leader="none" w:pos="327"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 the event that the Participant’s employment with the Company and its Subsidiaries is terminated due to the Participant’s death or Disability prior to the applicable Vesting Date and (A) prior to a Change of Control, the Participant shall immediately vest upon the Termination Date in a pro-rated portion of the RSUs determined in accordance with Section 3(c) hereof, and the balance of the RSUs shall be immediately forfeited upon the Termination Date, or (B) within the two (2) year period following a Change of Control, the Participant shall immediately vest upon the Termination Date in all outstanding Acquirer RSUs to the extent unvested as of the Termination Date.</w:t>
      </w:r>
    </w:p>
    <w:p>
      <w:pPr>
        <w:spacing w:after="0" w:line="178" w:lineRule="exact"/>
        <w:rPr>
          <w:rFonts w:ascii="Arial" w:cs="Arial" w:eastAsia="Arial" w:hAnsi="Arial"/>
          <w:sz w:val="22"/>
          <w:szCs w:val="22"/>
          <w:color w:val="auto"/>
        </w:rPr>
      </w:pPr>
    </w:p>
    <w:p>
      <w:pPr>
        <w:ind w:firstLine="8"/>
        <w:spacing w:after="0" w:line="236" w:lineRule="auto"/>
        <w:tabs>
          <w:tab w:leader="none" w:pos="348" w:val="left"/>
        </w:tabs>
        <w:numPr>
          <w:ilvl w:val="0"/>
          <w:numId w:val="63"/>
        </w:numPr>
        <w:rPr>
          <w:rFonts w:ascii="Arial" w:cs="Arial" w:eastAsia="Arial" w:hAnsi="Arial"/>
          <w:sz w:val="21"/>
          <w:szCs w:val="21"/>
          <w:color w:val="auto"/>
        </w:rPr>
      </w:pPr>
      <w:r>
        <w:rPr>
          <w:rFonts w:ascii="Arial" w:cs="Arial" w:eastAsia="Arial" w:hAnsi="Arial"/>
          <w:sz w:val="21"/>
          <w:szCs w:val="21"/>
          <w:color w:val="auto"/>
        </w:rPr>
        <w:t>In the event that the Participant’s employment with the Company or its Subsidiaries is terminated by the Company or its Subsidiaries without Cause prior to the applicable Vesting Date and (A) prior to a Change of Control,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6" w:right="339" w:bottom="1440" w:gutter="0" w:footer="0" w:header="0"/>
        </w:sectPr>
      </w:pPr>
    </w:p>
    <w:bookmarkStart w:id="102" w:name="page103"/>
    <w:bookmarkEnd w:id="102"/>
    <w:p>
      <w:pPr>
        <w:jc w:val="both"/>
        <w:spacing w:after="0" w:line="213" w:lineRule="auto"/>
        <w:rPr>
          <w:sz w:val="20"/>
          <w:szCs w:val="20"/>
          <w:color w:val="auto"/>
        </w:rPr>
      </w:pPr>
      <w:r>
        <w:rPr>
          <w:rFonts w:ascii="Arial" w:cs="Arial" w:eastAsia="Arial" w:hAnsi="Arial"/>
          <w:sz w:val="22"/>
          <w:szCs w:val="22"/>
          <w:color w:val="auto"/>
        </w:rPr>
        <w:t>Participant shall immediately vest upon the Termination Date in a pro-rated portion of the RSUs determined in accordance with Section 3(c) hereof, and the balance of the RSUs shall be immediately forfeited upon the Termination Date, or (B) within the two (2) year period following a Change of Control, the Participant shall immediately vest upon the Termination Date in all outstanding Acquirer RSUs to the extent unvested as of the Termination Date.</w:t>
      </w:r>
    </w:p>
    <w:p>
      <w:pPr>
        <w:spacing w:after="0" w:line="173" w:lineRule="exact"/>
        <w:rPr>
          <w:sz w:val="20"/>
          <w:szCs w:val="20"/>
          <w:color w:val="auto"/>
        </w:rPr>
      </w:pPr>
    </w:p>
    <w:p>
      <w:pPr>
        <w:jc w:val="both"/>
        <w:ind w:firstLine="1952"/>
        <w:spacing w:after="0" w:line="215" w:lineRule="auto"/>
        <w:tabs>
          <w:tab w:leader="none" w:pos="2694" w:val="left"/>
        </w:tabs>
        <w:numPr>
          <w:ilvl w:val="4"/>
          <w:numId w:val="64"/>
        </w:numPr>
        <w:rPr>
          <w:rFonts w:ascii="Arial" w:cs="Arial" w:eastAsia="Arial" w:hAnsi="Arial"/>
          <w:sz w:val="22"/>
          <w:szCs w:val="22"/>
          <w:color w:val="auto"/>
        </w:rPr>
      </w:pPr>
      <w:r>
        <w:rPr>
          <w:rFonts w:ascii="Arial" w:cs="Arial" w:eastAsia="Arial" w:hAnsi="Arial"/>
          <w:sz w:val="22"/>
          <w:szCs w:val="22"/>
          <w:color w:val="auto"/>
        </w:rPr>
        <w:t>In the event that the Participant’s employment with the Company or its Subsidiaries is terminated by the Participant for Good Reason prior to the applicable Vesting Date and on or within the two (2) year period following a Change of Control, the Participant shall immediately vest upon the Termination Date in all outstanding Acquirer RSUs to the extent unvested as of the Termination Date.</w:t>
      </w:r>
    </w:p>
    <w:p>
      <w:pPr>
        <w:spacing w:after="0" w:line="173" w:lineRule="exact"/>
        <w:rPr>
          <w:rFonts w:ascii="Arial" w:cs="Arial" w:eastAsia="Arial" w:hAnsi="Arial"/>
          <w:sz w:val="22"/>
          <w:szCs w:val="22"/>
          <w:color w:val="auto"/>
        </w:rPr>
      </w:pPr>
    </w:p>
    <w:p>
      <w:pPr>
        <w:jc w:val="both"/>
        <w:ind w:firstLine="8"/>
        <w:spacing w:after="0" w:line="210" w:lineRule="auto"/>
        <w:tabs>
          <w:tab w:leader="none" w:pos="551" w:val="left"/>
        </w:tabs>
        <w:numPr>
          <w:ilvl w:val="0"/>
          <w:numId w:val="65"/>
        </w:numPr>
        <w:rPr>
          <w:rFonts w:ascii="Arial" w:cs="Arial" w:eastAsia="Arial" w:hAnsi="Arial"/>
          <w:sz w:val="22"/>
          <w:szCs w:val="22"/>
          <w:color w:val="auto"/>
        </w:rPr>
      </w:pPr>
      <w:r>
        <w:rPr>
          <w:rFonts w:ascii="Arial" w:cs="Arial" w:eastAsia="Arial" w:hAnsi="Arial"/>
          <w:sz w:val="22"/>
          <w:szCs w:val="22"/>
          <w:color w:val="auto"/>
        </w:rPr>
        <w:t>For purposes of Section 3(b)(ii) and (iii), the pro-rated portion shall be calculated by multiplying the number of RSUs set forth in Section 1 hereof by a fraction, the numerator of which shall be the number of days which have elapsed between the Grant Date and the Termination Date, and the denominator of which shall be the total number of days between the Grant Date and the final vesting Date set forth in the Vesting Schedule; provided, however, that if the Termination Date occurs after any Vesting Date set forth in the Vesting Schedule, then the pro-rated portion shall be reduced by the number of RSUs that vested prior to the Termination Date in accordance with the Vesting Schedule.</w:t>
      </w:r>
    </w:p>
    <w:p>
      <w:pPr>
        <w:spacing w:after="0" w:line="178" w:lineRule="exact"/>
        <w:rPr>
          <w:rFonts w:ascii="Arial" w:cs="Arial" w:eastAsia="Arial" w:hAnsi="Arial"/>
          <w:sz w:val="22"/>
          <w:szCs w:val="22"/>
          <w:color w:val="auto"/>
        </w:rPr>
      </w:pPr>
    </w:p>
    <w:p>
      <w:pPr>
        <w:jc w:val="both"/>
        <w:ind w:firstLine="8"/>
        <w:spacing w:after="0" w:line="218" w:lineRule="auto"/>
        <w:tabs>
          <w:tab w:leader="none" w:pos="548"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 the event that the Participant’s employment with the Company and its Subsidiaries is terminated prior to the applicable Vesting Date for any other reason not specified in Section 3(b)(ii), (iii) or (iv), then the Participant shall immediately forfeit all of the unvested RSUs (or, if applicable, Acquirer RSUs).</w:t>
      </w:r>
    </w:p>
    <w:p>
      <w:pPr>
        <w:spacing w:after="0" w:line="174" w:lineRule="exact"/>
        <w:rPr>
          <w:rFonts w:ascii="Arial" w:cs="Arial" w:eastAsia="Arial" w:hAnsi="Arial"/>
          <w:sz w:val="22"/>
          <w:szCs w:val="22"/>
          <w:color w:val="auto"/>
        </w:rPr>
      </w:pPr>
    </w:p>
    <w:p>
      <w:pPr>
        <w:jc w:val="both"/>
        <w:ind w:firstLine="8"/>
        <w:spacing w:after="0" w:line="211" w:lineRule="auto"/>
        <w:tabs>
          <w:tab w:leader="none" w:pos="569"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Termination of employment with the Company (or, if applicable, the successor company) to accept immediate re-employment with a Subsidiary, or vice-versa, or termination of employment with a Subsidiary to accept immediate re-employment with a different Subsidiary, shall not be deemed termination of employment for purposes of this Section 3. </w:t>
      </w:r>
      <w:r>
        <w:rPr>
          <w:rFonts w:ascii="Arial" w:cs="Arial" w:eastAsia="Arial" w:hAnsi="Arial"/>
          <w:sz w:val="22"/>
          <w:szCs w:val="22"/>
          <w:b w:val="1"/>
          <w:bCs w:val="1"/>
          <w:color w:val="auto"/>
        </w:rPr>
        <w:t>Nothing in this Section 3 or this Agreement shall be deemed to limit or modify any non-competition, confidentiality or non-solicitation restrictions that the Participant is already subject to, which restrictions shall continue to be separately enforceable in accordance with their terms</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681"/>
        <w:spacing w:after="0" w:line="215" w:lineRule="auto"/>
        <w:tabs>
          <w:tab w:leader="none" w:pos="954" w:val="left"/>
        </w:tabs>
        <w:numPr>
          <w:ilvl w:val="2"/>
          <w:numId w:val="65"/>
        </w:numPr>
        <w:rPr>
          <w:rFonts w:ascii="Arial" w:cs="Arial" w:eastAsia="Arial" w:hAnsi="Arial"/>
          <w:sz w:val="22"/>
          <w:szCs w:val="22"/>
          <w:color w:val="auto"/>
        </w:rPr>
      </w:pPr>
      <w:r>
        <w:rPr>
          <w:rFonts w:ascii="Arial" w:cs="Arial" w:eastAsia="Arial" w:hAnsi="Arial"/>
          <w:sz w:val="22"/>
          <w:szCs w:val="22"/>
          <w:u w:val="single" w:color="auto"/>
          <w:color w:val="auto"/>
        </w:rPr>
        <w:t>Adjustment</w:t>
      </w:r>
      <w:r>
        <w:rPr>
          <w:rFonts w:ascii="Arial" w:cs="Arial" w:eastAsia="Arial" w:hAnsi="Arial"/>
          <w:sz w:val="22"/>
          <w:szCs w:val="22"/>
          <w:color w:val="auto"/>
        </w:rPr>
        <w:t>. The number of RSUs (or, if applicable, Acquirer RSUs) are subject to adjustment by the Committee in the event of any increase or decrease in the number of issued Shares resulting from a subdivision or consolidation of the Common Stock or the payment of a stock dividend on Common Stock, or any other increase or decrease in the number of Shares effected without receipt or payment of consideration by the Company.</w:t>
      </w:r>
    </w:p>
    <w:p>
      <w:pPr>
        <w:spacing w:after="0" w:line="173" w:lineRule="exact"/>
        <w:rPr>
          <w:rFonts w:ascii="Arial" w:cs="Arial" w:eastAsia="Arial" w:hAnsi="Arial"/>
          <w:sz w:val="22"/>
          <w:szCs w:val="22"/>
          <w:color w:val="auto"/>
        </w:rPr>
      </w:pPr>
    </w:p>
    <w:p>
      <w:pPr>
        <w:ind w:left="1080" w:hanging="424"/>
        <w:spacing w:after="0"/>
        <w:tabs>
          <w:tab w:leader="none" w:pos="1080"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Settlement of Awards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11" w:lineRule="auto"/>
        <w:tabs>
          <w:tab w:leader="none" w:pos="1827" w:val="left"/>
        </w:tabs>
        <w:numPr>
          <w:ilvl w:val="3"/>
          <w:numId w:val="65"/>
        </w:numPr>
        <w:rPr>
          <w:rFonts w:ascii="Arial" w:cs="Arial" w:eastAsia="Arial" w:hAnsi="Arial"/>
          <w:sz w:val="22"/>
          <w:szCs w:val="22"/>
          <w:color w:val="auto"/>
        </w:rPr>
      </w:pPr>
      <w:r>
        <w:rPr>
          <w:rFonts w:ascii="Arial" w:cs="Arial" w:eastAsia="Arial" w:hAnsi="Arial"/>
          <w:sz w:val="22"/>
          <w:szCs w:val="22"/>
          <w:u w:val="single" w:color="auto"/>
          <w:color w:val="auto"/>
        </w:rPr>
        <w:t>Delivery of Shares</w:t>
      </w:r>
      <w:r>
        <w:rPr>
          <w:rFonts w:ascii="Arial" w:cs="Arial" w:eastAsia="Arial" w:hAnsi="Arial"/>
          <w:sz w:val="22"/>
          <w:szCs w:val="22"/>
          <w:color w:val="auto"/>
        </w:rPr>
        <w:t>. The Company shall deliver the Shares corresponding to the vested RSUs (or, if applicable, Acquirer RSUs) to the Participant within 30 days following the applicable Vesting Date; provided, however, that (i) in the event of the Participant’s termination of employment (A) due to death or Disability or (B) on or within the two (2) year period following a Change of Control, by the Company without Cause or by the Participant for Good Reason, the Company shall deliver the Shares corresponding to the vested RSUs (or, if applicable, Acquirer RSUs) to the Participant within 30 days following such Termination Date, (ii) in the event of a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6" w:right="339" w:bottom="1440" w:gutter="0" w:footer="0" w:header="0"/>
        </w:sectPr>
      </w:pPr>
    </w:p>
    <w:bookmarkStart w:id="103" w:name="page104"/>
    <w:bookmarkEnd w:id="103"/>
    <w:p>
      <w:pPr>
        <w:jc w:val="both"/>
        <w:spacing w:after="0" w:line="211" w:lineRule="auto"/>
        <w:rPr>
          <w:sz w:val="20"/>
          <w:szCs w:val="20"/>
          <w:color w:val="auto"/>
        </w:rPr>
      </w:pPr>
      <w:r>
        <w:rPr>
          <w:rFonts w:ascii="Arial" w:cs="Arial" w:eastAsia="Arial" w:hAnsi="Arial"/>
          <w:sz w:val="22"/>
          <w:szCs w:val="22"/>
          <w:color w:val="auto"/>
        </w:rPr>
        <w:t>of Control pursuant to which the RSUs vest in accordance with the first sentence of Section 3(b)(i) of this Agreement, the Company shall deliver the Shares or shall have been deemed to deliver the Shares corresponding to the vested RSUs to the Participant upon such Change of Control. In the event of a Change of Control pursuant to which the RSUs are assumed or substituted in accordance with Section 3(b)(i) of this Agreement, all references in this Section 5(a) to (x) the Company shall be to the successor company and (y) Shares shall be to the consideration corresponding to Acquirer RSUs.</w:t>
      </w:r>
    </w:p>
    <w:p>
      <w:pPr>
        <w:spacing w:after="0" w:line="178" w:lineRule="exact"/>
        <w:rPr>
          <w:sz w:val="20"/>
          <w:szCs w:val="20"/>
          <w:color w:val="auto"/>
        </w:rPr>
      </w:pPr>
    </w:p>
    <w:p>
      <w:pPr>
        <w:jc w:val="both"/>
        <w:ind w:firstLine="1304"/>
        <w:spacing w:after="0" w:line="208" w:lineRule="auto"/>
        <w:tabs>
          <w:tab w:leader="none" w:pos="1827"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Death of Participant</w:t>
      </w:r>
      <w:r>
        <w:rPr>
          <w:rFonts w:ascii="Arial" w:cs="Arial" w:eastAsia="Arial" w:hAnsi="Arial"/>
          <w:sz w:val="22"/>
          <w:szCs w:val="22"/>
          <w:color w:val="auto"/>
        </w:rPr>
        <w:t>. By written notice to the Company’s Secretary, the Participant may designate a beneficiary or beneficiaries to whom any vested RSUs (or, if applicable, Acquirer RSUs) and the Participant’s Cash Account (as defined below) shall be transferred upon the death of the Participant. In the absence of such designation, or if no designated beneficiary survives the Participant, such vested RSUs (or, if applicable, Acquirer RSUs) and the Participant’s Cash Account shall be transferred to the legal representative of the Participant’s estate. No such transfer of the RSUs (or, if applicable, Acquirer RSUs), or the right to convert the Shares corresponding to such RSUs (or, if applicable, shares corresponding to Acquirer RSUs) or the conversion of any portion thereof into Common Stock (or, if applicable, Acquirer shares), shall be effective to bind the Company unless the Company shall have been furnished with (i) written notice thereof, (ii) a copy of the will and/or such evidence as the Company deems necessary to establish the validity of such transfer or right to convert, and (iii) an executed agreement by the transferee, administrator, or executor (as applicable) to (A) comply with all the terms of this Agreement that are or would have been applicable to the Participant and (B) be bound by the acknowledgements made by the Participant in connection with this grant.</w:t>
      </w:r>
    </w:p>
    <w:p>
      <w:pPr>
        <w:spacing w:after="0" w:line="173" w:lineRule="exact"/>
        <w:rPr>
          <w:rFonts w:ascii="Arial" w:cs="Arial" w:eastAsia="Arial" w:hAnsi="Arial"/>
          <w:sz w:val="22"/>
          <w:szCs w:val="22"/>
          <w:color w:val="auto"/>
        </w:rPr>
      </w:pPr>
    </w:p>
    <w:p>
      <w:pPr>
        <w:jc w:val="both"/>
        <w:ind w:firstLine="1304"/>
        <w:spacing w:after="0" w:line="215" w:lineRule="auto"/>
        <w:tabs>
          <w:tab w:leader="none" w:pos="1855"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Settlement Conditioned Upon Satisfaction of Tax Obligations</w:t>
      </w:r>
      <w:r>
        <w:rPr>
          <w:rFonts w:ascii="Arial" w:cs="Arial" w:eastAsia="Arial" w:hAnsi="Arial"/>
          <w:sz w:val="22"/>
          <w:szCs w:val="22"/>
          <w:color w:val="auto"/>
        </w:rPr>
        <w:t>. Notwithstanding the foregoing, the Company’s obligation to deliver any consideration pursuant to this Section 5 shall be subject to, and conditioned upon, satisfaction of the Participant’s obligations relating to the applicable federal, state, local and foreign withholding or other taxes pursuant to Section 9 hereof.</w:t>
      </w:r>
    </w:p>
    <w:p>
      <w:pPr>
        <w:spacing w:after="0" w:line="173" w:lineRule="exact"/>
        <w:rPr>
          <w:rFonts w:ascii="Arial" w:cs="Arial" w:eastAsia="Arial" w:hAnsi="Arial"/>
          <w:sz w:val="22"/>
          <w:szCs w:val="22"/>
          <w:color w:val="auto"/>
        </w:rPr>
      </w:pPr>
    </w:p>
    <w:p>
      <w:pPr>
        <w:ind w:left="1080" w:hanging="424"/>
        <w:spacing w:after="0"/>
        <w:tabs>
          <w:tab w:leader="none" w:pos="108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Rights with Respect to Shares Represented by RSUs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23" w:lineRule="auto"/>
        <w:tabs>
          <w:tab w:leader="none" w:pos="1948"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No Rights as Shareholder until Delivery</w:t>
      </w:r>
      <w:r>
        <w:rPr>
          <w:rFonts w:ascii="Arial" w:cs="Arial" w:eastAsia="Arial" w:hAnsi="Arial"/>
          <w:sz w:val="21"/>
          <w:szCs w:val="21"/>
          <w:color w:val="auto"/>
        </w:rPr>
        <w:t>. Except as otherwise provided in this Section 6,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 and the right to receive all dividends, if any, as may be declared on the Shares from time to time.</w:t>
      </w:r>
    </w:p>
    <w:p>
      <w:pPr>
        <w:spacing w:after="0" w:line="174" w:lineRule="exact"/>
        <w:rPr>
          <w:rFonts w:ascii="Arial" w:cs="Arial" w:eastAsia="Arial" w:hAnsi="Arial"/>
          <w:sz w:val="21"/>
          <w:szCs w:val="21"/>
          <w:color w:val="auto"/>
        </w:rPr>
      </w:pPr>
    </w:p>
    <w:p>
      <w:pPr>
        <w:ind w:left="1800" w:hanging="496"/>
        <w:spacing w:after="0"/>
        <w:tabs>
          <w:tab w:leader="none" w:pos="1800"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952"/>
        <w:spacing w:after="0" w:line="210" w:lineRule="auto"/>
        <w:tabs>
          <w:tab w:leader="none" w:pos="2403" w:val="left"/>
        </w:tabs>
        <w:numPr>
          <w:ilvl w:val="2"/>
          <w:numId w:val="67"/>
        </w:numPr>
        <w:rPr>
          <w:rFonts w:ascii="Arial" w:cs="Arial" w:eastAsia="Arial" w:hAnsi="Arial"/>
          <w:sz w:val="22"/>
          <w:szCs w:val="22"/>
          <w:color w:val="auto"/>
        </w:rPr>
      </w:pPr>
      <w:r>
        <w:rPr>
          <w:rFonts w:ascii="Arial" w:cs="Arial" w:eastAsia="Arial" w:hAnsi="Arial"/>
          <w:sz w:val="22"/>
          <w:szCs w:val="22"/>
          <w:u w:val="single" w:color="auto"/>
          <w:color w:val="auto"/>
        </w:rPr>
        <w:t>Cash Dividends</w:t>
      </w:r>
      <w:r>
        <w:rPr>
          <w:rFonts w:ascii="Arial" w:cs="Arial" w:eastAsia="Arial" w:hAnsi="Arial"/>
          <w:sz w:val="22"/>
          <w:szCs w:val="22"/>
          <w:color w:val="auto"/>
        </w:rPr>
        <w:t>. As of each date on which the Company pays a cash dividend with respect to its Shares, the Company shall credit to a bookkeeping account (the “</w:t>
      </w:r>
      <w:r>
        <w:rPr>
          <w:rFonts w:ascii="Arial" w:cs="Arial" w:eastAsia="Arial" w:hAnsi="Arial"/>
          <w:sz w:val="22"/>
          <w:szCs w:val="22"/>
          <w:b w:val="1"/>
          <w:bCs w:val="1"/>
          <w:i w:val="1"/>
          <w:iCs w:val="1"/>
          <w:color w:val="auto"/>
        </w:rPr>
        <w:t>Cash Account</w:t>
      </w:r>
      <w:r>
        <w:rPr>
          <w:rFonts w:ascii="Arial" w:cs="Arial" w:eastAsia="Arial" w:hAnsi="Arial"/>
          <w:sz w:val="22"/>
          <w:szCs w:val="22"/>
          <w:color w:val="auto"/>
        </w:rPr>
        <w:t>”) for the Participant an amount equal to the cash dividend that would have been payable with respect to the Shares corresponding to the RSUs (or, if applicable, shares corresponding to Acquirer RSUs), excluding any RSUs (or, if applicable, Acquirer RSUs) which have been forfeited, as if those Shares had been issued and outstanding as of the dividend payment date. Upon the vesting of any RSUs (or, if applicable, Acquirer RSUs) hereunder, the Participant shall vest in and have the right to receive that portion of the Cash Account which relates to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6" w:right="339" w:bottom="1440" w:gutter="0" w:footer="0" w:header="0"/>
        </w:sectPr>
      </w:pPr>
    </w:p>
    <w:bookmarkStart w:id="104" w:name="page105"/>
    <w:bookmarkEnd w:id="104"/>
    <w:p>
      <w:pPr>
        <w:jc w:val="both"/>
        <w:spacing w:after="0" w:line="215" w:lineRule="auto"/>
        <w:rPr>
          <w:sz w:val="20"/>
          <w:szCs w:val="20"/>
          <w:color w:val="auto"/>
        </w:rPr>
      </w:pPr>
      <w:r>
        <w:rPr>
          <w:rFonts w:ascii="Arial" w:cs="Arial" w:eastAsia="Arial" w:hAnsi="Arial"/>
          <w:sz w:val="22"/>
          <w:szCs w:val="22"/>
          <w:color w:val="auto"/>
        </w:rPr>
        <w:t>vested RSUs (or, if applicable, Acquirer RSUs). The value of the Participant’s Cash Account shall vest and be distributable to the Participant at the same time as the RSUs (or, if applicable, Acquirer RSUs) vest and the Shares corresponding to the vested RSUs (or, if applicable, consideration corresponding to Acquirer RSUs) are distributed to the Participant.</w:t>
      </w:r>
    </w:p>
    <w:p>
      <w:pPr>
        <w:spacing w:after="0" w:line="174" w:lineRule="exact"/>
        <w:rPr>
          <w:sz w:val="20"/>
          <w:szCs w:val="20"/>
          <w:color w:val="auto"/>
        </w:rPr>
      </w:pPr>
    </w:p>
    <w:p>
      <w:pPr>
        <w:jc w:val="both"/>
        <w:ind w:firstLine="1952"/>
        <w:spacing w:after="0" w:line="213" w:lineRule="auto"/>
        <w:tabs>
          <w:tab w:leader="none" w:pos="2424" w:val="left"/>
        </w:tabs>
        <w:numPr>
          <w:ilvl w:val="3"/>
          <w:numId w:val="68"/>
        </w:numPr>
        <w:rPr>
          <w:rFonts w:ascii="Arial" w:cs="Arial" w:eastAsia="Arial" w:hAnsi="Arial"/>
          <w:sz w:val="22"/>
          <w:szCs w:val="22"/>
          <w:color w:val="auto"/>
        </w:rPr>
      </w:pPr>
      <w:r>
        <w:rPr>
          <w:rFonts w:ascii="Arial" w:cs="Arial" w:eastAsia="Arial" w:hAnsi="Arial"/>
          <w:sz w:val="22"/>
          <w:szCs w:val="22"/>
          <w:u w:val="single" w:color="auto"/>
          <w:color w:val="auto"/>
        </w:rPr>
        <w:t>Stock Dividends</w:t>
      </w:r>
      <w:r>
        <w:rPr>
          <w:rFonts w:ascii="Arial" w:cs="Arial" w:eastAsia="Arial" w:hAnsi="Arial"/>
          <w:sz w:val="22"/>
          <w:szCs w:val="22"/>
          <w:color w:val="auto"/>
        </w:rPr>
        <w:t>. As of each date on which the Company pays a stock dividend with respect to its Shares, the Shares corresponding to the RSUs shall be increased by the stock dividend that would have been payable with respect to the Shares that correspond to the RSUs, and shall be subject to the same vesting requirements as the RSUs to which they relate and, to the extent vested, shall be distributed at the same time as the Shares corresponding to vested RSUs are distributed.</w:t>
      </w:r>
    </w:p>
    <w:p>
      <w:pPr>
        <w:spacing w:after="0" w:line="173" w:lineRule="exact"/>
        <w:rPr>
          <w:rFonts w:ascii="Arial" w:cs="Arial" w:eastAsia="Arial" w:hAnsi="Arial"/>
          <w:sz w:val="22"/>
          <w:szCs w:val="22"/>
          <w:color w:val="auto"/>
        </w:rPr>
      </w:pPr>
    </w:p>
    <w:p>
      <w:pPr>
        <w:ind w:firstLine="656"/>
        <w:spacing w:after="0" w:line="225" w:lineRule="auto"/>
        <w:tabs>
          <w:tab w:leader="none" w:pos="1136"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Transfers</w:t>
      </w:r>
      <w:r>
        <w:rPr>
          <w:rFonts w:ascii="Arial" w:cs="Arial" w:eastAsia="Arial" w:hAnsi="Arial"/>
          <w:sz w:val="22"/>
          <w:szCs w:val="22"/>
          <w:color w:val="auto"/>
        </w:rPr>
        <w:t>. The Participant may not, directly or indirectly, sell, pledge or otherwise transfer any RSUs or Acquirer RSUs or any rights with respect to the Cash Account.</w:t>
      </w:r>
    </w:p>
    <w:p>
      <w:pPr>
        <w:spacing w:after="0" w:line="173" w:lineRule="exact"/>
        <w:rPr>
          <w:rFonts w:ascii="Arial" w:cs="Arial" w:eastAsia="Arial" w:hAnsi="Arial"/>
          <w:sz w:val="22"/>
          <w:szCs w:val="22"/>
          <w:color w:val="auto"/>
        </w:rPr>
      </w:pPr>
    </w:p>
    <w:p>
      <w:pPr>
        <w:jc w:val="both"/>
        <w:ind w:firstLine="656"/>
        <w:spacing w:after="0" w:line="210" w:lineRule="auto"/>
        <w:tabs>
          <w:tab w:leader="none" w:pos="1311"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Registration Statement</w:t>
      </w:r>
      <w:r>
        <w:rPr>
          <w:rFonts w:ascii="Arial" w:cs="Arial" w:eastAsia="Arial" w:hAnsi="Arial"/>
          <w:sz w:val="22"/>
          <w:szCs w:val="22"/>
          <w:color w:val="auto"/>
        </w:rPr>
        <w:t>. The Participant acknowledges and agrees that the Company has filed a Registration Statement on Form S-8 (the “</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under the Securities Act of 1933, as amended (the “</w:t>
      </w:r>
      <w:r>
        <w:rPr>
          <w:rFonts w:ascii="Arial" w:cs="Arial" w:eastAsia="Arial" w:hAnsi="Arial"/>
          <w:sz w:val="22"/>
          <w:szCs w:val="22"/>
          <w:u w:val="single" w:color="auto"/>
          <w:color w:val="auto"/>
        </w:rPr>
        <w:t>1933 Act</w:t>
      </w:r>
      <w:r>
        <w:rPr>
          <w:rFonts w:ascii="Arial" w:cs="Arial" w:eastAsia="Arial" w:hAnsi="Arial"/>
          <w:sz w:val="22"/>
          <w:szCs w:val="22"/>
          <w:color w:val="auto"/>
        </w:rPr>
        <w:t>”), to register the Shares under the 1933 Act. The Participant acknowledges receipt of the Prospectus prepared by the Company in connection with the Registration Statement. Prior to conversion of the RSUs into Shares, the Participant shall execute and deliver to the Company such representations in writing as may be requested by the Company in order for it to comply with the applicable requirements of federal and state or non-U.S. securities law.</w:t>
      </w:r>
    </w:p>
    <w:p>
      <w:pPr>
        <w:spacing w:after="0" w:line="178" w:lineRule="exact"/>
        <w:rPr>
          <w:rFonts w:ascii="Arial" w:cs="Arial" w:eastAsia="Arial" w:hAnsi="Arial"/>
          <w:sz w:val="22"/>
          <w:szCs w:val="22"/>
          <w:color w:val="auto"/>
        </w:rPr>
      </w:pPr>
    </w:p>
    <w:p>
      <w:pPr>
        <w:ind w:left="1080" w:hanging="424"/>
        <w:spacing w:after="0"/>
        <w:tabs>
          <w:tab w:leader="none" w:pos="108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Taxes; Potential Forfeiture</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10" w:lineRule="auto"/>
        <w:tabs>
          <w:tab w:leader="none" w:pos="1800"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Payment of Taxes</w:t>
      </w:r>
      <w:r>
        <w:rPr>
          <w:rFonts w:ascii="Arial" w:cs="Arial" w:eastAsia="Arial" w:hAnsi="Arial"/>
          <w:sz w:val="22"/>
          <w:szCs w:val="22"/>
          <w:color w:val="auto"/>
        </w:rPr>
        <w:t>. On or prior to the date on which any Shares corresponding to any vested RSUs (or, if applicable, consideration corresponding to Acquirer RSUs) are delivered or the Participant’s vested Cash Account is paid, the Participant shall remit to the Company an amount sufficient to satisfy any applicable federal, state, local and foreign withholding or other taxes. No certificate for any Shares corresponding to any RSUs (or, if applicable, consideration corresponding to Acquirer RSUs) that have vested, uncertificated shares or any cash attributable to the Participant’s Cash Account, shall be delivered or paid to the Participant until the foregoing obligation has been satisfied.</w:t>
      </w:r>
    </w:p>
    <w:p>
      <w:pPr>
        <w:spacing w:after="0" w:line="178" w:lineRule="exact"/>
        <w:rPr>
          <w:rFonts w:ascii="Arial" w:cs="Arial" w:eastAsia="Arial" w:hAnsi="Arial"/>
          <w:sz w:val="22"/>
          <w:szCs w:val="22"/>
          <w:color w:val="auto"/>
        </w:rPr>
      </w:pPr>
    </w:p>
    <w:p>
      <w:pPr>
        <w:jc w:val="both"/>
        <w:ind w:firstLine="1354"/>
        <w:spacing w:after="0" w:line="208" w:lineRule="auto"/>
        <w:tabs>
          <w:tab w:leader="none" w:pos="1904" w:val="left"/>
        </w:tabs>
        <w:numPr>
          <w:ilvl w:val="2"/>
          <w:numId w:val="69"/>
        </w:numPr>
        <w:rPr>
          <w:rFonts w:ascii="Arial" w:cs="Arial" w:eastAsia="Arial" w:hAnsi="Arial"/>
          <w:sz w:val="22"/>
          <w:szCs w:val="22"/>
          <w:color w:val="auto"/>
        </w:rPr>
      </w:pPr>
      <w:r>
        <w:rPr>
          <w:rFonts w:ascii="Arial" w:cs="Arial" w:eastAsia="Arial" w:hAnsi="Arial"/>
          <w:sz w:val="22"/>
          <w:szCs w:val="22"/>
          <w:u w:val="single" w:color="auto"/>
          <w:color w:val="auto"/>
        </w:rPr>
        <w:t>Alternative Payment Methods and Company Rights</w:t>
      </w:r>
      <w:r>
        <w:rPr>
          <w:rFonts w:ascii="Arial" w:cs="Arial" w:eastAsia="Arial" w:hAnsi="Arial"/>
          <w:sz w:val="22"/>
          <w:szCs w:val="22"/>
          <w:color w:val="auto"/>
        </w:rPr>
        <w:t>. The Company or Participant may, at its, his or her option, permit the Participant to satisfy his or her obligations under this Section 9, by tendering to the Company a portion of the Shares (or, if applicable, consideration corresponding to Acquirer RSUs) that otherwise would be delivered to the Participant pursuant to the RSU (or, if applicable, Acquirer RSUs) ; provided, however, that, in the event the Participant elects to satisfy his or her obligations by surrendering a portion of such Shares, such election shall be binding on the Company. In the event that the Participant fails to satisfy his or her obligations under this Section 9,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(2) selling all or a portion of the Shares underlying the RSUs (or, if applicable, consideration underlying Acquirer RSUs) in the open market or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6" w:right="339" w:bottom="1440" w:gutter="0" w:footer="0" w:header="0"/>
        </w:sectPr>
      </w:pPr>
    </w:p>
    <w:bookmarkStart w:id="105" w:name="page106"/>
    <w:bookmarkEnd w:id="105"/>
    <w:p>
      <w:pPr>
        <w:jc w:val="both"/>
        <w:spacing w:after="0" w:line="215" w:lineRule="auto"/>
        <w:rPr>
          <w:sz w:val="20"/>
          <w:szCs w:val="20"/>
          <w:color w:val="auto"/>
        </w:rPr>
      </w:pPr>
      <w:r>
        <w:rPr>
          <w:rFonts w:ascii="Arial" w:cs="Arial" w:eastAsia="Arial" w:hAnsi="Arial"/>
          <w:sz w:val="22"/>
          <w:szCs w:val="22"/>
          <w:color w:val="auto"/>
        </w:rPr>
        <w:t>withholding and canceling all or a portion of the Shares corresponding to the vested RSUs (or, if applicable, consideration corresponding to Acquirer RSUs). Any acquisition of Shares corresponding to RSUs (or, if applicable, consideration corresponding to Acquirer RSUs) by the Company as contemplated hereby is expressly approved by the Committee as part of the approval of this Agreement. .</w:t>
      </w:r>
    </w:p>
    <w:p>
      <w:pPr>
        <w:spacing w:after="0" w:line="174" w:lineRule="exact"/>
        <w:rPr>
          <w:sz w:val="20"/>
          <w:szCs w:val="20"/>
          <w:color w:val="auto"/>
        </w:rPr>
      </w:pPr>
    </w:p>
    <w:p>
      <w:pPr>
        <w:jc w:val="both"/>
        <w:ind w:firstLine="1354"/>
        <w:spacing w:after="0" w:line="210" w:lineRule="auto"/>
        <w:tabs>
          <w:tab w:leader="none" w:pos="1838"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Forfeiture for Failure to Pay Taxes</w:t>
      </w:r>
      <w:r>
        <w:rPr>
          <w:rFonts w:ascii="Arial" w:cs="Arial" w:eastAsia="Arial" w:hAnsi="Arial"/>
          <w:sz w:val="22"/>
          <w:szCs w:val="22"/>
          <w:color w:val="auto"/>
        </w:rPr>
        <w:t>. If and to the extent that the Participant fails to satisfy his or her obligations under this Section 9 and the Company does not exercise its right to satisfy those obligations under Section 9(b) hereof with respect to any RSUs (or, if applicable, Acquirer RSUs) or any portion of the vested Cash Account within 30 days after the date on which the Shares corresponding to the vested RSUs (or, if applicable, consideration corresponding to Acquirer RSUs) or vested Cash Account otherwise would be delivered pursuant to Sections 5 and 6(b) hereof, as applicable, the Participant immediately forfeits any rights with respect to the portion of the RSUs (or, if applicable, Acquirer RSUs) or vested Cash Account to which such failure relates.</w:t>
      </w:r>
    </w:p>
    <w:p>
      <w:pPr>
        <w:spacing w:after="0" w:line="178" w:lineRule="exact"/>
        <w:rPr>
          <w:rFonts w:ascii="Arial" w:cs="Arial" w:eastAsia="Arial" w:hAnsi="Arial"/>
          <w:sz w:val="22"/>
          <w:szCs w:val="22"/>
          <w:color w:val="auto"/>
        </w:rPr>
      </w:pPr>
    </w:p>
    <w:p>
      <w:pPr>
        <w:jc w:val="both"/>
        <w:ind w:firstLine="656"/>
        <w:spacing w:after="0" w:line="220" w:lineRule="auto"/>
        <w:tabs>
          <w:tab w:leader="none" w:pos="135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Stock Retention Policy</w:t>
      </w:r>
      <w:r>
        <w:rPr>
          <w:rFonts w:ascii="Arial" w:cs="Arial" w:eastAsia="Arial" w:hAnsi="Arial"/>
          <w:sz w:val="21"/>
          <w:szCs w:val="21"/>
          <w:color w:val="auto"/>
        </w:rPr>
        <w:t>. The Participant understands that the Committee has adopted a policy that requires the Participant to retain ownership of one-half (50%) of the Shares underlying the RSUs acquired by the Participant hereunder (net of the number of Shares that the Company determines to withhold or that the Participant is permitted to tender, in each case, pursuant to Section 9 hereof to satisfy applicable tax withholding requirements), for a period of three (3) years after vesting of such RSUs (or until the Participant’s employment with, and services for, the Company and its Subsidiaries terminates, if earlier). The Participant agrees to comply with such policy and any modifications thereof that may be adopted by the Committee from time to time. Notwithstanding the foregoing, such policy shall not apply following a Change of Control to any Shares acquired by the Participant hereunder.</w:t>
      </w:r>
    </w:p>
    <w:p>
      <w:pPr>
        <w:spacing w:after="0" w:line="173" w:lineRule="exact"/>
        <w:rPr>
          <w:rFonts w:ascii="Arial" w:cs="Arial" w:eastAsia="Arial" w:hAnsi="Arial"/>
          <w:sz w:val="21"/>
          <w:szCs w:val="21"/>
          <w:color w:val="auto"/>
        </w:rPr>
      </w:pPr>
    </w:p>
    <w:p>
      <w:pPr>
        <w:jc w:val="both"/>
        <w:ind w:firstLine="656"/>
        <w:spacing w:after="0" w:line="213" w:lineRule="auto"/>
        <w:tabs>
          <w:tab w:leader="none" w:pos="1062"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Stock Ownership Policy</w:t>
      </w:r>
      <w:r>
        <w:rPr>
          <w:rFonts w:ascii="Arial" w:cs="Arial" w:eastAsia="Arial" w:hAnsi="Arial"/>
          <w:sz w:val="22"/>
          <w:szCs w:val="22"/>
          <w:color w:val="auto"/>
        </w:rPr>
        <w:t>. The Participant understands that the Committee has adopted a policy that requires the Participant to own a multiple of the Participant’s base salary, determined by leadership level, in Shares. The Participant agrees to comply with such policy and any modifications thereof that may be adopted by the Committee from time to time. Notwithstanding the foregoing, such policy shall not apply following a Change of Control.</w:t>
      </w:r>
    </w:p>
    <w:p>
      <w:pPr>
        <w:spacing w:after="0" w:line="173" w:lineRule="exact"/>
        <w:rPr>
          <w:rFonts w:ascii="Arial" w:cs="Arial" w:eastAsia="Arial" w:hAnsi="Arial"/>
          <w:sz w:val="22"/>
          <w:szCs w:val="22"/>
          <w:color w:val="auto"/>
        </w:rPr>
      </w:pPr>
    </w:p>
    <w:p>
      <w:pPr>
        <w:jc w:val="both"/>
        <w:ind w:firstLine="656"/>
        <w:spacing w:after="0" w:line="210" w:lineRule="auto"/>
        <w:tabs>
          <w:tab w:leader="none" w:pos="1391"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No Effect on Employment</w:t>
      </w:r>
      <w:r>
        <w:rPr>
          <w:rFonts w:ascii="Arial" w:cs="Arial" w:eastAsia="Arial" w:hAnsi="Arial"/>
          <w:sz w:val="22"/>
          <w:szCs w:val="22"/>
          <w:color w:val="auto"/>
        </w:rPr>
        <w:t>. Except as otherwise provided in any employment agreement with the Participant, if any, the Participant’s employment with the Company and any Subsidiary is on an at- or will basis only. Accordingly, subject to the terms of any such employment agreement,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173" w:lineRule="exact"/>
        <w:rPr>
          <w:rFonts w:ascii="Arial" w:cs="Arial" w:eastAsia="Arial" w:hAnsi="Arial"/>
          <w:sz w:val="22"/>
          <w:szCs w:val="22"/>
          <w:color w:val="auto"/>
        </w:rPr>
      </w:pPr>
    </w:p>
    <w:p>
      <w:pPr>
        <w:jc w:val="both"/>
        <w:ind w:firstLine="656"/>
        <w:spacing w:after="0" w:line="218" w:lineRule="auto"/>
        <w:tabs>
          <w:tab w:leader="none" w:pos="1431"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6" w:right="339" w:bottom="1440" w:gutter="0" w:footer="0" w:header="0"/>
        </w:sectPr>
      </w:pPr>
    </w:p>
    <w:bookmarkStart w:id="106" w:name="page107"/>
    <w:bookmarkEnd w:id="106"/>
    <w:p>
      <w:pPr>
        <w:ind w:right="20" w:firstLine="656"/>
        <w:spacing w:after="0" w:line="225" w:lineRule="auto"/>
        <w:tabs>
          <w:tab w:leader="none" w:pos="1188"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Binding Agreement</w:t>
      </w:r>
      <w:r>
        <w:rPr>
          <w:rFonts w:ascii="Arial" w:cs="Arial" w:eastAsia="Arial" w:hAnsi="Arial"/>
          <w:sz w:val="22"/>
          <w:szCs w:val="22"/>
          <w:color w:val="auto"/>
        </w:rPr>
        <w:t>. This Agreement shall be binding upon and inure to the benefit of the heirs, legatees, legal representatives, successors and assigns of the parties hereto.</w:t>
      </w:r>
    </w:p>
    <w:p>
      <w:pPr>
        <w:spacing w:after="0" w:line="173" w:lineRule="exact"/>
        <w:rPr>
          <w:rFonts w:ascii="Arial" w:cs="Arial" w:eastAsia="Arial" w:hAnsi="Arial"/>
          <w:sz w:val="22"/>
          <w:szCs w:val="22"/>
          <w:color w:val="auto"/>
        </w:rPr>
      </w:pPr>
    </w:p>
    <w:p>
      <w:pPr>
        <w:jc w:val="both"/>
        <w:ind w:firstLine="656"/>
        <w:spacing w:after="0" w:line="218" w:lineRule="auto"/>
        <w:tabs>
          <w:tab w:leader="none" w:pos="1215"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Plan Governs</w:t>
      </w:r>
      <w:r>
        <w:rPr>
          <w:rFonts w:ascii="Arial" w:cs="Arial" w:eastAsia="Arial" w:hAnsi="Arial"/>
          <w:sz w:val="22"/>
          <w:szCs w:val="22"/>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174" w:lineRule="exact"/>
        <w:rPr>
          <w:rFonts w:ascii="Arial" w:cs="Arial" w:eastAsia="Arial" w:hAnsi="Arial"/>
          <w:sz w:val="22"/>
          <w:szCs w:val="22"/>
          <w:color w:val="auto"/>
        </w:rPr>
      </w:pPr>
    </w:p>
    <w:p>
      <w:pPr>
        <w:jc w:val="both"/>
        <w:ind w:firstLine="656"/>
        <w:spacing w:after="0" w:line="209" w:lineRule="auto"/>
        <w:tabs>
          <w:tab w:leader="none" w:pos="1418"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Governing Law/Jurisdiction</w:t>
      </w:r>
      <w:r>
        <w:rPr>
          <w:rFonts w:ascii="Arial" w:cs="Arial" w:eastAsia="Arial" w:hAnsi="Arial"/>
          <w:sz w:val="22"/>
          <w:szCs w:val="22"/>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177" w:lineRule="exact"/>
        <w:rPr>
          <w:rFonts w:ascii="Arial" w:cs="Arial" w:eastAsia="Arial" w:hAnsi="Arial"/>
          <w:sz w:val="22"/>
          <w:szCs w:val="22"/>
          <w:color w:val="auto"/>
        </w:rPr>
      </w:pPr>
    </w:p>
    <w:p>
      <w:pPr>
        <w:jc w:val="both"/>
        <w:ind w:firstLine="656"/>
        <w:spacing w:after="0" w:line="210" w:lineRule="auto"/>
        <w:tabs>
          <w:tab w:leader="none" w:pos="1391"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Committee (and, upon delegation by the Committee, the Company)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(or, if applicable, the Company) in good faith shall be final and binding upon the Participant, the Company and all other interested persons, and shall be given the maximum deference permitted by law. No member of the Committee (or, if applicable, officer of the Company) shall be personally liable for any action, determination or interpretation made in good faith with respect to the Plan or this Agreement.</w:t>
      </w:r>
    </w:p>
    <w:p>
      <w:pPr>
        <w:spacing w:after="0" w:line="173" w:lineRule="exact"/>
        <w:rPr>
          <w:rFonts w:ascii="Arial" w:cs="Arial" w:eastAsia="Arial" w:hAnsi="Arial"/>
          <w:sz w:val="22"/>
          <w:szCs w:val="22"/>
          <w:color w:val="auto"/>
        </w:rPr>
      </w:pPr>
    </w:p>
    <w:p>
      <w:pPr>
        <w:ind w:right="20" w:firstLine="656"/>
        <w:spacing w:after="0" w:line="225" w:lineRule="auto"/>
        <w:tabs>
          <w:tab w:leader="none" w:pos="1215"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The captions provided herein are for convenience only and are not to serve as a basis for the interpretation or construction of this Agreement.</w:t>
      </w:r>
    </w:p>
    <w:p>
      <w:pPr>
        <w:spacing w:after="0" w:line="173" w:lineRule="exact"/>
        <w:rPr>
          <w:rFonts w:ascii="Arial" w:cs="Arial" w:eastAsia="Arial" w:hAnsi="Arial"/>
          <w:sz w:val="22"/>
          <w:szCs w:val="22"/>
          <w:color w:val="auto"/>
        </w:rPr>
      </w:pPr>
    </w:p>
    <w:p>
      <w:pPr>
        <w:jc w:val="both"/>
        <w:ind w:firstLine="656"/>
        <w:spacing w:after="0" w:line="218" w:lineRule="auto"/>
        <w:tabs>
          <w:tab w:leader="none" w:pos="1391"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74" w:lineRule="exact"/>
        <w:rPr>
          <w:rFonts w:ascii="Arial" w:cs="Arial" w:eastAsia="Arial" w:hAnsi="Arial"/>
          <w:sz w:val="22"/>
          <w:szCs w:val="22"/>
          <w:color w:val="auto"/>
        </w:rPr>
      </w:pPr>
    </w:p>
    <w:p>
      <w:pPr>
        <w:jc w:val="both"/>
        <w:ind w:firstLine="656"/>
        <w:spacing w:after="0" w:line="218" w:lineRule="auto"/>
        <w:tabs>
          <w:tab w:leader="none" w:pos="1364"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 This Agreement may be executed and delivered by facsimile or other electronic signature and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6" w:right="339" w:bottom="1440" w:gutter="0" w:footer="0" w:header="0"/>
        </w:sectPr>
      </w:pPr>
    </w:p>
    <w:bookmarkStart w:id="107" w:name="page108"/>
    <w:bookmarkEnd w:id="107"/>
    <w:p>
      <w:pPr>
        <w:ind w:left="1200" w:hanging="544"/>
        <w:spacing w:after="0"/>
        <w:tabs>
          <w:tab w:leader="none" w:pos="1200"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10" w:lineRule="auto"/>
        <w:tabs>
          <w:tab w:leader="none" w:pos="1894" w:val="left"/>
        </w:tabs>
        <w:numPr>
          <w:ilvl w:val="3"/>
          <w:numId w:val="73"/>
        </w:numPr>
        <w:rPr>
          <w:rFonts w:ascii="Arial" w:cs="Arial" w:eastAsia="Arial" w:hAnsi="Arial"/>
          <w:sz w:val="22"/>
          <w:szCs w:val="22"/>
          <w:color w:val="auto"/>
        </w:rPr>
      </w:pPr>
      <w:r>
        <w:rPr>
          <w:rFonts w:ascii="Arial" w:cs="Arial" w:eastAsia="Arial" w:hAnsi="Arial"/>
          <w:sz w:val="22"/>
          <w:szCs w:val="22"/>
          <w:color w:val="auto"/>
        </w:rPr>
        <w:t>If and to the extent that the Company believes that the RSUs (including, if applicable, Acquirer RSUs) or rights to the Cash Account may constitute a “nonqualified deferred compensation plan” under Section 409A, the terms and conditions set forth in this Agreement (and/or the provisions of the Plan applicable thereto) shall be interpreted in a manner consistent with the applicable requirements of Section 409A, and the Company, in its sole discretion and without the consent of the Participant, may amend this Agreement (and the provisions of the Plan applicable thereto) if and to the extent that the Company determines necessary or appropriate to comply with applicable requirements of Section 409A.</w:t>
      </w:r>
    </w:p>
    <w:p>
      <w:pPr>
        <w:spacing w:after="0" w:line="178" w:lineRule="exact"/>
        <w:rPr>
          <w:rFonts w:ascii="Arial" w:cs="Arial" w:eastAsia="Arial" w:hAnsi="Arial"/>
          <w:sz w:val="22"/>
          <w:szCs w:val="22"/>
          <w:color w:val="auto"/>
        </w:rPr>
      </w:pPr>
    </w:p>
    <w:p>
      <w:pPr>
        <w:ind w:left="1800" w:hanging="496"/>
        <w:spacing w:after="0"/>
        <w:tabs>
          <w:tab w:leader="none" w:pos="1800" w:val="left"/>
        </w:tabs>
        <w:numPr>
          <w:ilvl w:val="3"/>
          <w:numId w:val="73"/>
        </w:numPr>
        <w:rPr>
          <w:rFonts w:ascii="Arial" w:cs="Arial" w:eastAsia="Arial" w:hAnsi="Arial"/>
          <w:sz w:val="22"/>
          <w:szCs w:val="22"/>
          <w:color w:val="auto"/>
        </w:rPr>
      </w:pPr>
      <w:r>
        <w:rPr>
          <w:rFonts w:ascii="Arial" w:cs="Arial" w:eastAsia="Arial" w:hAnsi="Arial"/>
          <w:sz w:val="22"/>
          <w:szCs w:val="22"/>
          <w:color w:val="auto"/>
        </w:rPr>
        <w:t>If and to the extent required to comply with Section 409A:</w:t>
      </w:r>
    </w:p>
    <w:p>
      <w:pPr>
        <w:spacing w:after="0" w:line="179" w:lineRule="exact"/>
        <w:rPr>
          <w:rFonts w:ascii="Arial" w:cs="Arial" w:eastAsia="Arial" w:hAnsi="Arial"/>
          <w:sz w:val="22"/>
          <w:szCs w:val="22"/>
          <w:color w:val="auto"/>
        </w:rPr>
      </w:pPr>
    </w:p>
    <w:p>
      <w:pPr>
        <w:jc w:val="both"/>
        <w:ind w:firstLine="840"/>
        <w:spacing w:after="0" w:line="214" w:lineRule="auto"/>
        <w:tabs>
          <w:tab w:leader="none" w:pos="1301" w:val="left"/>
        </w:tabs>
        <w:numPr>
          <w:ilvl w:val="2"/>
          <w:numId w:val="73"/>
        </w:numPr>
        <w:rPr>
          <w:rFonts w:ascii="Arial" w:cs="Arial" w:eastAsia="Arial" w:hAnsi="Arial"/>
          <w:sz w:val="21"/>
          <w:szCs w:val="21"/>
          <w:color w:val="auto"/>
        </w:rPr>
      </w:pPr>
      <w:r>
        <w:rPr>
          <w:rFonts w:ascii="Arial" w:cs="Arial" w:eastAsia="Arial" w:hAnsi="Arial"/>
          <w:sz w:val="21"/>
          <w:szCs w:val="21"/>
          <w:color w:val="auto"/>
        </w:rPr>
        <w:t>Payments or delivery of Shares (or, if applicable, consideration in respect of Acquirer RSUs) or cash in respect of the Participant’s Cash Account under this Agreement may not be made earlier than (u) the Participant’s “separation from service”, (v) the date the Participant becomes “disabled”, (w) the Participant’s death, (x) a “specified time (or pursuant to a fixed schedule)” specified in this Agreement at the date of the deferral of such compensation or</w:t>
      </w:r>
    </w:p>
    <w:p>
      <w:pPr>
        <w:spacing w:after="0" w:line="2" w:lineRule="exact"/>
        <w:rPr>
          <w:rFonts w:ascii="Arial" w:cs="Arial" w:eastAsia="Arial" w:hAnsi="Arial"/>
          <w:sz w:val="21"/>
          <w:szCs w:val="21"/>
          <w:color w:val="auto"/>
        </w:rPr>
      </w:pPr>
    </w:p>
    <w:p>
      <w:pPr>
        <w:ind w:right="20" w:firstLine="8"/>
        <w:spacing w:after="0" w:line="225" w:lineRule="auto"/>
        <w:tabs>
          <w:tab w:leader="none" w:pos="321" w:val="left"/>
        </w:tabs>
        <w:numPr>
          <w:ilvl w:val="0"/>
          <w:numId w:val="74"/>
        </w:numPr>
        <w:rPr>
          <w:rFonts w:ascii="Arial" w:cs="Arial" w:eastAsia="Arial" w:hAnsi="Arial"/>
          <w:sz w:val="22"/>
          <w:szCs w:val="22"/>
          <w:color w:val="auto"/>
        </w:rPr>
      </w:pPr>
      <w:r>
        <w:rPr>
          <w:rFonts w:ascii="Arial" w:cs="Arial" w:eastAsia="Arial" w:hAnsi="Arial"/>
          <w:sz w:val="22"/>
          <w:szCs w:val="22"/>
          <w:color w:val="auto"/>
        </w:rPr>
        <w:t>a “change in the ownership or effective control” of the corporation, or in the “ownership of a substantial portion of the assets” of the corporation;</w:t>
      </w:r>
    </w:p>
    <w:p>
      <w:pPr>
        <w:spacing w:after="0" w:line="174" w:lineRule="exact"/>
        <w:rPr>
          <w:sz w:val="20"/>
          <w:szCs w:val="20"/>
          <w:color w:val="auto"/>
        </w:rPr>
      </w:pPr>
    </w:p>
    <w:p>
      <w:pPr>
        <w:jc w:val="both"/>
        <w:ind w:firstLine="814"/>
        <w:spacing w:after="0" w:line="218" w:lineRule="auto"/>
        <w:tabs>
          <w:tab w:leader="none" w:pos="1311"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174" w:lineRule="exact"/>
        <w:rPr>
          <w:rFonts w:ascii="Arial" w:cs="Arial" w:eastAsia="Arial" w:hAnsi="Arial"/>
          <w:sz w:val="22"/>
          <w:szCs w:val="22"/>
          <w:color w:val="auto"/>
        </w:rPr>
      </w:pPr>
    </w:p>
    <w:p>
      <w:pPr>
        <w:jc w:val="both"/>
        <w:ind w:firstLine="2028"/>
        <w:spacing w:after="0" w:line="218" w:lineRule="auto"/>
        <w:tabs>
          <w:tab w:leader="none" w:pos="25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If the Participant is a “specified employee”, a distribution on account of a “separation from service” may not be made before the date which is six months after the date of the Participant’s “separation from service” (or, if earlier, the date of the Participant’s death).</w:t>
      </w:r>
    </w:p>
    <w:p>
      <w:pPr>
        <w:spacing w:after="0" w:line="175"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For purposes of the foregoing, the terms in quotations shall have the same meanings as those terms have for purposes of Section 409A, and the limitations set forth herein shall be applied in such manner (and only to the extent) as shall be necessary to comply with any requirements of Section 409A that are applicable to this Agreement.</w:t>
      </w:r>
    </w:p>
    <w:p>
      <w:pPr>
        <w:spacing w:after="0" w:line="173" w:lineRule="exact"/>
        <w:rPr>
          <w:sz w:val="20"/>
          <w:szCs w:val="20"/>
          <w:color w:val="auto"/>
        </w:rPr>
      </w:pPr>
    </w:p>
    <w:p>
      <w:pPr>
        <w:jc w:val="both"/>
        <w:ind w:firstLine="534"/>
        <w:spacing w:after="0" w:line="210" w:lineRule="auto"/>
        <w:tabs>
          <w:tab w:leader="none" w:pos="1041"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178" w:lineRule="exact"/>
        <w:rPr>
          <w:rFonts w:ascii="Arial" w:cs="Arial" w:eastAsia="Arial" w:hAnsi="Arial"/>
          <w:sz w:val="22"/>
          <w:szCs w:val="22"/>
          <w:color w:val="auto"/>
        </w:rPr>
      </w:pPr>
    </w:p>
    <w:p>
      <w:pPr>
        <w:jc w:val="both"/>
        <w:ind w:firstLine="656"/>
        <w:spacing w:after="0" w:line="215" w:lineRule="auto"/>
        <w:tabs>
          <w:tab w:leader="none" w:pos="1215"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Unfunded Agreement</w:t>
      </w:r>
      <w:r>
        <w:rPr>
          <w:rFonts w:ascii="Arial" w:cs="Arial" w:eastAsia="Arial" w:hAnsi="Arial"/>
          <w:sz w:val="22"/>
          <w:szCs w:val="22"/>
          <w:color w:val="auto"/>
        </w:rPr>
        <w:t>. The rights of the Participant under this Agreement with respect to the Company’s obligation to distribute Shares corresponding to vested RSUs (or, if applicable, consideration corresponding to Acquirer RSUs) and the value of the Participant’s vested Cash Account, if any, shall be unfunded and shall not be greater than the rights of an unsecured general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6" w:right="339" w:bottom="1440" w:gutter="0" w:footer="0" w:header="0"/>
        </w:sectPr>
      </w:pPr>
    </w:p>
    <w:bookmarkStart w:id="108" w:name="page109"/>
    <w:bookmarkEnd w:id="108"/>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 Follows]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9019"/>
          </w:cols>
          <w:pgMar w:left="1440" w:top="1440" w:right="1440"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have executed this Agreement as of the Grant Date.</w:t>
      </w:r>
    </w:p>
    <w:p>
      <w:pPr>
        <w:sectPr>
          <w:pgSz w:w="11900" w:h="16838" w:orient="portrait"/>
          <w:cols w:equalWidth="0" w:num="1">
            <w:col w:w="9459"/>
          </w:cols>
          <w:pgMar w:left="1000" w:top="1390" w:right="1440" w:bottom="1440" w:gutter="0" w:footer="0" w:header="0"/>
        </w:sectPr>
      </w:pPr>
    </w:p>
    <w:p>
      <w:pPr>
        <w:spacing w:after="0" w:line="191" w:lineRule="exact"/>
        <w:rPr>
          <w:sz w:val="20"/>
          <w:szCs w:val="20"/>
          <w:color w:val="auto"/>
        </w:rPr>
      </w:pPr>
    </w:p>
    <w:p>
      <w:pPr>
        <w:ind w:left="1920"/>
        <w:spacing w:after="0"/>
        <w:rPr>
          <w:sz w:val="20"/>
          <w:szCs w:val="20"/>
          <w:color w:val="auto"/>
        </w:rPr>
      </w:pPr>
      <w:r>
        <w:rPr>
          <w:rFonts w:ascii="Arial" w:cs="Arial" w:eastAsia="Arial" w:hAnsi="Arial"/>
          <w:sz w:val="21"/>
          <w:szCs w:val="21"/>
          <w:b w:val="1"/>
          <w:bCs w:val="1"/>
          <w:u w:val="single" w:color="auto"/>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By: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60"/>
        <w:spacing w:after="0"/>
        <w:rPr>
          <w:sz w:val="20"/>
          <w:szCs w:val="20"/>
          <w:color w:val="auto"/>
        </w:rPr>
      </w:pPr>
      <w:r>
        <w:rPr>
          <w:rFonts w:ascii="Arial" w:cs="Arial" w:eastAsia="Arial" w:hAnsi="Arial"/>
          <w:sz w:val="22"/>
          <w:szCs w:val="22"/>
          <w:b w:val="1"/>
          <w:bCs w:val="1"/>
          <w:u w:val="single" w:color="auto"/>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-27305</wp:posOffset>
            </wp:positionV>
            <wp:extent cx="9144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159"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1618615</wp:posOffset>
            </wp:positionH>
            <wp:positionV relativeFrom="paragraph">
              <wp:posOffset>-27305</wp:posOffset>
            </wp:positionV>
            <wp:extent cx="9144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459"/>
          </w:cols>
          <w:pgMar w:left="1000" w:top="1390" w:right="1440" w:bottom="1440" w:gutter="0" w:footer="0" w:header="0"/>
          <w:type w:val="continuous"/>
        </w:sectPr>
      </w:pPr>
    </w:p>
    <w:bookmarkStart w:id="110" w:name="page111"/>
    <w:bookmarkEnd w:id="110"/>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9019"/>
          </w:cols>
          <w:pgMar w:left="1440" w:top="1390"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shd w:val="clear" w:color="auto" w:fill="C0C0C0"/>
          </w:tcPr>
          <w:p>
            <w:pPr>
              <w:ind w:left="20"/>
              <w:spacing w:after="0"/>
              <w:rPr>
                <w:sz w:val="20"/>
                <w:szCs w:val="20"/>
                <w:color w:val="auto"/>
              </w:rPr>
            </w:pPr>
            <w:r>
              <w:rPr>
                <w:rFonts w:ascii="Arial" w:cs="Arial" w:eastAsia="Arial" w:hAnsi="Arial"/>
                <w:sz w:val="18"/>
                <w:szCs w:val="18"/>
                <w:color w:val="auto"/>
              </w:rPr>
              <w:t>Company Name</w:t>
            </w:r>
          </w:p>
        </w:tc>
        <w:tc>
          <w:tcPr>
            <w:tcW w:w="5220" w:type="dxa"/>
            <w:vAlign w:val="bottom"/>
            <w:shd w:val="clear" w:color="auto" w:fill="C0C0C0"/>
          </w:tcPr>
          <w:p>
            <w:pPr>
              <w:ind w:left="1840"/>
              <w:spacing w:after="0"/>
              <w:rPr>
                <w:sz w:val="20"/>
                <w:szCs w:val="20"/>
                <w:color w:val="auto"/>
              </w:rPr>
            </w:pPr>
            <w:r>
              <w:rPr>
                <w:rFonts w:ascii="Arial" w:cs="Arial" w:eastAsia="Arial" w:hAnsi="Arial"/>
                <w:sz w:val="18"/>
                <w:szCs w:val="18"/>
                <w:color w:val="auto"/>
              </w:rPr>
              <w:t>Country</w:t>
            </w:r>
          </w:p>
        </w:tc>
      </w:tr>
      <w:tr>
        <w:trPr>
          <w:trHeight w:val="213"/>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Advance Petroleum,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AHT Services,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Air Petro Corp.</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Alta Fuels,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Alta Transportation,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Altitude Ventures Holding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Amelia Holding AB</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Sweden</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Amsterdam Software B.V.</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Netherlands</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Ascent Aviation Group,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Associated Petroleum Products,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AVCARD Holding Company (BVI) Ltd.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Virgin Islands, British</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AVCARD Services (BVI), Ltd.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Virgin Islands, British</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Avinode Aktiebolag</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Sweden</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Avinode Group AB</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Sweden</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Avinode,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Baseops International,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Casa Petro, S.R.L.</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Costa Rica</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Chrome Club, Inc.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Aviation Holdings,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das Américas Serviços de Aviação Ltda.</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Brazil</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Europe SARL</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Switzerland</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International,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Colt Risk Management Services,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Ecuacentair Cia. Ltda.</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Ecuador</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Energie-Tankdienstgesellschaft Bremen mbH</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Germany</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Falmouth Petroleum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Energy Group,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Energy,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Properties,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Flyers Transportation,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Gib Oil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Gibraltar</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Hellenic Aviation Fuel Company S.A.</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Greece</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Henty Oil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Henty Shipping Services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Consulting, LLC</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Denmark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Denmark</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France Sarl</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France</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Germany GmbH</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Germany</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Green Services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Hungary Kft</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Hungary</w:t>
            </w:r>
          </w:p>
        </w:tc>
      </w:tr>
      <w:tr>
        <w:trPr>
          <w:trHeight w:val="210"/>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Markets AS</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Norway</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Netherlands B.V.</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Netherlands</w:t>
            </w:r>
          </w:p>
        </w:tc>
      </w:tr>
      <w:tr>
        <w:trPr>
          <w:trHeight w:val="209"/>
        </w:trPr>
        <w:tc>
          <w:tcPr>
            <w:tcW w:w="60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Pty Limited</w:t>
            </w:r>
          </w:p>
        </w:tc>
        <w:tc>
          <w:tcPr>
            <w:tcW w:w="5220" w:type="dxa"/>
            <w:vAlign w:val="bottom"/>
            <w:tcBorders>
              <w:bottom w:val="single" w:sz="8" w:color="C0C0C0"/>
            </w:tcBorders>
          </w:tcPr>
          <w:p>
            <w:pPr>
              <w:ind w:left="1840"/>
              <w:spacing w:after="0"/>
              <w:rPr>
                <w:sz w:val="20"/>
                <w:szCs w:val="20"/>
                <w:color w:val="auto"/>
              </w:rPr>
            </w:pPr>
            <w:r>
              <w:rPr>
                <w:rFonts w:ascii="Arial" w:cs="Arial" w:eastAsia="Arial" w:hAnsi="Arial"/>
                <w:sz w:val="16"/>
                <w:szCs w:val="16"/>
                <w:color w:val="auto"/>
              </w:rPr>
              <w:t>Australia</w:t>
            </w:r>
          </w:p>
        </w:tc>
      </w:tr>
    </w:tbl>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Kinect Energy Spot AS</w:t>
            </w:r>
          </w:p>
        </w:tc>
        <w:tc>
          <w:tcPr>
            <w:tcW w:w="4480" w:type="dxa"/>
            <w:vAlign w:val="bottom"/>
            <w:tcBorders>
              <w:top w:val="single" w:sz="8" w:color="C0C0C0"/>
              <w:bottom w:val="single" w:sz="8" w:color="C0C0C0"/>
            </w:tcBorders>
          </w:tcPr>
          <w:p>
            <w:pPr>
              <w:ind w:left="1100"/>
              <w:spacing w:after="0"/>
              <w:rPr>
                <w:sz w:val="20"/>
                <w:szCs w:val="20"/>
                <w:color w:val="auto"/>
              </w:rPr>
            </w:pPr>
            <w:r>
              <w:rPr>
                <w:rFonts w:ascii="Arial" w:cs="Arial" w:eastAsia="Arial" w:hAnsi="Arial"/>
                <w:sz w:val="16"/>
                <w:szCs w:val="16"/>
                <w:color w:val="auto"/>
              </w:rPr>
              <w:t>Norway</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Sweden AB</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Sweden</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UK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Kinect Energy,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States</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LFO Holdings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Linton Fuel Oils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MH Aviation Services (Pty) Ltd.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South Africa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Nature Port Reception Facilities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Gibraltar</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NCS Fuel IQ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NCS UK Holding Co.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NCS US,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States</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ApS</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Denmark</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B.V.</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Netherlands</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Nordic Camp Supply Estonia OÜ</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Estonia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Norse Bunker AS</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Norway</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Oil Shipping (Bunkering) B.V.</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Netherlands</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Orchard (Holdings) UK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Orchard Energy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PAPCO,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States</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PAX Distribution, LLC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States</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PayNode AB</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Sweden</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Paynode, LLC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States</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Petro Air, Corp.</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Puerto Rico</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PetroServicios de Costa Rica,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Costa Rica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PT Oil Shipping Trans Indonesia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Indonesia</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PT Servicios de Guatemala,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Guatemala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Redline Oil Services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Resource Recovery of America,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States</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Schedaero AB</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Sweden</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SchedAero, Inc.</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States</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Auxiliares de México, Sociedad de Responsabilidad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Mexico</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de Combustible Atlanticos, S.R.L (aka Atlantic Fuel Services,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Costa Rica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Ecuatorianos de Energia-Secsa CIA. LTDA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Ecuador</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Servicios WFSE Ecuador C.L.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Ecuador</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Tamlyn Shipping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Tank and Marine Engineering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The Hiller Group Incorporated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States</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The Lubricant Company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Tobras Distribuidora de Combustíveis Ltda.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Brazil</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Group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Holdings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&amp; Marine (Argentina)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Argentina</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&amp; Marine (Chile) Limitada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Chile</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&amp; Marine Limited</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United Kingdom</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(Brasil) Ltda.</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Brazil</w:t>
            </w:r>
          </w:p>
        </w:tc>
      </w:tr>
      <w:tr>
        <w:trPr>
          <w:trHeight w:val="210"/>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Tramp Oil Germany GmbH</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Germany</w:t>
            </w:r>
          </w:p>
        </w:tc>
      </w:tr>
      <w:tr>
        <w:trPr>
          <w:trHeight w:val="209"/>
        </w:trPr>
        <w:tc>
          <w:tcPr>
            <w:tcW w:w="67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Trans-Tec International S.R.L. (Trans-Tec Mundial S.R.L.)</w:t>
            </w:r>
          </w:p>
        </w:tc>
        <w:tc>
          <w:tcPr>
            <w:tcW w:w="4480" w:type="dxa"/>
            <w:vAlign w:val="bottom"/>
            <w:tcBorders>
              <w:bottom w:val="single" w:sz="8" w:color="C0C0C0"/>
            </w:tcBorders>
          </w:tcPr>
          <w:p>
            <w:pPr>
              <w:ind w:left="1100"/>
              <w:spacing w:after="0"/>
              <w:rPr>
                <w:sz w:val="20"/>
                <w:szCs w:val="20"/>
                <w:color w:val="auto"/>
              </w:rPr>
            </w:pPr>
            <w:r>
              <w:rPr>
                <w:rFonts w:ascii="Arial" w:cs="Arial" w:eastAsia="Arial" w:hAnsi="Arial"/>
                <w:sz w:val="16"/>
                <w:szCs w:val="16"/>
                <w:color w:val="auto"/>
              </w:rPr>
              <w:t>Costa Rica</w:t>
            </w:r>
          </w:p>
        </w:tc>
      </w:tr>
    </w:tbl>
    <w:p>
      <w:pPr>
        <w:sectPr>
          <w:pgSz w:w="11900" w:h="16838" w:orient="portrait"/>
          <w:cols w:equalWidth="0" w:num="1">
            <w:col w:w="11240"/>
          </w:cols>
          <w:pgMar w:left="320" w:top="863"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U.S. Energy Engineering, Inc.</w:t>
            </w:r>
          </w:p>
        </w:tc>
        <w:tc>
          <w:tcPr>
            <w:tcW w:w="4920" w:type="dxa"/>
            <w:vAlign w:val="bottom"/>
            <w:tcBorders>
              <w:top w:val="single" w:sz="8" w:color="C0C0C0"/>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UVAIR European Fuelling Services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Ireland</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Western Aviation Products LLC</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Western Energetix, LLC</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Western Petroleum Company</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 Aviation Services SAS</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France</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 Lubricants S.L.</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Spain</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WFL (UK)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Kingdom</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WFL MOZAMBIQUE, LDA</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Mozambique</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&amp; J Company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Japan</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(Guam)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Guam</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Agencia de Naves, Limitada</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Chile</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Commercial Consulting (Shanghai) Co., Ltd.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China</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Danish Holding Company I ApS</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Denmark</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Danish Holding Partnership K/S</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Denmark</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Netherlands Holding B.V.</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Netherlands</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Tramp Brazil Holding Company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Kingdom</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Finance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Kingdom</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II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Kingdom</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III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Kingdom</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Company IV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Kingdom</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Partnership II LP</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Kingdom</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Partnership III LP</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Kingdom</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UK Holding Partnership LP</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Kingdom</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 LLC</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II LLC</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III LLC</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IV, LLC</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IX, LLC</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 LLC</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VII, LLC</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VIII, LLC</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WFS US Holding Company X, LLC</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Capital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Kingdom</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I</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Cayman Islands</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IV</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Cayman Islands</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Cayman Holding Company V</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Cayman Islands</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Commodities Services (Ireland)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Ireland</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CX LLC</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States</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Gas and Power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Kingdom</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International S.R.L. (Petromundo Internacional, S.R.L.)</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Costa Rica</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PG Trading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United Kingdom</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(Australia) Pty Ltd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Australia</w:t>
            </w:r>
          </w:p>
        </w:tc>
      </w:tr>
      <w:tr>
        <w:trPr>
          <w:trHeight w:val="209"/>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(Bahamas) LLC</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Bahamas</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(Costa Rica) Limitada</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Costa Rica</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(Denmark) ApS</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Denmark</w:t>
            </w:r>
          </w:p>
        </w:tc>
      </w:tr>
      <w:tr>
        <w:trPr>
          <w:trHeight w:val="210"/>
        </w:trPr>
        <w:tc>
          <w:tcPr>
            <w:tcW w:w="632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(Hong Kong) Limited</w:t>
            </w:r>
          </w:p>
        </w:tc>
        <w:tc>
          <w:tcPr>
            <w:tcW w:w="4920" w:type="dxa"/>
            <w:vAlign w:val="bottom"/>
            <w:tcBorders>
              <w:bottom w:val="single" w:sz="8" w:color="C0C0C0"/>
            </w:tcBorders>
          </w:tcPr>
          <w:p>
            <w:pPr>
              <w:ind w:left="1540"/>
              <w:spacing w:after="0"/>
              <w:rPr>
                <w:sz w:val="20"/>
                <w:szCs w:val="20"/>
                <w:color w:val="auto"/>
              </w:rPr>
            </w:pPr>
            <w:r>
              <w:rPr>
                <w:rFonts w:ascii="Arial" w:cs="Arial" w:eastAsia="Arial" w:hAnsi="Arial"/>
                <w:sz w:val="16"/>
                <w:szCs w:val="16"/>
                <w:color w:val="auto"/>
              </w:rPr>
              <w:t>Hong Kong</w:t>
            </w:r>
          </w:p>
        </w:tc>
      </w:tr>
    </w:tbl>
    <w:p>
      <w:pPr>
        <w:sectPr>
          <w:pgSz w:w="11900" w:h="16838" w:orient="portrait"/>
          <w:cols w:equalWidth="0" w:num="1">
            <w:col w:w="11240"/>
          </w:cols>
          <w:pgMar w:left="320" w:top="863" w:right="3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tcBorders>
              <w:top w:val="single" w:sz="8" w:color="C0C0C0"/>
              <w:bottom w:val="single" w:sz="8" w:color="C0C0C0"/>
            </w:tcBorders>
          </w:tcPr>
          <w:p>
            <w:pPr>
              <w:ind w:left="20"/>
              <w:spacing w:after="0"/>
              <w:rPr>
                <w:sz w:val="20"/>
                <w:szCs w:val="20"/>
                <w:color w:val="auto"/>
              </w:rPr>
            </w:pPr>
            <w:r>
              <w:rPr>
                <w:rFonts w:ascii="Arial" w:cs="Arial" w:eastAsia="Arial" w:hAnsi="Arial"/>
                <w:sz w:val="16"/>
                <w:szCs w:val="16"/>
                <w:color w:val="auto"/>
              </w:rPr>
              <w:t>World Fuel Services (KG) LLC</w:t>
            </w:r>
          </w:p>
        </w:tc>
        <w:tc>
          <w:tcPr>
            <w:tcW w:w="3660" w:type="dxa"/>
            <w:vAlign w:val="bottom"/>
            <w:tcBorders>
              <w:top w:val="single" w:sz="8" w:color="C0C0C0"/>
              <w:bottom w:val="single" w:sz="8" w:color="C0C0C0"/>
            </w:tcBorders>
          </w:tcPr>
          <w:p>
            <w:pPr>
              <w:ind w:left="280"/>
              <w:spacing w:after="0"/>
              <w:rPr>
                <w:sz w:val="20"/>
                <w:szCs w:val="20"/>
                <w:color w:val="auto"/>
              </w:rPr>
            </w:pPr>
            <w:r>
              <w:rPr>
                <w:rFonts w:ascii="Arial" w:cs="Arial" w:eastAsia="Arial" w:hAnsi="Arial"/>
                <w:sz w:val="16"/>
                <w:szCs w:val="16"/>
                <w:color w:val="auto"/>
              </w:rPr>
              <w:t>Kyrgyzstan</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(New Zealand)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New Zealand</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(Panama) Limited Liability Company, Sociedad De Responsabilidad Limitada</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Panama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(Singapore) II Pte.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Singapore</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(Singapore) Pte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Singapore</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(South Africa) (Pty)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South Africa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(Taiwan)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Taiwan (Province of China)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(Uruguay) S.A.</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Uruguay</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Argentina S.R.L.</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Argentina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Aviation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Belgium BVBA</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Belgium</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Canada, ULC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Canada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Chile, Limitada</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Chile</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Company,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States</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Corporate Aviation Support Services, Inc.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States</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CZ s.r.o.</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Czech Republic</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Europe,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European Holding Company I,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Finance Company S.à.r.L.</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Luxembourg</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France SAS</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France</w:t>
            </w:r>
          </w:p>
        </w:tc>
      </w:tr>
      <w:tr>
        <w:trPr>
          <w:trHeight w:val="174"/>
        </w:trPr>
        <w:tc>
          <w:tcPr>
            <w:tcW w:w="7580" w:type="dxa"/>
            <w:vAlign w:val="bottom"/>
          </w:tcPr>
          <w:p>
            <w:pPr>
              <w:ind w:left="20"/>
              <w:spacing w:after="0" w:line="174" w:lineRule="exact"/>
              <w:rPr>
                <w:sz w:val="20"/>
                <w:szCs w:val="20"/>
                <w:color w:val="auto"/>
              </w:rPr>
            </w:pPr>
            <w:r>
              <w:rPr>
                <w:rFonts w:ascii="Arial" w:cs="Arial" w:eastAsia="Arial" w:hAnsi="Arial"/>
                <w:sz w:val="16"/>
                <w:szCs w:val="16"/>
                <w:color w:val="auto"/>
              </w:rPr>
              <w:t>World Fuel Services International (Panama) Limited Liability Company, Sociedad De Responsabilidad</w:t>
            </w:r>
          </w:p>
        </w:tc>
        <w:tc>
          <w:tcPr>
            <w:tcW w:w="3660" w:type="dxa"/>
            <w:vAlign w:val="bottom"/>
          </w:tcPr>
          <w:p>
            <w:pPr>
              <w:ind w:left="280"/>
              <w:spacing w:after="0" w:line="174" w:lineRule="exact"/>
              <w:rPr>
                <w:sz w:val="20"/>
                <w:szCs w:val="20"/>
                <w:color w:val="auto"/>
              </w:rPr>
            </w:pPr>
            <w:r>
              <w:rPr>
                <w:rFonts w:ascii="Arial" w:cs="Arial" w:eastAsia="Arial" w:hAnsi="Arial"/>
                <w:sz w:val="16"/>
                <w:szCs w:val="16"/>
                <w:color w:val="auto"/>
              </w:rPr>
              <w:t>Panama</w:t>
            </w:r>
          </w:p>
        </w:tc>
      </w:tr>
      <w:tr>
        <w:trPr>
          <w:trHeight w:val="198"/>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Limitada</w:t>
            </w:r>
          </w:p>
        </w:tc>
        <w:tc>
          <w:tcPr>
            <w:tcW w:w="3660" w:type="dxa"/>
            <w:vAlign w:val="bottom"/>
            <w:tcBorders>
              <w:bottom w:val="single" w:sz="8" w:color="C0C0C0"/>
            </w:tcBorders>
          </w:tcPr>
          <w:p>
            <w:pPr>
              <w:spacing w:after="0"/>
              <w:rPr>
                <w:sz w:val="17"/>
                <w:szCs w:val="17"/>
                <w:color w:val="auto"/>
              </w:rPr>
            </w:pP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Italy S.r.L.</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Italy</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Japan G.K.</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Japan</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Kenya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Kenya</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México, S. de R.L. de C.V.</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Mexico</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Pakistan (Pvt.)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Pakistan</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Peru S.R.L.</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Peru</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Private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India</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Regulatory Holdings,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States</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Trading DMCC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Arab Emirates</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Turkey Petrol Urunleri Dagitim Ve Ticaret Limited Sirketi</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Turkey</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Services, Inc.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States</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Singapore Holding Company I Pte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Singapore</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Fuel Singapore Holding Company II Pte Ltd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Singapore</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Digital Ventures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States</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Korea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Korea, Republic of</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Sustainability Ventures LLC</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States</w:t>
            </w:r>
          </w:p>
        </w:tc>
      </w:tr>
      <w:tr>
        <w:trPr>
          <w:trHeight w:val="209"/>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World Kinect Sustainability Ventures UK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r>
        <w:trPr>
          <w:trHeight w:val="210"/>
        </w:trPr>
        <w:tc>
          <w:tcPr>
            <w:tcW w:w="75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Yacht Fuel Services Limited</w:t>
            </w:r>
          </w:p>
        </w:tc>
        <w:tc>
          <w:tcPr>
            <w:tcW w:w="3660" w:type="dxa"/>
            <w:vAlign w:val="bottom"/>
            <w:tcBorders>
              <w:bottom w:val="single" w:sz="8" w:color="C0C0C0"/>
            </w:tcBorders>
          </w:tcPr>
          <w:p>
            <w:pPr>
              <w:ind w:left="280"/>
              <w:spacing w:after="0"/>
              <w:rPr>
                <w:sz w:val="20"/>
                <w:szCs w:val="20"/>
                <w:color w:val="auto"/>
              </w:rPr>
            </w:pPr>
            <w:r>
              <w:rPr>
                <w:rFonts w:ascii="Arial" w:cs="Arial" w:eastAsia="Arial" w:hAnsi="Arial"/>
                <w:sz w:val="16"/>
                <w:szCs w:val="16"/>
                <w:color w:val="auto"/>
              </w:rPr>
              <w:t>United Kingdom</w:t>
            </w:r>
          </w:p>
        </w:tc>
      </w:tr>
    </w:tbl>
    <w:p>
      <w:pPr>
        <w:sectPr>
          <w:pgSz w:w="11900" w:h="16838" w:orient="portrait"/>
          <w:cols w:equalWidth="0" w:num="1">
            <w:col w:w="11240"/>
          </w:cols>
          <w:pgMar w:left="320" w:top="863"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333-258638, No. 333-242250, No. 333-212927, No. 333-161099, No. 333-144379, No. 333-130528 and No. 333-68276) of World Fuel Services Corporation of our report dated February 24, 2023 relating to the financial statements and the effectiveness of internal control over financial reporting, which appears in this Form 10-K.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Hallandale Beach,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120"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185"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2022;</w:t>
      </w:r>
    </w:p>
    <w:p>
      <w:pPr>
        <w:spacing w:after="0" w:line="198"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24, 2023</w:t>
      </w:r>
    </w:p>
    <w:p>
      <w:pPr>
        <w:spacing w:after="0" w:line="33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435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Michael J. Kasbar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185"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2022;</w:t>
      </w:r>
    </w:p>
    <w:p>
      <w:pPr>
        <w:spacing w:after="0" w:line="198"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 February 24, 2023</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3343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Ira M. Birns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right="40" w:firstLine="177"/>
        <w:spacing w:after="0" w:line="263"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143" w:lineRule="exact"/>
        <w:rPr>
          <w:sz w:val="20"/>
          <w:szCs w:val="20"/>
          <w:color w:val="auto"/>
        </w:rPr>
      </w:pPr>
    </w:p>
    <w:p>
      <w:pPr>
        <w:ind w:left="660" w:right="60" w:hanging="328"/>
        <w:spacing w:after="0" w:line="277" w:lineRule="auto"/>
        <w:tabs>
          <w:tab w:leader="none" w:pos="6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2022 (the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24, 2023</w:t>
      </w: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J. Kasbar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Ira M. Birns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34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187325</wp:posOffset>
            </wp:positionV>
            <wp:extent cx="692658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1)"/>
      <w:numFmt w:val="lowerRoman"/>
      <w:start w:val="2"/>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1)"/>
      <w:numFmt w:val="decimal"/>
      <w:start w:val="1"/>
    </w:lvl>
  </w:abstractNum>
  <w:abstractNum w:abstractNumId="12">
    <w:nsid w:val="4B588F54"/>
    <w:multiLevelType w:val="hybridMultilevel"/>
    <w:lvl w:ilvl="0">
      <w:lvlJc w:val="left"/>
      <w:lvlText w:val="(%1)"/>
      <w:numFmt w:val="lowerRoman"/>
      <w:start w:val="1"/>
    </w:lvl>
  </w:abstractNum>
  <w:abstractNum w:abstractNumId="13">
    <w:nsid w:val="542289EC"/>
    <w:multiLevelType w:val="hybridMultilevel"/>
    <w:lvl w:ilvl="0">
      <w:lvlJc w:val="left"/>
      <w:lvlText w:val="(%1)"/>
      <w:numFmt w:val="lowerLetter"/>
      <w:start w:val="2"/>
    </w:lvl>
  </w:abstractNum>
  <w:abstractNum w:abstractNumId="14">
    <w:nsid w:val="6DE91B18"/>
    <w:multiLevelType w:val="hybridMultilevel"/>
    <w:lvl w:ilvl="0">
      <w:lvlJc w:val="left"/>
      <w:lvlText w:val="%1"/>
      <w:numFmt w:val="decimal"/>
      <w:start w:val="101"/>
    </w:lvl>
  </w:abstractNum>
  <w:abstractNum w:abstractNumId="15">
    <w:nsid w:val="38437FDB"/>
    <w:multiLevelType w:val="hybridMultilevel"/>
    <w:lvl w:ilvl="0">
      <w:lvlJc w:val="left"/>
      <w:lvlText w:val="(%1)"/>
      <w:numFmt w:val="lowerRoman"/>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5"/>
    </w:lvl>
  </w:abstractNum>
  <w:abstractNum w:abstractNumId="19">
    <w:nsid w:val="579478FE"/>
    <w:multiLevelType w:val="hybridMultilevel"/>
    <w:lvl w:ilvl="0">
      <w:lvlJc w:val="left"/>
      <w:lvlText w:val="(%1)"/>
      <w:numFmt w:val="decimal"/>
      <w:start w:val="1"/>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1)"/>
      <w:numFmt w:val="decimal"/>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1."/>
      <w:numFmt w:val="decimal"/>
      <w:start w:val="2"/>
    </w:lvl>
    <w:lvl w:ilvl="1">
      <w:lvlJc w:val="left"/>
      <w:lvlText w:val="(%2)"/>
      <w:numFmt w:val="lowerLetter"/>
      <w:start w:val="1"/>
    </w:lvl>
  </w:abstractNum>
  <w:abstractNum w:abstractNumId="35">
    <w:nsid w:val="180115BE"/>
    <w:multiLevelType w:val="hybridMultilevel"/>
    <w:lvl w:ilvl="0">
      <w:lvlJc w:val="left"/>
      <w:lvlText w:val="(%1)"/>
      <w:numFmt w:val="lowerLetter"/>
      <w:start w:val="3"/>
    </w:lvl>
  </w:abstractNum>
  <w:abstractNum w:abstractNumId="36">
    <w:nsid w:val="235BA861"/>
    <w:multiLevelType w:val="hybridMultilevel"/>
    <w:lvl w:ilvl="0">
      <w:lvlJc w:val="left"/>
      <w:lvlText w:val="(%1)"/>
      <w:numFmt w:val="lowerLetter"/>
      <w:start w:val="5"/>
    </w:lvl>
  </w:abstractNum>
  <w:abstractNum w:abstractNumId="37">
    <w:nsid w:val="47398C89"/>
    <w:multiLevelType w:val="hybridMultilevel"/>
    <w:lvl w:ilvl="0">
      <w:lvlJc w:val="left"/>
      <w:lvlText w:val="%1."/>
      <w:numFmt w:val="decimal"/>
      <w:start w:val="3"/>
    </w:lvl>
  </w:abstractNum>
  <w:abstractNum w:abstractNumId="38">
    <w:nsid w:val="354FE9F9"/>
    <w:multiLevelType w:val="hybridMultilevel"/>
    <w:lvl w:ilvl="0">
      <w:lvlJc w:val="left"/>
      <w:lvlText w:val="(%1)"/>
      <w:numFmt w:val="lowerLetter"/>
      <w:start w:val="2"/>
    </w:lvl>
  </w:abstractNum>
  <w:abstractNum w:abstractNumId="39">
    <w:nsid w:val="15B5AF5C"/>
    <w:multiLevelType w:val="hybridMultilevel"/>
    <w:lvl w:ilvl="0">
      <w:lvlJc w:val="left"/>
      <w:lvlText w:val="(%1)"/>
      <w:numFmt w:val="upperLetter"/>
      <w:start w:val="2"/>
    </w:lvl>
    <w:lvl w:ilvl="1">
      <w:lvlJc w:val="left"/>
      <w:lvlText w:val="(%2)"/>
      <w:numFmt w:val="upperLetter"/>
      <w:start w:val="2"/>
    </w:lvl>
  </w:abstractNum>
  <w:abstractNum w:abstractNumId="40">
    <w:nsid w:val="741226BB"/>
    <w:multiLevelType w:val="hybridMultilevel"/>
    <w:lvl w:ilvl="0">
      <w:lvlJc w:val="left"/>
      <w:lvlText w:val="(%1)"/>
      <w:numFmt w:val="upperLetter"/>
      <w:start w:val="1"/>
    </w:lvl>
  </w:abstractNum>
  <w:abstractNum w:abstractNumId="41">
    <w:nsid w:val="D34B6A8"/>
    <w:multiLevelType w:val="hybridMultilevel"/>
    <w:lvl w:ilvl="0">
      <w:lvlJc w:val="left"/>
      <w:lvlText w:val="(%1)"/>
      <w:numFmt w:val="upperLetter"/>
      <w:start w:val="2"/>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lowerLetter"/>
      <w:start w:val="3"/>
    </w:lvl>
  </w:abstractNum>
  <w:abstractNum w:abstractNumId="44">
    <w:nsid w:val="61574095"/>
    <w:multiLevelType w:val="hybridMultilevel"/>
    <w:lvl w:ilvl="0">
      <w:lvlJc w:val="left"/>
      <w:lvlText w:val="%1."/>
      <w:numFmt w:val="decimal"/>
      <w:start w:val="4"/>
    </w:lvl>
    <w:lvl w:ilvl="1">
      <w:lvlJc w:val="left"/>
      <w:lvlText w:val="(%2)"/>
      <w:numFmt w:val="lowerLetter"/>
      <w:start w:val="1"/>
    </w:lvl>
  </w:abstractNum>
  <w:abstractNum w:abstractNumId="45">
    <w:nsid w:val="7E0C57B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46">
    <w:nsid w:val="77AE35EB"/>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3"/>
    </w:lvl>
  </w:abstractNum>
  <w:abstractNum w:abstractNumId="47">
    <w:nsid w:val="579BE4F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8">
    <w:nsid w:val="310C50B3"/>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49">
    <w:nsid w:val="5FF87E05"/>
    <w:multiLevelType w:val="hybridMultilevel"/>
    <w:lvl w:ilvl="0">
      <w:lvlJc w:val="left"/>
      <w:lvlText w:val="(%1)"/>
      <w:numFmt w:val="decimal"/>
      <w:start w:val="2"/>
    </w:lvl>
    <w:lvl w:ilvl="1">
      <w:lvlJc w:val="left"/>
      <w:lvlText w:val="%2"/>
      <w:numFmt w:val="decimal"/>
      <w:start w:val="1"/>
    </w:lvl>
    <w:lvl w:ilvl="2">
      <w:lvlJc w:val="left"/>
      <w:lvlText w:val="(%3)"/>
      <w:numFmt w:val="lowerLetter"/>
      <w:start w:val="3"/>
    </w:lvl>
  </w:abstractNum>
  <w:abstractNum w:abstractNumId="50">
    <w:nsid w:val="2F305DEF"/>
    <w:multiLevelType w:val="hybridMultilevel"/>
    <w:lvl w:ilvl="0">
      <w:lvlJc w:val="left"/>
      <w:lvlText w:val="%1."/>
      <w:numFmt w:val="decimal"/>
      <w:start w:val="10"/>
    </w:lvl>
  </w:abstractNum>
  <w:abstractNum w:abstractNumId="51">
    <w:nsid w:val="25A70BF7"/>
    <w:multiLevelType w:val="hybridMultilevel"/>
    <w:lvl w:ilvl="0">
      <w:lvlJc w:val="left"/>
      <w:lvlText w:val="%1."/>
      <w:numFmt w:val="decimal"/>
      <w:start w:val="17"/>
    </w:lvl>
    <w:lvl w:ilvl="1">
      <w:lvlJc w:val="left"/>
      <w:lvlText w:val="(%2)"/>
      <w:numFmt w:val="lowerLetter"/>
      <w:start w:val="1"/>
    </w:lvl>
  </w:abstractNum>
  <w:abstractNum w:abstractNumId="52">
    <w:nsid w:val="1DBABF00"/>
    <w:multiLevelType w:val="hybridMultilevel"/>
    <w:lvl w:ilvl="0">
      <w:lvlJc w:val="left"/>
      <w:lvlText w:val="(%1)"/>
      <w:numFmt w:val="lowerRoman"/>
      <w:start w:val="5"/>
    </w:lvl>
  </w:abstractNum>
  <w:abstractNum w:abstractNumId="53">
    <w:nsid w:val="4AD084E9"/>
    <w:multiLevelType w:val="hybridMultilevel"/>
    <w:lvl w:ilvl="0">
      <w:lvlJc w:val="left"/>
      <w:lvlText w:val="%1"/>
      <w:numFmt w:val="decimal"/>
      <w:start w:val="1"/>
    </w:lvl>
    <w:lvl w:ilvl="1">
      <w:lvlJc w:val="left"/>
      <w:lvlText w:val="(%2)"/>
      <w:numFmt w:val="lowerLetter"/>
      <w:start w:val="3"/>
    </w:lvl>
  </w:abstractNum>
  <w:abstractNum w:abstractNumId="54">
    <w:nsid w:val="1F48EAA1"/>
    <w:multiLevelType w:val="hybridMultilevel"/>
    <w:lvl w:ilvl="0">
      <w:lvlJc w:val="left"/>
      <w:lvlText w:val="%1."/>
      <w:numFmt w:val="decimal"/>
      <w:start w:val="22"/>
    </w:lvl>
    <w:lvl w:ilvl="1">
      <w:lvlJc w:val="left"/>
      <w:lvlText w:val="%2"/>
      <w:numFmt w:val="lowerLetter"/>
      <w:start w:val="1"/>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1."/>
      <w:numFmt w:val="decimal"/>
      <w:start w:val="2"/>
    </w:lvl>
  </w:abstractNum>
  <w:abstractNum w:abstractNumId="57">
    <w:nsid w:val="100F8FCA"/>
    <w:multiLevelType w:val="hybridMultilevel"/>
    <w:lvl w:ilvl="0">
      <w:lvlJc w:val="left"/>
      <w:lvlText w:val="(%1)"/>
      <w:numFmt w:val="lowerLetter"/>
      <w:start w:val="1"/>
    </w:lvl>
    <w:lvl w:ilvl="1">
      <w:lvlJc w:val="left"/>
      <w:lvlText w:val="(%2)"/>
      <w:numFmt w:val="lowerRoman"/>
      <w:start w:val="1"/>
    </w:lvl>
  </w:abstractNum>
  <w:abstractNum w:abstractNumId="58">
    <w:nsid w:val="6590700B"/>
    <w:multiLevelType w:val="hybridMultilevel"/>
    <w:lvl w:ilvl="0">
      <w:lvlJc w:val="left"/>
      <w:lvlText w:val="(%1)"/>
      <w:numFmt w:val="lowerLetter"/>
      <w:start w:val="2"/>
    </w:lvl>
  </w:abstractNum>
  <w:abstractNum w:abstractNumId="59">
    <w:nsid w:val="15014ACB"/>
    <w:multiLevelType w:val="hybridMultilevel"/>
    <w:lvl w:ilvl="0">
      <w:lvlJc w:val="left"/>
      <w:lvlText w:val="(%1)"/>
      <w:numFmt w:val="lowerLetter"/>
      <w:start w:val="5"/>
    </w:lvl>
    <w:lvl w:ilvl="1">
      <w:lvlJc w:val="left"/>
      <w:lvlText w:val="(%2)"/>
      <w:numFmt w:val="lowerRoman"/>
      <w:start w:val="1"/>
    </w:lvl>
  </w:abstractNum>
  <w:abstractNum w:abstractNumId="60">
    <w:nsid w:val="5F5E7FD0"/>
    <w:multiLevelType w:val="hybridMultilevel"/>
    <w:lvl w:ilvl="0">
      <w:lvlJc w:val="left"/>
      <w:lvlText w:val="(%1)"/>
      <w:numFmt w:val="lowerLetter"/>
      <w:start w:val="6"/>
    </w:lvl>
  </w:abstractNum>
  <w:abstractNum w:abstractNumId="61">
    <w:nsid w:val="98A3148"/>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62">
    <w:nsid w:val="799D0247"/>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3">
    <w:nsid w:val="6B94764"/>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Roman"/>
      <w:start w:val="4"/>
    </w:lvl>
  </w:abstractNum>
  <w:abstractNum w:abstractNumId="64">
    <w:nsid w:val="42C296BD"/>
    <w:multiLevelType w:val="hybridMultilevel"/>
    <w:lvl w:ilvl="0">
      <w:lvlJc w:val="left"/>
      <w:lvlText w:val="(%1)"/>
      <w:numFmt w:val="lowerLetter"/>
      <w:start w:val="3"/>
    </w:lvl>
    <w:lvl w:ilvl="1">
      <w:lvlJc w:val="left"/>
      <w:lvlText w:val="%2."/>
      <w:numFmt w:val="decimal"/>
      <w:start w:val="4"/>
    </w:lvl>
    <w:lvl w:ilvl="2">
      <w:lvlJc w:val="left"/>
      <w:lvlText w:val="%3."/>
      <w:numFmt w:val="decimal"/>
      <w:start w:val="4"/>
    </w:lvl>
    <w:lvl w:ilvl="3">
      <w:lvlJc w:val="left"/>
      <w:lvlText w:val="(%4)"/>
      <w:numFmt w:val="lowerLetter"/>
      <w:start w:val="1"/>
    </w:lvl>
    <w:lvl w:ilvl="4">
      <w:lvlJc w:val="left"/>
      <w:lvlText w:val="%5"/>
      <w:numFmt w:val="lowerRoman"/>
      <w:start w:val="1"/>
    </w:lvl>
  </w:abstractNum>
  <w:abstractNum w:abstractNumId="65">
    <w:nsid w:val="168E121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6">
    <w:nsid w:val="1EBA5D2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67">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5"/>
    </w:lvl>
  </w:abstractNum>
  <w:abstractNum w:abstractNumId="68">
    <w:nsid w:val="5DC79EA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69">
    <w:nsid w:val="540A471C"/>
    <w:multiLevelType w:val="hybridMultilevel"/>
    <w:lvl w:ilvl="0">
      <w:lvlJc w:val="left"/>
      <w:lvlText w:val="%1"/>
      <w:numFmt w:val="decimal"/>
      <w:start w:val="1"/>
    </w:lvl>
    <w:lvl w:ilvl="1">
      <w:lvlJc w:val="left"/>
      <w:lvlText w:val="(%2)"/>
      <w:numFmt w:val="lowerLetter"/>
      <w:start w:val="3"/>
    </w:lvl>
  </w:abstractNum>
  <w:abstractNum w:abstractNumId="70">
    <w:nsid w:val="7BD3EE7B"/>
    <w:multiLevelType w:val="hybridMultilevel"/>
    <w:lvl w:ilvl="0">
      <w:lvlJc w:val="left"/>
      <w:lvlText w:val="%1."/>
      <w:numFmt w:val="decimal"/>
      <w:start w:val="10"/>
    </w:lvl>
    <w:lvl w:ilvl="1">
      <w:lvlJc w:val="left"/>
      <w:lvlText w:val="%2"/>
      <w:numFmt w:val="lowerLetter"/>
      <w:start w:val="1"/>
    </w:lvl>
  </w:abstractNum>
  <w:abstractNum w:abstractNumId="71">
    <w:nsid w:val="51D9C564"/>
    <w:multiLevelType w:val="hybridMultilevel"/>
    <w:lvl w:ilvl="0">
      <w:lvlJc w:val="left"/>
      <w:lvlText w:val="%1."/>
      <w:numFmt w:val="decimal"/>
      <w:start w:val="14"/>
    </w:lvl>
  </w:abstractNum>
  <w:abstractNum w:abstractNumId="72">
    <w:nsid w:val="613EFDC5"/>
    <w:multiLevelType w:val="hybridMultilevel"/>
    <w:lvl w:ilvl="0">
      <w:lvlJc w:val="left"/>
      <w:lvlText w:val="%1"/>
      <w:numFmt w:val="lowerLetter"/>
      <w:start w:val="1"/>
    </w:lvl>
    <w:lvl w:ilvl="1">
      <w:lvlJc w:val="left"/>
      <w:lvlText w:val="%2."/>
      <w:numFmt w:val="decimal"/>
      <w:start w:val="21"/>
    </w:lvl>
    <w:lvl w:ilvl="2">
      <w:lvlJc w:val="left"/>
      <w:lvlText w:val="(%3)"/>
      <w:numFmt w:val="lowerLetter"/>
      <w:start w:val="8"/>
    </w:lvl>
    <w:lvl w:ilvl="3">
      <w:lvlJc w:val="left"/>
      <w:lvlText w:val="(%4)"/>
      <w:numFmt w:val="lowerLetter"/>
      <w:start w:val="1"/>
    </w:lvl>
  </w:abstractNum>
  <w:abstractNum w:abstractNumId="73">
    <w:nsid w:val="BF72B14"/>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4">
    <w:nsid w:val="11447B73"/>
    <w:multiLevelType w:val="hybridMultilevel"/>
    <w:lvl w:ilvl="0">
      <w:lvlJc w:val="left"/>
      <w:lvlText w:val="(%1)"/>
      <w:numFmt w:val="lowerRoman"/>
      <w:start w:val="2"/>
    </w:lvl>
    <w:lvl w:ilvl="1">
      <w:lvlJc w:val="left"/>
      <w:lvlText w:val="(%2)"/>
      <w:numFmt w:val="lowerRoman"/>
      <w:start w:val="3"/>
    </w:lvl>
  </w:abstractNum>
  <w:abstractNum w:abstractNumId="75">
    <w:nsid w:val="42963E5A"/>
    <w:multiLevelType w:val="hybridMultilevel"/>
    <w:lvl w:ilvl="0">
      <w:lvlJc w:val="left"/>
      <w:lvlText w:val="(%1)"/>
      <w:numFmt w:val="lowerLetter"/>
      <w:start w:val="3"/>
    </w:lvl>
    <w:lvl w:ilvl="1">
      <w:lvlJc w:val="left"/>
      <w:lvlText w:val="%2."/>
      <w:numFmt w:val="decimal"/>
      <w:start w:val="22"/>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2" Type="http://schemas.openxmlformats.org/officeDocument/2006/relationships/image" Target="media/image50.png"/><Relationship Id="rId92" Type="http://schemas.openxmlformats.org/officeDocument/2006/relationships/image" Target="media/image51.png"/><Relationship Id="rId95" Type="http://schemas.openxmlformats.org/officeDocument/2006/relationships/image" Target="media/image52.png"/><Relationship Id="rId96" Type="http://schemas.openxmlformats.org/officeDocument/2006/relationships/image" Target="media/image53.png"/><Relationship Id="rId97" Type="http://schemas.openxmlformats.org/officeDocument/2006/relationships/image" Target="media/image54.png"/><Relationship Id="rId98" Type="http://schemas.openxmlformats.org/officeDocument/2006/relationships/image" Target="media/image55.png"/><Relationship Id="rId99" Type="http://schemas.openxmlformats.org/officeDocument/2006/relationships/image" Target="media/image56.png"/><Relationship Id="rId100" Type="http://schemas.openxmlformats.org/officeDocument/2006/relationships/image" Target="media/image57.png"/><Relationship Id="rId101" Type="http://schemas.openxmlformats.org/officeDocument/2006/relationships/image" Target="media/image58.png"/><Relationship Id="rId102" Type="http://schemas.openxmlformats.org/officeDocument/2006/relationships/image" Target="media/image59.png"/><Relationship Id="rId103" Type="http://schemas.openxmlformats.org/officeDocument/2006/relationships/image" Target="media/image60.png"/><Relationship Id="rId104" Type="http://schemas.openxmlformats.org/officeDocument/2006/relationships/image" Target="media/image61.png"/><Relationship Id="rId105" Type="http://schemas.openxmlformats.org/officeDocument/2006/relationships/image" Target="media/image62.png"/><Relationship Id="rId106" Type="http://schemas.openxmlformats.org/officeDocument/2006/relationships/image" Target="media/image63.png"/><Relationship Id="rId107" Type="http://schemas.openxmlformats.org/officeDocument/2006/relationships/image" Target="media/image64.png"/><Relationship Id="rId108" Type="http://schemas.openxmlformats.org/officeDocument/2006/relationships/image" Target="media/image65.png"/><Relationship Id="rId109" Type="http://schemas.openxmlformats.org/officeDocument/2006/relationships/image" Target="media/image66.png"/><Relationship Id="rId110" Type="http://schemas.openxmlformats.org/officeDocument/2006/relationships/image" Target="media/image67.png"/><Relationship Id="rId111" Type="http://schemas.openxmlformats.org/officeDocument/2006/relationships/image" Target="media/image68.png"/><Relationship Id="rId112" Type="http://schemas.openxmlformats.org/officeDocument/2006/relationships/image" Target="media/image69.png"/><Relationship Id="rId113" Type="http://schemas.openxmlformats.org/officeDocument/2006/relationships/image" Target="media/image70.png"/><Relationship Id="rId114" Type="http://schemas.openxmlformats.org/officeDocument/2006/relationships/image" Target="media/image71.png"/><Relationship Id="rId115" Type="http://schemas.openxmlformats.org/officeDocument/2006/relationships/image" Target="media/image72.png"/><Relationship Id="rId116" Type="http://schemas.openxmlformats.org/officeDocument/2006/relationships/image" Target="media/image73.png"/><Relationship Id="rId117" Type="http://schemas.openxmlformats.org/officeDocument/2006/relationships/image" Target="media/image74.png"/><Relationship Id="rId118" Type="http://schemas.openxmlformats.org/officeDocument/2006/relationships/image" Target="media/image75.png"/><Relationship Id="rId119" Type="http://schemas.openxmlformats.org/officeDocument/2006/relationships/image" Target="media/image76.png"/><Relationship Id="rId120" Type="http://schemas.openxmlformats.org/officeDocument/2006/relationships/image" Target="media/image77.png"/><Relationship Id="rId121" Type="http://schemas.openxmlformats.org/officeDocument/2006/relationships/image" Target="media/image78.png"/><Relationship Id="rId122" Type="http://schemas.openxmlformats.org/officeDocument/2006/relationships/image" Target="media/image79.png"/><Relationship Id="rId123" Type="http://schemas.openxmlformats.org/officeDocument/2006/relationships/image" Target="media/image80.png"/><Relationship Id="rId124"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32" Type="http://schemas.openxmlformats.org/officeDocument/2006/relationships/image" Target="media/image89.png"/><Relationship Id="rId133" Type="http://schemas.openxmlformats.org/officeDocument/2006/relationships/image" Target="media/image90.png"/><Relationship Id="rId134"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39" Type="http://schemas.openxmlformats.org/officeDocument/2006/relationships/image" Target="media/image96.png"/><Relationship Id="rId140" Type="http://schemas.openxmlformats.org/officeDocument/2006/relationships/image" Target="media/image97.png"/><Relationship Id="rId141"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57" Type="http://schemas.openxmlformats.org/officeDocument/2006/relationships/hyperlink" Target="http://www.sec.gov/Archives/edgar/data/789460/000119312505018689/dex992.htm" TargetMode="External"/><Relationship Id="rId58" Type="http://schemas.openxmlformats.org/officeDocument/2006/relationships/hyperlink" Target="http://www.sec.gov/Archives/edgar/data/789460/000115752309008255/a6106663ex3_1.txt" TargetMode="External"/><Relationship Id="rId59" Type="http://schemas.openxmlformats.org/officeDocument/2006/relationships/hyperlink" Target="http://www.sec.gov/Archives/edgar/data/789460/000115752311005202/a6842908_ex31.htm" TargetMode="External"/><Relationship Id="rId60" Type="http://schemas.openxmlformats.org/officeDocument/2006/relationships/hyperlink" Target="http://www.sec.gov/Archives/edgar/data/789460/000162828020002590/a2019q410kex41.htm" TargetMode="External"/><Relationship Id="rId61" Type="http://schemas.openxmlformats.org/officeDocument/2006/relationships/hyperlink" Target="http://www.sec.gov/Archives/edgar/data/789460/000110465916125102/a16-12742_1ex10d1.htm" TargetMode="External"/><Relationship Id="rId62" Type="http://schemas.openxmlformats.org/officeDocument/2006/relationships/hyperlink" Target="http://www.sec.gov/Archives/edgar/data/789460/000110465920066201/tm2020851d1_ex10-1.htm" TargetMode="External"/><Relationship Id="rId63" Type="http://schemas.openxmlformats.org/officeDocument/2006/relationships/hyperlink" Target="http://www.sec.gov/Archives/edgar/data/789460/000162828021011056/a2021-omnibusplanexhibit101.htm" TargetMode="External"/><Relationship Id="rId64" Type="http://schemas.openxmlformats.org/officeDocument/2006/relationships/hyperlink" Target="http://www.sec.gov/Archives/edgar/data/789460/000115752322001611/a52968266ex10_1.htm" TargetMode="External"/><Relationship Id="rId65" Type="http://schemas.openxmlformats.org/officeDocument/2006/relationships/hyperlink" Target="http://www.sec.gov/Archives/edgar/data/789460/000119312507081302/dex102.htm" TargetMode="External"/><Relationship Id="rId66" Type="http://schemas.openxmlformats.org/officeDocument/2006/relationships/hyperlink" Target="http://www.sec.gov/Archives/edgar/data/789460/000162828017007371/a2017q2ex101.htm" TargetMode="External"/><Relationship Id="rId67" Type="http://schemas.openxmlformats.org/officeDocument/2006/relationships/hyperlink" Target="http://www.sec.gov/Archives/edgar/data/789460/000115752322001611/a52968266ex10_2.htm" TargetMode="External"/><Relationship Id="rId68" Type="http://schemas.openxmlformats.org/officeDocument/2006/relationships/hyperlink" Target="http://www.sec.gov/Archives/edgar/data/789460/000155837016003246/int-20151231ex1024bff55.htm" TargetMode="External"/><Relationship Id="rId69" Type="http://schemas.openxmlformats.org/officeDocument/2006/relationships/hyperlink" Target="http://www.sec.gov/Archives/edgar/data/789460/000162828019002382/a2018q4ex1010.htm" TargetMode="External"/><Relationship Id="rId70" Type="http://schemas.openxmlformats.org/officeDocument/2006/relationships/hyperlink" Target="http://www.sec.gov/Archives/edgar/data/789460/000162828018002457/a2017q4ex1010.htm" TargetMode="External"/><Relationship Id="rId71" Type="http://schemas.openxmlformats.org/officeDocument/2006/relationships/hyperlink" Target="http://www.sec.gov/Archives/edgar/data/789460/000162828018002457/a2017q4ex1014.htm" TargetMode="External"/><Relationship Id="rId73" Type="http://schemas.openxmlformats.org/officeDocument/2006/relationships/hyperlink" Target="http://www.sec.gov/Archives/edgar/data/789460/000110465914054975/a14-13976_1ex10d1.htm" TargetMode="External"/><Relationship Id="rId74" Type="http://schemas.openxmlformats.org/officeDocument/2006/relationships/hyperlink" Target="http://www.sec.gov/Archives/edgar/data/789460/000162828017001482/a2016q4ex1015.htm" TargetMode="External"/><Relationship Id="rId75" Type="http://schemas.openxmlformats.org/officeDocument/2006/relationships/hyperlink" Target="http://www.sec.gov/Archives/edgar/data/789460/000162828018002457/a2017q4ex1017.htm" TargetMode="External"/><Relationship Id="rId76" Type="http://schemas.openxmlformats.org/officeDocument/2006/relationships/hyperlink" Target="http://www.sec.gov/Archives/edgar/data/789460/000110465914054975/a14-13976_1ex10d2.htm" TargetMode="External"/><Relationship Id="rId77" Type="http://schemas.openxmlformats.org/officeDocument/2006/relationships/hyperlink" Target="http://www.sec.gov/Archives/edgar/data/789460/000162828018002457/a2017q4ex1021.htm" TargetMode="External"/><Relationship Id="rId78" Type="http://schemas.openxmlformats.org/officeDocument/2006/relationships/hyperlink" Target="http://www.sec.gov/Archives/edgar/data/789460/000162828017007371/a2017q2ex104.htm" TargetMode="External"/><Relationship Id="rId79" Type="http://schemas.openxmlformats.org/officeDocument/2006/relationships/hyperlink" Target="http://www.sec.gov/Archives/edgar/data/789460/000162828018002457/a2017q4ex1024.htm" TargetMode="External"/><Relationship Id="rId80" Type="http://schemas.openxmlformats.org/officeDocument/2006/relationships/hyperlink" Target="http://www.sec.gov/Archives/edgar/data/789460/000162828021003481/a202010kex1024.htm" TargetMode="External"/><Relationship Id="rId81" Type="http://schemas.openxmlformats.org/officeDocument/2006/relationships/hyperlink" Target="http://www.sec.gov/Archives/edgar/data/789460/000115752322001610/a52968264ex10_1.htm" TargetMode="External"/><Relationship Id="rId82" Type="http://schemas.openxmlformats.org/officeDocument/2006/relationships/hyperlink" Target="http://www.sec.gov/Archives/edgar/data/789460/000115752322000361/a52617469ex10_1.htm" TargetMode="External"/><Relationship Id="rId83" Type="http://schemas.openxmlformats.org/officeDocument/2006/relationships/hyperlink" Target="http://www.sec.gov/Archives/edgar/data/789460/000110465913075419/a13-22173_1ex10d1.htm" TargetMode="External"/><Relationship Id="rId84" Type="http://schemas.openxmlformats.org/officeDocument/2006/relationships/hyperlink" Target="http://www.sec.gov/Archives/edgar/data/789460/000155837015000030/int-20150130ex10147ad65.htm" TargetMode="External"/><Relationship Id="rId85" Type="http://schemas.openxmlformats.org/officeDocument/2006/relationships/hyperlink" Target="http://www.sec.gov/Archives/edgar/data/789460/000162828016020385/amendmentno2.htm" TargetMode="External"/><Relationship Id="rId86" Type="http://schemas.openxmlformats.org/officeDocument/2006/relationships/hyperlink" Target="http://www.sec.gov/Archives/edgar/data/789460/000162828017007371/a2017q2ex102.htm" TargetMode="External"/><Relationship Id="rId87" Type="http://schemas.openxmlformats.org/officeDocument/2006/relationships/hyperlink" Target="http://www.sec.gov/Archives/edgar/data/789460/000162828018002457/a2017q4ex1030.htm" TargetMode="External"/><Relationship Id="rId88" Type="http://schemas.openxmlformats.org/officeDocument/2006/relationships/hyperlink" Target="http://www.sec.gov/Archives/edgar/data/789460/000162828019008923/annexitoamendmentno5.htm" TargetMode="External"/><Relationship Id="rId89" Type="http://schemas.openxmlformats.org/officeDocument/2006/relationships/hyperlink" Target="http://www.sec.gov/Archives/edgar/data/789460/000162828022004028/cfamend6boa.htm" TargetMode="External"/><Relationship Id="rId90" Type="http://schemas.openxmlformats.org/officeDocument/2006/relationships/hyperlink" Target="http://www.sec.gov/Archives/edgar/data/789460/000162828022004028/ex1033_boacreditfacilityam.htm" TargetMode="External"/><Relationship Id="rId91" Type="http://schemas.openxmlformats.org/officeDocument/2006/relationships/hyperlink" Target="http://www.sec.gov/Archives/edgar/data/789460/000162828022008268/exhibit101_creditfacilitya.htm" TargetMode="External"/><Relationship Id="rId93" Type="http://schemas.openxmlformats.org/officeDocument/2006/relationships/hyperlink" Target="http://www.sec.gov/Archives/edgar/data/789460/000162828022019810/ex101_2022q2cfamendment9xw.htm" TargetMode="External"/><Relationship Id="rId94" Type="http://schemas.openxmlformats.org/officeDocument/2006/relationships/hyperlink" Target="http://www.sec.gov/Archives/edgar/data/789460/000162828022004028/projectskywalkermipaexecu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2023-02-24T20:29:00Z</dcterms:created>
  <dcterms:modified xsi:type="dcterms:W3CDTF">2023-02-24T20:29:00Z</dcterms:modified>
</cp:coreProperties>
</file>