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UNITED STATES</w:t>
      </w:r>
    </w:p>
    <w:p>
      <w:pPr>
        <w:spacing w:after="0" w:line="25"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640"/>
        <w:spacing w:after="0"/>
        <w:rPr>
          <w:sz w:val="20"/>
          <w:szCs w:val="20"/>
          <w:color w:val="auto"/>
        </w:rPr>
      </w:pPr>
      <w:r>
        <w:rPr>
          <w:rFonts w:ascii="Courier New" w:cs="Courier New" w:eastAsia="Courier New" w:hAnsi="Courier New"/>
          <w:sz w:val="15"/>
          <w:szCs w:val="15"/>
          <w:color w:val="auto"/>
        </w:rPr>
        <w:t>WASHINGTON, DC 20549</w:t>
      </w: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4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69" w:lineRule="exact"/>
        <w:rPr>
          <w:sz w:val="24"/>
          <w:szCs w:val="24"/>
          <w:color w:val="auto"/>
        </w:rPr>
      </w:pPr>
    </w:p>
    <w:p>
      <w:pPr>
        <w:ind w:left="780" w:right="3879" w:hanging="349"/>
        <w:spacing w:after="0" w:line="347" w:lineRule="auto"/>
        <w:tabs>
          <w:tab w:leader="none" w:pos="7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FOR THE FISCAL YEAR ENDED MARCH 31, 1998</w:t>
      </w:r>
    </w:p>
    <w:p>
      <w:pPr>
        <w:spacing w:after="0" w:line="169" w:lineRule="exact"/>
        <w:rPr>
          <w:sz w:val="24"/>
          <w:szCs w:val="24"/>
          <w:color w:val="auto"/>
        </w:rPr>
      </w:pPr>
    </w:p>
    <w:p>
      <w:pPr>
        <w:ind w:left="780" w:right="3539" w:hanging="349"/>
        <w:spacing w:after="0" w:line="347" w:lineRule="auto"/>
        <w:tabs>
          <w:tab w:leader="none" w:pos="60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FOR THE TRANSITION PERIOD FROM___________TO__________</w:t>
      </w:r>
    </w:p>
    <w:p>
      <w:pPr>
        <w:spacing w:after="0" w:line="16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1-9533</w:t>
      </w:r>
    </w:p>
    <w:p>
      <w:pPr>
        <w:spacing w:after="0" w:line="169"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WORLD FUEL SERVICES CORPORATION</w:t>
      </w:r>
    </w:p>
    <w:p>
      <w:pPr>
        <w:spacing w:after="0" w:line="25"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w:t>
      </w: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43" w:lineRule="exact"/>
        <w:rPr>
          <w:sz w:val="24"/>
          <w:szCs w:val="24"/>
          <w:color w:val="auto"/>
        </w:rPr>
      </w:pPr>
    </w:p>
    <w:p>
      <w:pPr>
        <w:ind w:left="1660"/>
        <w:spacing w:after="0"/>
        <w:tabs>
          <w:tab w:leader="none" w:pos="4640" w:val="left"/>
        </w:tabs>
        <w:rPr>
          <w:sz w:val="20"/>
          <w:szCs w:val="20"/>
          <w:color w:val="auto"/>
        </w:rPr>
      </w:pPr>
      <w:r>
        <w:rPr>
          <w:rFonts w:ascii="Courier New" w:cs="Courier New" w:eastAsia="Courier New" w:hAnsi="Courier New"/>
          <w:sz w:val="15"/>
          <w:szCs w:val="15"/>
          <w:color w:val="auto"/>
        </w:rPr>
        <w:t>FLORIDA</w:t>
      </w:r>
      <w:r>
        <w:rPr>
          <w:sz w:val="20"/>
          <w:szCs w:val="20"/>
          <w:color w:val="auto"/>
        </w:rPr>
        <w:tab/>
      </w:r>
      <w:r>
        <w:rPr>
          <w:rFonts w:ascii="Courier New" w:cs="Courier New" w:eastAsia="Courier New" w:hAnsi="Courier New"/>
          <w:sz w:val="14"/>
          <w:szCs w:val="14"/>
          <w:color w:val="auto"/>
        </w:rPr>
        <w:t>59-2459427</w:t>
      </w:r>
    </w:p>
    <w:p>
      <w:pPr>
        <w:spacing w:after="0" w:line="25" w:lineRule="exact"/>
        <w:rPr>
          <w:sz w:val="24"/>
          <w:szCs w:val="24"/>
          <w:color w:val="auto"/>
        </w:rPr>
      </w:pPr>
    </w:p>
    <w:p>
      <w:pPr>
        <w:ind w:left="600"/>
        <w:spacing w:after="0"/>
        <w:tabs>
          <w:tab w:leader="none" w:pos="3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600"/>
        <w:spacing w:after="0"/>
        <w:tabs>
          <w:tab w:leader="none" w:pos="376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 Identification No.)</w:t>
      </w:r>
    </w:p>
    <w:p>
      <w:pPr>
        <w:ind w:left="700"/>
        <w:spacing w:after="0"/>
        <w:rPr>
          <w:sz w:val="20"/>
          <w:szCs w:val="20"/>
          <w:color w:val="auto"/>
        </w:rPr>
      </w:pPr>
      <w:r>
        <w:rPr>
          <w:rFonts w:ascii="Courier New" w:cs="Courier New" w:eastAsia="Courier New" w:hAnsi="Courier New"/>
          <w:sz w:val="15"/>
          <w:szCs w:val="15"/>
          <w:color w:val="auto"/>
        </w:rPr>
        <w:t>incorporation or organization)</w:t>
      </w:r>
    </w:p>
    <w:p>
      <w:pPr>
        <w:spacing w:after="0" w:line="143"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700 SOUTH ROYAL POINCIANA BLVD., SUITE 800</w:t>
      </w:r>
    </w:p>
    <w:p>
      <w:pPr>
        <w:spacing w:after="0" w:line="25" w:lineRule="exact"/>
        <w:rPr>
          <w:sz w:val="24"/>
          <w:szCs w:val="24"/>
          <w:color w:val="auto"/>
        </w:rPr>
      </w:pPr>
    </w:p>
    <w:p>
      <w:pPr>
        <w:ind w:left="1140"/>
        <w:spacing w:after="0"/>
        <w:tabs>
          <w:tab w:leader="none" w:pos="5340" w:val="left"/>
        </w:tabs>
        <w:rPr>
          <w:sz w:val="20"/>
          <w:szCs w:val="20"/>
          <w:color w:val="auto"/>
        </w:rPr>
      </w:pPr>
      <w:r>
        <w:rPr>
          <w:rFonts w:ascii="Courier New" w:cs="Courier New" w:eastAsia="Courier New" w:hAnsi="Courier New"/>
          <w:sz w:val="15"/>
          <w:szCs w:val="15"/>
          <w:color w:val="auto"/>
        </w:rPr>
        <w:t>MIAMI SPRINGS, FLORIDA</w:t>
      </w:r>
      <w:r>
        <w:rPr>
          <w:sz w:val="20"/>
          <w:szCs w:val="20"/>
          <w:color w:val="auto"/>
        </w:rPr>
        <w:tab/>
      </w:r>
      <w:r>
        <w:rPr>
          <w:rFonts w:ascii="Courier New" w:cs="Courier New" w:eastAsia="Courier New" w:hAnsi="Courier New"/>
          <w:sz w:val="14"/>
          <w:szCs w:val="14"/>
          <w:color w:val="auto"/>
        </w:rPr>
        <w:t>33166</w:t>
      </w:r>
    </w:p>
    <w:p>
      <w:pPr>
        <w:ind w:left="600"/>
        <w:spacing w:after="0"/>
        <w:tabs>
          <w:tab w:leader="none" w:pos="5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600"/>
        <w:spacing w:after="0"/>
        <w:tabs>
          <w:tab w:leader="none" w:pos="51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43"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Registrant's Telephone Number, including area code: (305) 884-2001</w:t>
      </w:r>
    </w:p>
    <w:p>
      <w:pPr>
        <w:spacing w:after="0" w:line="169"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5"/>
          <w:szCs w:val="15"/>
          <w:color w:val="auto"/>
        </w:rPr>
        <w:t>NAME OF EACH EXCHANGE</w:t>
      </w:r>
    </w:p>
    <w:p>
      <w:pPr>
        <w:spacing w:after="0" w:line="25" w:lineRule="exact"/>
        <w:rPr>
          <w:sz w:val="24"/>
          <w:szCs w:val="24"/>
          <w:color w:val="auto"/>
        </w:rPr>
      </w:pPr>
    </w:p>
    <w:p>
      <w:pPr>
        <w:ind w:left="960"/>
        <w:spacing w:after="0"/>
        <w:tabs>
          <w:tab w:leader="none" w:pos="3760" w:val="left"/>
        </w:tabs>
        <w:rPr>
          <w:sz w:val="20"/>
          <w:szCs w:val="20"/>
          <w:color w:val="auto"/>
        </w:rPr>
      </w:pPr>
      <w:r>
        <w:rPr>
          <w:rFonts w:ascii="Courier New" w:cs="Courier New" w:eastAsia="Courier New" w:hAnsi="Courier New"/>
          <w:sz w:val="15"/>
          <w:szCs w:val="15"/>
          <w:color w:val="auto"/>
        </w:rPr>
        <w:t>TITLE OF EACH CLASS:</w:t>
      </w:r>
      <w:r>
        <w:rPr>
          <w:sz w:val="20"/>
          <w:szCs w:val="20"/>
          <w:color w:val="auto"/>
        </w:rPr>
        <w:tab/>
      </w:r>
      <w:r>
        <w:rPr>
          <w:rFonts w:ascii="Courier New" w:cs="Courier New" w:eastAsia="Courier New" w:hAnsi="Courier New"/>
          <w:sz w:val="14"/>
          <w:szCs w:val="14"/>
          <w:color w:val="auto"/>
        </w:rPr>
        <w:t>ON WHICH REGISTERED:</w:t>
      </w:r>
    </w:p>
    <w:p>
      <w:pPr>
        <w:ind w:left="780"/>
        <w:spacing w:after="0"/>
        <w:tabs>
          <w:tab w:leader="none" w:pos="3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1320"/>
        <w:spacing w:after="0"/>
        <w:tabs>
          <w:tab w:leader="none" w:pos="35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New York Stock Exchange</w:t>
      </w:r>
    </w:p>
    <w:p>
      <w:pPr>
        <w:ind w:left="780"/>
        <w:spacing w:after="0"/>
        <w:tabs>
          <w:tab w:leader="none" w:pos="3680" w:val="left"/>
        </w:tabs>
        <w:rPr>
          <w:sz w:val="20"/>
          <w:szCs w:val="20"/>
          <w:color w:val="auto"/>
        </w:rPr>
      </w:pPr>
      <w:r>
        <w:rPr>
          <w:rFonts w:ascii="Courier New" w:cs="Courier New" w:eastAsia="Courier New" w:hAnsi="Courier New"/>
          <w:sz w:val="15"/>
          <w:szCs w:val="15"/>
          <w:color w:val="auto"/>
        </w:rPr>
        <w:t>par value $0.01 per share</w:t>
      </w:r>
      <w:r>
        <w:rPr>
          <w:sz w:val="20"/>
          <w:szCs w:val="20"/>
          <w:color w:val="auto"/>
        </w:rPr>
        <w:tab/>
      </w:r>
      <w:r>
        <w:rPr>
          <w:rFonts w:ascii="Courier New" w:cs="Courier New" w:eastAsia="Courier New" w:hAnsi="Courier New"/>
          <w:sz w:val="14"/>
          <w:szCs w:val="14"/>
          <w:color w:val="auto"/>
        </w:rPr>
        <w:t>Pacific Stock Exchange</w:t>
      </w:r>
    </w:p>
    <w:p>
      <w:pPr>
        <w:spacing w:after="0" w:line="143" w:lineRule="exact"/>
        <w:rPr>
          <w:sz w:val="24"/>
          <w:szCs w:val="24"/>
          <w:color w:val="auto"/>
        </w:rPr>
      </w:pPr>
    </w:p>
    <w:p>
      <w:pPr>
        <w:ind w:left="600"/>
        <w:spacing w:after="0"/>
        <w:tabs>
          <w:tab w:leader="none" w:pos="5960" w:val="left"/>
        </w:tabs>
        <w:rPr>
          <w:sz w:val="20"/>
          <w:szCs w:val="20"/>
          <w:color w:val="auto"/>
        </w:rPr>
      </w:pPr>
      <w:r>
        <w:rPr>
          <w:rFonts w:ascii="Courier New" w:cs="Courier New" w:eastAsia="Courier New" w:hAnsi="Courier New"/>
          <w:sz w:val="15"/>
          <w:szCs w:val="15"/>
          <w:color w:val="auto"/>
        </w:rPr>
        <w:t>SECURITIES REGISTERED PURSUANT TO SECTION 12(g) OF THE ACT:</w:t>
        <w:tab/>
        <w:t>NONE</w:t>
      </w:r>
    </w:p>
    <w:p>
      <w:pPr>
        <w:spacing w:after="0" w:line="169" w:lineRule="exact"/>
        <w:rPr>
          <w:sz w:val="24"/>
          <w:szCs w:val="24"/>
          <w:color w:val="auto"/>
        </w:rPr>
      </w:pPr>
    </w:p>
    <w:p>
      <w:pPr>
        <w:ind w:left="260" w:right="3179" w:firstLine="353"/>
        <w:spacing w:after="0" w:line="26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5" w:lineRule="exact"/>
        <w:rPr>
          <w:sz w:val="24"/>
          <w:szCs w:val="24"/>
          <w:color w:val="auto"/>
        </w:rPr>
      </w:pPr>
    </w:p>
    <w:p>
      <w:pPr>
        <w:ind w:left="260" w:right="3539" w:firstLine="353"/>
        <w:spacing w:after="0" w:line="26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definite proxy or information statements incorporated by reference in Part III of this Form 10-K or any amendment to the Form 10-K [ ].</w:t>
      </w:r>
    </w:p>
    <w:p>
      <w:pPr>
        <w:spacing w:after="0" w:line="75"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The aggregate market value of the voting stock (which consists solely of</w:t>
      </w:r>
    </w:p>
    <w:p>
      <w:pPr>
        <w:spacing w:after="0" w:line="36"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shares of common stock) held by non-affiliates of the registrant was</w:t>
      </w:r>
    </w:p>
    <w:p>
      <w:pPr>
        <w:ind w:left="260"/>
        <w:spacing w:after="0"/>
        <w:rPr>
          <w:sz w:val="20"/>
          <w:szCs w:val="20"/>
          <w:color w:val="auto"/>
        </w:rPr>
      </w:pPr>
      <w:r>
        <w:rPr>
          <w:rFonts w:ascii="Courier New" w:cs="Courier New" w:eastAsia="Courier New" w:hAnsi="Courier New"/>
          <w:sz w:val="15"/>
          <w:szCs w:val="15"/>
          <w:color w:val="auto"/>
        </w:rPr>
        <w:t>$223,195,000 (computed by reference to the closing sale price as of May 22,</w:t>
      </w:r>
    </w:p>
    <w:p>
      <w:pPr>
        <w:ind w:left="260"/>
        <w:spacing w:after="0"/>
        <w:rPr>
          <w:sz w:val="20"/>
          <w:szCs w:val="20"/>
          <w:color w:val="auto"/>
        </w:rPr>
      </w:pPr>
      <w:r>
        <w:rPr>
          <w:rFonts w:ascii="Courier New" w:cs="Courier New" w:eastAsia="Courier New" w:hAnsi="Courier New"/>
          <w:sz w:val="15"/>
          <w:szCs w:val="15"/>
          <w:color w:val="auto"/>
        </w:rPr>
        <w:t>1998).</w:t>
      </w:r>
    </w:p>
    <w:p>
      <w:pPr>
        <w:spacing w:after="0" w:line="143" w:lineRule="exact"/>
        <w:rPr>
          <w:sz w:val="24"/>
          <w:szCs w:val="24"/>
          <w:color w:val="auto"/>
        </w:rPr>
      </w:pPr>
    </w:p>
    <w:p>
      <w:pPr>
        <w:ind w:right="3539" w:firstLine="617"/>
        <w:spacing w:after="0" w:line="347" w:lineRule="auto"/>
        <w:rPr>
          <w:sz w:val="20"/>
          <w:szCs w:val="20"/>
          <w:color w:val="auto"/>
        </w:rPr>
      </w:pPr>
      <w:r>
        <w:rPr>
          <w:rFonts w:ascii="Courier New" w:cs="Courier New" w:eastAsia="Courier New" w:hAnsi="Courier New"/>
          <w:sz w:val="15"/>
          <w:szCs w:val="15"/>
          <w:color w:val="auto"/>
        </w:rPr>
        <w:t>The registrant had 12,486,411 outstanding shares of common stock, par value $.01 per share, as of May 22, 1998.</w:t>
      </w:r>
    </w:p>
    <w:p>
      <w:pPr>
        <w:spacing w:after="0" w:line="17"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69" w:lineRule="exact"/>
        <w:rPr>
          <w:sz w:val="24"/>
          <w:szCs w:val="24"/>
          <w:color w:val="auto"/>
        </w:rPr>
      </w:pPr>
    </w:p>
    <w:p>
      <w:pPr>
        <w:ind w:right="3799" w:firstLine="705"/>
        <w:spacing w:after="0" w:line="347" w:lineRule="auto"/>
        <w:rPr>
          <w:sz w:val="20"/>
          <w:szCs w:val="20"/>
          <w:color w:val="auto"/>
        </w:rPr>
      </w:pPr>
      <w:r>
        <w:rPr>
          <w:rFonts w:ascii="Courier New" w:cs="Courier New" w:eastAsia="Courier New" w:hAnsi="Courier New"/>
          <w:sz w:val="15"/>
          <w:szCs w:val="15"/>
          <w:color w:val="auto"/>
        </w:rPr>
        <w:t>Part III - Definitive Proxy Statement for the 1998 Annual Meeting of Shareholders.</w:t>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740" w:type="dxa"/>
            <w:vAlign w:val="bottom"/>
          </w:tcPr>
          <w:p>
            <w:pPr>
              <w:spacing w:after="0"/>
              <w:rPr>
                <w:sz w:val="21"/>
                <w:szCs w:val="21"/>
                <w:color w:val="auto"/>
              </w:rPr>
            </w:pPr>
          </w:p>
        </w:tc>
        <w:tc>
          <w:tcPr>
            <w:tcW w:w="5720" w:type="dxa"/>
            <w:vAlign w:val="bottom"/>
          </w:tcPr>
          <w:p>
            <w:pPr>
              <w:ind w:left="2080"/>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PAGE</w:t>
            </w:r>
          </w:p>
        </w:tc>
        <w:tc>
          <w:tcPr>
            <w:tcW w:w="0" w:type="dxa"/>
            <w:vAlign w:val="bottom"/>
          </w:tcPr>
          <w:p>
            <w:pPr>
              <w:spacing w:after="0"/>
              <w:rPr>
                <w:sz w:val="1"/>
                <w:szCs w:val="1"/>
                <w:color w:val="auto"/>
              </w:rPr>
            </w:pPr>
          </w:p>
        </w:tc>
      </w:tr>
      <w:tr>
        <w:trPr>
          <w:trHeight w:val="246"/>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ITEM 1.</w:t>
            </w:r>
          </w:p>
        </w:tc>
        <w:tc>
          <w:tcPr>
            <w:tcW w:w="57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Business</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93"/>
        </w:trPr>
        <w:tc>
          <w:tcPr>
            <w:tcW w:w="740" w:type="dxa"/>
            <w:vAlign w:val="bottom"/>
            <w:vMerge w:val="continue"/>
          </w:tcPr>
          <w:p>
            <w:pPr>
              <w:spacing w:after="0"/>
              <w:rPr>
                <w:sz w:val="8"/>
                <w:szCs w:val="8"/>
                <w:color w:val="auto"/>
              </w:rPr>
            </w:pPr>
          </w:p>
        </w:tc>
        <w:tc>
          <w:tcPr>
            <w:tcW w:w="57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c>
          <w:tcPr>
            <w:tcW w:w="4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General</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History</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Description of Business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720" w:type="dxa"/>
            <w:vAlign w:val="bottom"/>
          </w:tcPr>
          <w:p>
            <w:pPr>
              <w:ind w:left="580"/>
              <w:spacing w:after="0"/>
              <w:rPr>
                <w:sz w:val="20"/>
                <w:szCs w:val="20"/>
                <w:color w:val="auto"/>
              </w:rPr>
            </w:pPr>
            <w:r>
              <w:rPr>
                <w:rFonts w:ascii="Courier New" w:cs="Courier New" w:eastAsia="Courier New" w:hAnsi="Courier New"/>
                <w:sz w:val="15"/>
                <w:szCs w:val="15"/>
                <w:color w:val="auto"/>
              </w:rPr>
              <w:t>Aviation Fuel Services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720" w:type="dxa"/>
            <w:vAlign w:val="bottom"/>
          </w:tcPr>
          <w:p>
            <w:pPr>
              <w:ind w:left="580"/>
              <w:spacing w:after="0"/>
              <w:rPr>
                <w:sz w:val="20"/>
                <w:szCs w:val="20"/>
                <w:color w:val="auto"/>
              </w:rPr>
            </w:pPr>
            <w:r>
              <w:rPr>
                <w:rFonts w:ascii="Courier New" w:cs="Courier New" w:eastAsia="Courier New" w:hAnsi="Courier New"/>
                <w:sz w:val="15"/>
                <w:szCs w:val="15"/>
                <w:color w:val="auto"/>
              </w:rPr>
              <w:t>Marine Fuel Services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720" w:type="dxa"/>
            <w:vAlign w:val="bottom"/>
          </w:tcPr>
          <w:p>
            <w:pPr>
              <w:ind w:left="580"/>
              <w:spacing w:after="0"/>
              <w:rPr>
                <w:sz w:val="20"/>
                <w:szCs w:val="20"/>
                <w:color w:val="auto"/>
              </w:rPr>
            </w:pPr>
            <w:r>
              <w:rPr>
                <w:rFonts w:ascii="Courier New" w:cs="Courier New" w:eastAsia="Courier New" w:hAnsi="Courier New"/>
                <w:sz w:val="15"/>
                <w:szCs w:val="15"/>
                <w:color w:val="auto"/>
              </w:rPr>
              <w:t>Oil Recycling</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720" w:type="dxa"/>
            <w:vAlign w:val="bottom"/>
          </w:tcPr>
          <w:p>
            <w:pPr>
              <w:ind w:left="580"/>
              <w:spacing w:after="0"/>
              <w:rPr>
                <w:sz w:val="20"/>
                <w:szCs w:val="20"/>
                <w:color w:val="auto"/>
              </w:rPr>
            </w:pPr>
            <w:r>
              <w:rPr>
                <w:rFonts w:ascii="Courier New" w:cs="Courier New" w:eastAsia="Courier New" w:hAnsi="Courier New"/>
                <w:sz w:val="15"/>
                <w:szCs w:val="15"/>
                <w:color w:val="auto"/>
              </w:rPr>
              <w:t>Potential Liability and Insurance</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5720" w:type="dxa"/>
            <w:vAlign w:val="bottom"/>
          </w:tcPr>
          <w:p>
            <w:pPr>
              <w:ind w:left="580"/>
              <w:spacing w:after="0"/>
              <w:rPr>
                <w:sz w:val="20"/>
                <w:szCs w:val="20"/>
                <w:color w:val="auto"/>
              </w:rPr>
            </w:pPr>
            <w:r>
              <w:rPr>
                <w:rFonts w:ascii="Courier New" w:cs="Courier New" w:eastAsia="Courier New" w:hAnsi="Courier New"/>
                <w:sz w:val="15"/>
                <w:szCs w:val="15"/>
                <w:color w:val="auto"/>
              </w:rPr>
              <w:t>Regulation</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Properties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Legal Proceedings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03" w:orient="portrait"/>
          <w:cols w:equalWidth="0" w:num="1">
            <w:col w:w="10219"/>
          </w:cols>
          <w:pgMar w:left="240" w:top="20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Market for Registrant's Common Equity and Related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Stockholder Matters</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Selected Financial Data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Management's Discussion and Analysis of Financial Condition and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Results of Operations</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Changes in and Disagreements with Accountants on Accounting and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Financial Disclosure</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Executive Compensation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Management</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Exhibits, Financial Statement Schedules and Reports on</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rPr>
              <w:t>Form 8-K</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5"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right="3179"/>
        <w:spacing w:after="0" w:line="248" w:lineRule="auto"/>
        <w:rPr>
          <w:sz w:val="20"/>
          <w:szCs w:val="20"/>
          <w:color w:val="auto"/>
        </w:rPr>
      </w:pPr>
      <w:r>
        <w:rPr>
          <w:rFonts w:ascii="Courier New" w:cs="Courier New" w:eastAsia="Courier New" w:hAnsi="Courier New"/>
          <w:sz w:val="15"/>
          <w:szCs w:val="15"/>
          <w:color w:val="auto"/>
        </w:rPr>
        <w:t>World Fuel Services Corporation (the "Company") markets aviation and marine fuel services, and recycles used oil. In its aviation fuel services business, the Company extends credit and provides around-the-world single-supplier convenience, 24-hour service, and competitively-priced aviation fuel and flight plans, weather reports, and other aviation related services to passenger, cargo and charter airlines, as well as corporate customers. In its marine fuel services business, the Company markets marine fuel and fuel management services to a broad base of international shipping companies and to the U.S. military. Services include credit terms, 24-hour around-the-world service and competitively priced fuel. In its oil recycling business, the Company collects and recycles non-hazardous petroleum products and petroleum contaminated liquids throughout the southern and mid-atlantic United States. The Company sells the recycled oil to industrial and commercial customers.</w:t>
      </w:r>
    </w:p>
    <w:p>
      <w:pPr>
        <w:spacing w:after="0" w:line="91" w:lineRule="exact"/>
        <w:rPr>
          <w:sz w:val="20"/>
          <w:szCs w:val="20"/>
          <w:color w:val="auto"/>
        </w:rPr>
      </w:pPr>
    </w:p>
    <w:p>
      <w:pPr>
        <w:ind w:right="3799"/>
        <w:spacing w:after="0" w:line="293" w:lineRule="auto"/>
        <w:rPr>
          <w:sz w:val="20"/>
          <w:szCs w:val="20"/>
          <w:color w:val="auto"/>
        </w:rPr>
      </w:pPr>
      <w:r>
        <w:rPr>
          <w:rFonts w:ascii="Courier New" w:cs="Courier New" w:eastAsia="Courier New" w:hAnsi="Courier New"/>
          <w:sz w:val="15"/>
          <w:szCs w:val="15"/>
          <w:color w:val="auto"/>
        </w:rPr>
        <w:t>Financial information with respect to the Company's business segments and foreign operations is provided in Note 7 to the accompanying financial statements.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w:t>
      </w:r>
    </w:p>
    <w:p>
      <w:pPr>
        <w:spacing w:after="0" w:line="16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The Company was incorporated in Florida in July 1984. Its executive offices are located at 700 South Royal Poinciana Boulevard, Suite 800, Miami Springs, Florida 33166 and its telephone number at this address is (305) 884-2001. The Company presently conducts its aviation fuel services business through ten subsidiaries and a joint venture, with principal offices in Florida, Texas, England, Singapore, Mexico, Ecuador and Costa Rica. The Company conducts its marine fuel services business through six subsidiaries with principal offices in New Jersey, California, Washington, England, Costa Rica, South Korea and Singapore, and its oil recycling business is conducted through five subsidiaries with offices in Florida, Louisiana, Maryland and Delaware. See "Item 2 - Properties" for a list of principal offices by business segment and "Exhibit 21 - - Subsidiaries of the Registrant".</w:t>
      </w:r>
    </w:p>
    <w:p>
      <w:pPr>
        <w:spacing w:after="0" w:line="88"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4"/>
          <w:szCs w:val="14"/>
          <w:color w:val="auto"/>
        </w:rPr>
        <w:t>The Company began operations in 1984 as a used oil recycler in the southeast United States. The Company expanded this business through acquisitions, the development of new processing technology and the establishment of new offices. In 1986, the Company diversified its operations by entering, through an acquisition, the aviation fuel services business. This new segment expanded rapidly, from a business primarily concentrated in the state of Florida, to an international sales company covering airports throughout the world. This expansion resulted from acquisitions and the establishment of new offices.</w:t>
      </w:r>
    </w:p>
    <w:p>
      <w:pPr>
        <w:spacing w:after="0" w:line="72"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In 1995, the Company further diversified its fuel services operations through the acquisition of a group of companies which are considered leaders in the marine fuel services business. This new segment provided the Company with operational and supplier side synergies and entry into fast growing markets in the Far East and Eastern Europe.</w:t>
      </w:r>
    </w:p>
    <w:p>
      <w:pPr>
        <w:spacing w:after="0" w:line="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19"/>
          </w:cols>
          <w:pgMar w:left="240" w:top="601" w:right="1440" w:bottom="1440" w:gutter="0" w:footer="0" w:header="0"/>
        </w:sectPr>
      </w:pPr>
    </w:p>
    <w:bookmarkStart w:id="3" w:name="page4"/>
    <w:bookmarkEnd w:id="3"/>
    <w:p>
      <w:pPr>
        <w:ind w:right="3359"/>
        <w:spacing w:after="0" w:line="275" w:lineRule="auto"/>
        <w:rPr>
          <w:sz w:val="20"/>
          <w:szCs w:val="20"/>
          <w:color w:val="auto"/>
        </w:rPr>
      </w:pPr>
      <w:r>
        <w:rPr>
          <w:rFonts w:ascii="Courier New" w:cs="Courier New" w:eastAsia="Courier New" w:hAnsi="Courier New"/>
          <w:sz w:val="15"/>
          <w:szCs w:val="15"/>
          <w:color w:val="auto"/>
        </w:rPr>
        <w:t>In January 1998, the Company purchased all of the outstanding stock of Baseops International, Inc. and its affiliates ("Baseops"). Baseops provides a sophisticated array of aviation services to a diversified clientele of corporate, government, and private aircraft worldwide.</w:t>
      </w:r>
    </w:p>
    <w:p>
      <w:pPr>
        <w:spacing w:after="0" w:line="69"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See "Item 7 - Management's Discussion and Analysis of Financial Condition and Results of Operations" and Note 1 to the accompanying financial statements for additional information.</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BUSINESS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AVIATION FUEL SERVICES</w:t>
      </w:r>
    </w:p>
    <w:p>
      <w:pPr>
        <w:spacing w:after="0" w:line="1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The Company markets aviation fuel and services to passenger, cargo and charter airlines, as well as corporate customers. The Company has developed an extensive network which enables it to provide fuel and aviation related services to customers at airports throughout the world. The aviation services offered by the Company include flight plans, weather reports, ground handling, and obtaining flight permits.</w:t>
      </w:r>
    </w:p>
    <w:p>
      <w:pPr>
        <w:spacing w:after="0" w:line="78"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In general, the aviation industry is capital intensive and highly leveraged. Recognizing the financial risks of the airline industry, fuel suppliers generally refrain from extending unsecured lines of credit to smaller airlines and avoid doing business with smaller airlines directly. Consequently, most carriers are required to post a cash collateralized letter of credit or prepay for fuel purchases. This impacts the airlines' working capital. The Company recognizes that the extension of credit is a risk but also a significant area of opportunity. Accordingly, the Company extends unsecured credit to many of its customers.</w:t>
      </w:r>
    </w:p>
    <w:p>
      <w:pPr>
        <w:spacing w:after="0" w:line="89" w:lineRule="exact"/>
        <w:rPr>
          <w:sz w:val="20"/>
          <w:szCs w:val="20"/>
          <w:color w:val="auto"/>
        </w:rPr>
      </w:pPr>
    </w:p>
    <w:p>
      <w:pPr>
        <w:ind w:right="3259"/>
        <w:spacing w:after="0" w:line="283" w:lineRule="auto"/>
        <w:rPr>
          <w:sz w:val="20"/>
          <w:szCs w:val="20"/>
          <w:color w:val="auto"/>
        </w:rPr>
      </w:pPr>
      <w:r>
        <w:rPr>
          <w:rFonts w:ascii="Courier New" w:cs="Courier New" w:eastAsia="Courier New" w:hAnsi="Courier New"/>
          <w:sz w:val="14"/>
          <w:szCs w:val="14"/>
          <w:color w:val="auto"/>
        </w:rPr>
        <w:t>The Company purchases its aviation fuel from suppliers worldwide. The Company's cost of fuel is generally tied to market-based formulas or is government controlled. The Company is usually extended unsecured trade credit for its fuel purchases. However, certain suppliers require a letter of credit. The Company may prepay its fuel purchases to take advantage of financial discounts, or as required to transact business in certain countries.</w:t>
      </w:r>
    </w:p>
    <w:p>
      <w:pPr>
        <w:spacing w:after="0" w:line="64"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Outside of the United States, the Company does not maintain fuel inventory and arranges to have the fuel delivered directly into the customer's aircraft. In the United States, sales are made directly into a customer's aircraft or the customer's designated storage with fuel provided by the Company's suppliers or delivered from the Company's inventory. Inventory is held at multiple locations in the United States for competitive reasons and inventory levels are kept at an operating minimum. The Company has arrangements with its suppliers and other third parties for the delivery of fuel.</w:t>
      </w:r>
    </w:p>
    <w:p>
      <w:pPr>
        <w:spacing w:after="0" w:line="87"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The primary risk in the Company's aviation fueling business is the extension of unsecured trade credit. The Company's success in attracting business has been due, in large part, to its willingness to extend credit on an unsecured basis to customers which exhibit a higher credit risk profile and would otherwise be required to prepay or post cash collateralized letters of credit with their suppliers of fuel. The Company's management recognizes that extending credit and setting appropriate reserves for receivables is largely a subjective decision based on knowledge of the customer. Active management of this risk is essential to the Company's success. A strong capital position and liquidity provide the financial flexibility necessary to respond to customer needs. Diversification of risk is difficult since the</w:t>
      </w:r>
    </w:p>
    <w:p>
      <w:pPr>
        <w:spacing w:after="0" w:line="8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601" w:right="1440" w:bottom="1440" w:gutter="0" w:footer="0" w:header="0"/>
        </w:sectPr>
      </w:pPr>
    </w:p>
    <w:bookmarkStart w:id="4" w:name="page5"/>
    <w:bookmarkEnd w:id="4"/>
    <w:p>
      <w:pPr>
        <w:ind w:right="3259"/>
        <w:spacing w:after="0" w:line="275" w:lineRule="auto"/>
        <w:rPr>
          <w:sz w:val="20"/>
          <w:szCs w:val="20"/>
          <w:color w:val="auto"/>
        </w:rPr>
      </w:pPr>
      <w:r>
        <w:rPr>
          <w:rFonts w:ascii="Courier New" w:cs="Courier New" w:eastAsia="Courier New" w:hAnsi="Courier New"/>
          <w:sz w:val="15"/>
          <w:szCs w:val="15"/>
          <w:color w:val="auto"/>
        </w:rPr>
        <w:t>Company sells primarily within the airline industry. The Company's management meets regularly to evaluate credit exposure in the aggregate, and by individual credit. This group is also responsible for setting and maintaining credit standards and ensuring the overall quality of the credit portfolio.</w:t>
      </w:r>
    </w:p>
    <w:p>
      <w:pPr>
        <w:spacing w:after="0" w:line="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The level of credit granted to a customer is largely influenced by its estimated fuel requirements for thirty to forty-five days. This period of time represents the average business cycle of the Company's typical customer. The Company regularly monitors its credit portfolio by reviewing a customer's payment patterns and estimated overall exposure, including estimated unbilled fuel sales.</w:t>
      </w:r>
    </w:p>
    <w:p>
      <w:pPr>
        <w:spacing w:after="0" w:line="78"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During the fiscal years ended March 31, 1998, 1997 and 1996, none of the Company's aviation fuel customers accounted for more than 10% of the Company's consolidated revenue. The Company currently employs 128 persons in its aviation fuel services segment.</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MARINE FUEL SERVICES</w:t>
      </w:r>
    </w:p>
    <w:p>
      <w:pPr>
        <w:spacing w:after="0" w:line="169"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Company, through its Trans-Tec Services subsidiaries, markets marine fuel and services related to the marine business to a broad base of customers, including international container and tanker fleets, time charter operators, as well as U.S. military vessels. Fuel and related services are provided throughout the world.</w:t>
      </w:r>
    </w:p>
    <w:p>
      <w:pPr>
        <w:spacing w:after="0" w:line="75" w:lineRule="exact"/>
        <w:rPr>
          <w:sz w:val="20"/>
          <w:szCs w:val="20"/>
          <w:color w:val="auto"/>
        </w:rPr>
      </w:pPr>
    </w:p>
    <w:p>
      <w:pPr>
        <w:ind w:right="3179"/>
        <w:spacing w:after="0" w:line="283" w:lineRule="auto"/>
        <w:rPr>
          <w:sz w:val="20"/>
          <w:szCs w:val="20"/>
          <w:color w:val="auto"/>
        </w:rPr>
      </w:pPr>
      <w:r>
        <w:rPr>
          <w:rFonts w:ascii="Courier New" w:cs="Courier New" w:eastAsia="Courier New" w:hAnsi="Courier New"/>
          <w:sz w:val="14"/>
          <w:szCs w:val="14"/>
          <w:color w:val="auto"/>
        </w:rPr>
        <w:t>Through strategic sales offices located in the United States, Singapore, England, Denmark, South Africa, South Korea and Costa Rica, Trans-Tec Services provides its customers global market intelligence and rapid access to quality and competitively priced marine fuel, 24-hours a day, every day of the year. The cost of fuel is a major component of a vessel's operating overhead. Therefore, the need for cost effective and professional fueling services is essential.</w:t>
      </w:r>
    </w:p>
    <w:p>
      <w:pPr>
        <w:spacing w:after="0" w:line="64"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As an increasing number of ship owners, time charter operators, and suppliers look to outsource their marine fuel purchasing and/or marketing needs, Trans-Tec Services' value added service has become an integral part of the oil and transportation industries' push to shed non-core functions. Suppliers use Trans-Tec Services' global sales, marketing and financial infrastructure to sell a spot or ratable volume of product to a diverse, international purchasing community. End customers use Trans-Tec Services' real time analysis of the availability, quality, and price of marine fuels in ports worldwide to maximize their competitive position.</w:t>
      </w:r>
    </w:p>
    <w:p>
      <w:pPr>
        <w:spacing w:after="0" w:line="89"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Trans-Tec Services acts as a broker and as a source of market information for the end user, negotiates the transaction by arranging the fuel purchase contract between the supplier and end user, and expedites the arrangements for the delivery of fuel. For this service, Trans-Tec Services is paid a commission from the supplier. Trans-Tec Services also acts as a reseller, when it purchases the fuel from a supplier, marks it up, and resells the fuel to a customer at a profit. The Company holds inventory in its offshore fueling operations and assumes minimal price risk; however, in most resale transactions the Company extends unsecured trade credit.</w:t>
      </w:r>
    </w:p>
    <w:p>
      <w:pPr>
        <w:spacing w:after="0" w:line="89" w:lineRule="exact"/>
        <w:rPr>
          <w:sz w:val="20"/>
          <w:szCs w:val="20"/>
          <w:color w:val="auto"/>
        </w:rPr>
      </w:pPr>
    </w:p>
    <w:p>
      <w:pPr>
        <w:ind w:right="3259"/>
        <w:spacing w:after="0" w:line="289" w:lineRule="auto"/>
        <w:rPr>
          <w:sz w:val="20"/>
          <w:szCs w:val="20"/>
          <w:color w:val="auto"/>
        </w:rPr>
      </w:pPr>
      <w:r>
        <w:rPr>
          <w:rFonts w:ascii="Courier New" w:cs="Courier New" w:eastAsia="Courier New" w:hAnsi="Courier New"/>
          <w:sz w:val="14"/>
          <w:szCs w:val="14"/>
          <w:color w:val="auto"/>
        </w:rPr>
        <w:t>The Company's management meets regularly to evaluate credit exposure in the aggregate and by individual credit. This group is also responsible for setting and maintaining credit standards and ensuring the overall quality of the credit portfolio. The level of credit is largely influenced by a customer's credit history with the Company, including claims experience and payment patterns.</w:t>
      </w:r>
    </w:p>
    <w:p>
      <w:pPr>
        <w:spacing w:after="0" w:line="6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19"/>
          </w:cols>
          <w:pgMar w:left="240" w:top="601" w:right="1440" w:bottom="1440" w:gutter="0" w:footer="0" w:header="0"/>
        </w:sectPr>
      </w:pPr>
    </w:p>
    <w:bookmarkStart w:id="5" w:name="page6"/>
    <w:bookmarkEnd w:id="5"/>
    <w:p>
      <w:pPr>
        <w:ind w:right="3539"/>
        <w:spacing w:after="0" w:line="275" w:lineRule="auto"/>
        <w:rPr>
          <w:sz w:val="20"/>
          <w:szCs w:val="20"/>
          <w:color w:val="auto"/>
        </w:rPr>
      </w:pPr>
      <w:r>
        <w:rPr>
          <w:rFonts w:ascii="Courier New" w:cs="Courier New" w:eastAsia="Courier New" w:hAnsi="Courier New"/>
          <w:sz w:val="15"/>
          <w:szCs w:val="15"/>
          <w:color w:val="auto"/>
        </w:rPr>
        <w:t>During the fiscal years ended March 31, 1998, 1997 and 1996, none of the Company's marine fuel customers accounted for more than 10% of the Company's consolidated revenue. The Company currently employs 72 persons in its marine fuel services segment.</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OIL RECYCLING</w:t>
      </w:r>
    </w:p>
    <w:p>
      <w:pPr>
        <w:spacing w:after="0" w:line="1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The Company, through its International Petroleum Corporation subsidiaries ("IPC"), collects, blends, and recycles petroleum products and petroleum contaminated water. The Company's recycled oil products are sold primarily to industrial and commercial customers. The Company generates revenue from the sale of its recycled oil products and from fees paid by customers for the collection of used oil, contaminated water and other non-hazardous liquids.</w:t>
      </w:r>
    </w:p>
    <w:p>
      <w:pPr>
        <w:spacing w:after="0" w:line="78"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IPC collects only non-hazardous waste oil, waste water, anti-freeze and petroleum contaminated liquids from generators such as service stations, quick lube shops, automobile dealerships, and industrial, governmental, marine, and utility generators. The Company uses its own fleet of trucks to collect approximately 60 percent of its needs from generators within close proximity to its facilities. The balance is sourced from independent collectors. Every shipment is analyzed at the collection site or at the Company's laboratories to determine its specifications and the treatment needed to convert the waste fluid into marketable fuel products.</w:t>
      </w:r>
    </w:p>
    <w:p>
      <w:pPr>
        <w:spacing w:after="0" w:line="89"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The Company has three recycling facilities. The facilities located in Plant City, Florida and Wilmington, Delaware utilize a closed-loop, two stage distillation process. The Company's third recycling facility, located in New Orleans, Louisiana, utilizes a batch recycling process. The Company also has collection and transfer facilities in Baltimore, Maryland, Jacksonville, Florida, and Trenton, New Jersey. The resulting recycled oil product is sold as is, or it may be blended to customer specification. The Company's products range from commercial diesel fuel to #6 grade residual oil.</w:t>
      </w:r>
    </w:p>
    <w:p>
      <w:pPr>
        <w:spacing w:after="0" w:line="87"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used oil industry is highly fragmented and consists primarily of small scale operators that collect and resell used oil, many of which lack the necessary facilities to adequately test and recycle the oil. However, the industry also includes a few large-scale operators that have the facilities to collect, re-refine, and market lubricating products.</w:t>
      </w:r>
    </w:p>
    <w:p>
      <w:pPr>
        <w:spacing w:after="0" w:line="75"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During the fiscal years ended March 31, 1998, 1997 and 1996, none of the Company's recycled fuel customers accounted for more than 10% of the Company's consolidated revenue. The Company currently employs 164 persons in the oil recycling segment.</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POTENTIAL LIABILITY AND INSURANCE</w:t>
      </w:r>
    </w:p>
    <w:p>
      <w:pPr>
        <w:spacing w:after="0" w:line="169"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The Company, through the use of subcontractors and its own operations, transports, stores or processes flammable aviation, marine and residual fuel subjecting it to possible claims by employees, customers, regulators and others who may be injured. In addition, the Company may be held liable for the clean-up costs of spills or releases of materials from its facilities or vehicles, or for damages to natural resources arising out of such events. The Company follows what it believes to be prudent procedures to protect its employees and customers and to prevent spills or releases of these materials. The Company's domestic and international fueling activities also subject it to the risks of significant potential liability under federal and state statutes, common law and indemnification agreements. The</w:t>
      </w:r>
    </w:p>
    <w:p>
      <w:pPr>
        <w:spacing w:after="0" w:line="8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19"/>
          </w:cols>
          <w:pgMar w:left="240" w:top="601" w:right="1440" w:bottom="1440" w:gutter="0" w:footer="0" w:header="0"/>
        </w:sectPr>
      </w:pPr>
    </w:p>
    <w:bookmarkStart w:id="6" w:name="page7"/>
    <w:bookmarkEnd w:id="6"/>
    <w:p>
      <w:pPr>
        <w:ind w:right="3359"/>
        <w:spacing w:after="0" w:line="293" w:lineRule="auto"/>
        <w:rPr>
          <w:sz w:val="20"/>
          <w:szCs w:val="20"/>
          <w:color w:val="auto"/>
        </w:rPr>
      </w:pPr>
      <w:r>
        <w:rPr>
          <w:rFonts w:ascii="Courier New" w:cs="Courier New" w:eastAsia="Courier New" w:hAnsi="Courier New"/>
          <w:sz w:val="15"/>
          <w:szCs w:val="15"/>
          <w:color w:val="auto"/>
        </w:rPr>
        <w:t>Company has general and automobile liability insurance coverage, including the statutory Motor Carrier Act/MCS 90 endorsement for sudden and accidental pollution.</w:t>
      </w:r>
    </w:p>
    <w:p>
      <w:pPr>
        <w:spacing w:after="0" w:line="5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In the aviation and marine fuel segments, the Company utilizes subcontractors which provide various services to customers, including intoplane fueling at airports, fueling of vessels in port and at sea, and transportation and storage of fuel and fuel products. Although the Company generally requires its subcontractors to carry liability insurance, not all subcontractors carry adequate insurance. The Company's liability insurance policy does not cover the acts or omissions of its subcontractors. If the Company is held responsible for any liability caused by its subcontractors, and such liability is not adequately covered by the subcontractor's insurance and is of sufficient magnitude, the Company's financial position and results of operations will be adversely affected.</w:t>
      </w:r>
    </w:p>
    <w:p>
      <w:pPr>
        <w:spacing w:after="0" w:line="87"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The Company has exited several environmental businesses which handled hazardous waste. This waste was transported to various disposal facilities and/or treated by the Company. The Company may be held liable as a potentially responsible party for the clean-up of such disposal facilities in certain cases pursuant to current federal and state laws and regulations.</w:t>
      </w:r>
    </w:p>
    <w:p>
      <w:pPr>
        <w:spacing w:after="0" w:line="75"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Company continuously reviews the adequacy of its insurance coverage. However, the Company lacks coverage for various risks. A claim arising out of the Company's activities, if successful and of sufficient magnitude, will have a material adverse effect on the Company's financial position and results of operations.</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REGULATION</w:t>
      </w:r>
    </w:p>
    <w:p>
      <w:pPr>
        <w:spacing w:after="0" w:line="169" w:lineRule="exact"/>
        <w:rPr>
          <w:sz w:val="20"/>
          <w:szCs w:val="20"/>
          <w:color w:val="auto"/>
        </w:rPr>
      </w:pPr>
    </w:p>
    <w:p>
      <w:pPr>
        <w:ind w:right="3179"/>
        <w:spacing w:after="0" w:line="300" w:lineRule="auto"/>
        <w:rPr>
          <w:sz w:val="20"/>
          <w:szCs w:val="20"/>
          <w:color w:val="auto"/>
        </w:rPr>
      </w:pPr>
      <w:r>
        <w:rPr>
          <w:rFonts w:ascii="Courier New" w:cs="Courier New" w:eastAsia="Courier New" w:hAnsi="Courier New"/>
          <w:sz w:val="14"/>
          <w:szCs w:val="14"/>
          <w:color w:val="auto"/>
        </w:rPr>
        <w:t>The Company's operations are subject to substantial regulation by federal, state and local government agencies, including, but not limited to, regulations which restrict the transportation, storage and disposal of hazardous waste and the collection, transportation, processing, storage, use and disposal of waste oil.</w:t>
      </w:r>
    </w:p>
    <w:p>
      <w:pPr>
        <w:spacing w:after="0" w:line="55"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The principal U.S. federal statutes affecting the business of the Company and the markets it serves are as follows:</w:t>
      </w:r>
    </w:p>
    <w:p>
      <w:pPr>
        <w:spacing w:after="0" w:line="17" w:lineRule="exact"/>
        <w:rPr>
          <w:sz w:val="20"/>
          <w:szCs w:val="20"/>
          <w:color w:val="auto"/>
        </w:rPr>
      </w:pPr>
    </w:p>
    <w:p>
      <w:pPr>
        <w:ind w:right="3179"/>
        <w:spacing w:after="0" w:line="268" w:lineRule="auto"/>
        <w:rPr>
          <w:sz w:val="20"/>
          <w:szCs w:val="20"/>
          <w:color w:val="auto"/>
        </w:rPr>
      </w:pPr>
      <w:r>
        <w:rPr>
          <w:rFonts w:ascii="Courier New" w:cs="Courier New" w:eastAsia="Courier New" w:hAnsi="Courier New"/>
          <w:sz w:val="14"/>
          <w:szCs w:val="14"/>
          <w:color w:val="auto"/>
        </w:rPr>
        <w:t>THE COMPREHENSIVE ENVIRONMENTAL RESPONSE, COMPENSATION AND LIABILITY ACT OF 1980 ("SUPERFUND" OR "CERCLA") establishes a program for federally directed response or remedial actions with respect to the uncontrolled discharge of hazardous substances, pollutants or contaminants, including waste oil, into the environment. The law authorizes the federal government either to seek a binding order directing responsible parties to undertake such actions or authorizes the federal government to undertake such actions and then to seek compensation for the cost of clean-up and other damages from potentially responsible parties. Congress established a federally-managed trust fund, commonly known as the Superfund, to fund response and remedial actions undertaken by the federal government. The trust fund is used to fund federally conducted actions when no financially able or willing responsible party has been found.</w:t>
      </w:r>
    </w:p>
    <w:p>
      <w:pPr>
        <w:spacing w:after="0" w:line="78"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THE SUPERFUND AMENDMENTS AND RE-AUTHORIZATION ACT OF 1986 ("SARA") adopted more detailed and stringent standards for remedial action at Superfund sites, and clarified provisions requiring damage assessments to determine the extent and monetary value of injury to natural resources. SARA also provides a separate funding mechanism for the clean-up of underground storage tanks.</w:t>
      </w:r>
    </w:p>
    <w:p>
      <w:pPr>
        <w:spacing w:after="0" w:line="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19"/>
          </w:cols>
          <w:pgMar w:left="240" w:top="601" w:right="1440" w:bottom="1440" w:gutter="0" w:footer="0" w:header="0"/>
        </w:sectPr>
      </w:pPr>
    </w:p>
    <w:bookmarkStart w:id="7" w:name="page8"/>
    <w:bookmarkEnd w:id="7"/>
    <w:p>
      <w:pPr>
        <w:ind w:right="3179"/>
        <w:spacing w:after="0" w:line="247" w:lineRule="auto"/>
        <w:rPr>
          <w:sz w:val="20"/>
          <w:szCs w:val="20"/>
          <w:color w:val="auto"/>
        </w:rPr>
      </w:pPr>
      <w:r>
        <w:rPr>
          <w:rFonts w:ascii="Courier New" w:cs="Courier New" w:eastAsia="Courier New" w:hAnsi="Courier New"/>
          <w:sz w:val="15"/>
          <w:szCs w:val="15"/>
          <w:color w:val="auto"/>
        </w:rPr>
        <w:t>THE RESOURCE CONSERVATION AND RECOVERY ACT OF 1976 ("RCRA") established a comprehensive regulatory framework for the management of hazardous waste at active facilities, complementing the Superfund program which addresses inactive and abandoned waste sites. RCRA sets up a "cradle-to-grave" system for the management of hazardous waste, imposing upon all parties who generate, transport, treat, store or dispose of waste, above certain minimum quantities, requirements for performance, testing and record keeping. RCRA also requires new and existing facilities to obtain permits for construction, operation and closure and requires 30 years of post-closure care and monitoring. RCRA was amended in 1984 to increase the scope of RCRA regulation of small quantity waste generators and waste oil handlers and recyclers; require corrective action at hazardous waste facilities (including remediation at certain previously closed solid waste management units); phase in restrictions on disposal of hazardous waste; and require the identification and regulation of underground storage tanks containing petroleum and certain chemicals.</w:t>
      </w:r>
    </w:p>
    <w:p>
      <w:pPr>
        <w:spacing w:after="0" w:line="89"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On November 29, 1985, the Environmental Protection Agency ("EPA") issued final regulations under RCRA which restrict the burning of waste oil. These regulations prohibit burning waste oil in non-industrial boilers unless the oil meets certain standards for levels of lead, arsenic, chromium, chlorine, cadmium, and flashpoint. The regulations do not restrict the burning of waste oil in industrial boilers and furnaces. These regulations have not had a significant impact on the Company's business because the Company does not presently sell recycled fuel to non-industrial burners. Industrial burners of recycled oil, however, must comply with certain notification and administrative procedures.</w:t>
      </w:r>
    </w:p>
    <w:p>
      <w:pPr>
        <w:spacing w:after="0" w:line="88" w:lineRule="exact"/>
        <w:rPr>
          <w:sz w:val="20"/>
          <w:szCs w:val="20"/>
          <w:color w:val="auto"/>
        </w:rPr>
      </w:pPr>
    </w:p>
    <w:p>
      <w:pPr>
        <w:ind w:right="3259"/>
        <w:spacing w:after="0" w:line="247" w:lineRule="auto"/>
        <w:rPr>
          <w:sz w:val="20"/>
          <w:szCs w:val="20"/>
          <w:color w:val="auto"/>
        </w:rPr>
      </w:pPr>
      <w:r>
        <w:rPr>
          <w:rFonts w:ascii="Courier New" w:cs="Courier New" w:eastAsia="Courier New" w:hAnsi="Courier New"/>
          <w:sz w:val="15"/>
          <w:szCs w:val="15"/>
          <w:color w:val="auto"/>
        </w:rPr>
        <w:t>THE CLEAN AIR ACT OF 1970, as amended in 1977, was the first major federal legislation enacted after NEPA became law. The Act authorized the EPA to establish National Ambient Air Quality Standards for certain pollutants, which are to be achieved by the individual states through State Implementation Plans ("SIPs"). SIPs typically attempt to meet ambient standards by regulating the quantity and quality of emissions from specific industrial sources. For toxic emissions, the Act authorizes the EPA to regulate emissions from industrial facilities directly. The EPA also directly establishes emissions limits for new sources of pollution, and is responsible for ensuring compliance with air quality standards. The Clean Air Act Amendments of 1990 place the primary responsibility for the prevention and control of air pollution upon state and local governments. The 1990 amendments require regulated emission sources to obtain operating permits, which could impose emission limitations, standards, and compliance schedules.</w:t>
      </w:r>
    </w:p>
    <w:p>
      <w:pPr>
        <w:spacing w:after="0" w:line="94"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THE CLEAN WATER ACT OF 1972, as amended in 1987, establishes water pollutant discharge standards applicable to many basic types of manufacturing plants and imposes standards on municipal sewage treatment plants. The Act requires states to set water quality standards for significant bodies of water within their boundaries and to ensure attainment and/or maintenance of those standards. Most industrial and government facilities must apply for and obtain discharge permits, monitor pollutant discharges, and under certain conditions reduce certain discharges.</w:t>
      </w:r>
    </w:p>
    <w:p>
      <w:pPr>
        <w:spacing w:after="0" w:line="87" w:lineRule="exact"/>
        <w:rPr>
          <w:sz w:val="20"/>
          <w:szCs w:val="20"/>
          <w:color w:val="auto"/>
        </w:rPr>
      </w:pPr>
    </w:p>
    <w:p>
      <w:pPr>
        <w:ind w:right="3179"/>
        <w:spacing w:after="0" w:line="278" w:lineRule="auto"/>
        <w:rPr>
          <w:sz w:val="20"/>
          <w:szCs w:val="20"/>
          <w:color w:val="auto"/>
        </w:rPr>
      </w:pPr>
      <w:r>
        <w:rPr>
          <w:rFonts w:ascii="Courier New" w:cs="Courier New" w:eastAsia="Courier New" w:hAnsi="Courier New"/>
          <w:sz w:val="14"/>
          <w:szCs w:val="14"/>
          <w:color w:val="auto"/>
        </w:rPr>
        <w:t>THE SAFE DRINKING WATER ACT, as amended in 1986, regulates public water supplies by requiring the EPA to establish primary drinking water standards. These standards are likely to be further expanded under the EPA's evolving groundwater protection strategy which is intended to set levels of protection or clean-up of the nation's groundwater resources. These groundwater quality requirements will then be applied to RCRA facilities and CERCLA sites, and remedial action will be required for releases of contaminants into groundwater.</w:t>
      </w:r>
    </w:p>
    <w:p>
      <w:pPr>
        <w:spacing w:after="0" w:line="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19"/>
          </w:cols>
          <w:pgMar w:left="240" w:top="601" w:right="1440" w:bottom="1440" w:gutter="0" w:footer="0" w:header="0"/>
        </w:sectPr>
      </w:pPr>
    </w:p>
    <w:bookmarkStart w:id="8" w:name="page9"/>
    <w:bookmarkEnd w:id="8"/>
    <w:p>
      <w:pPr>
        <w:ind w:right="3179"/>
        <w:spacing w:after="0" w:line="273" w:lineRule="auto"/>
        <w:rPr>
          <w:sz w:val="20"/>
          <w:szCs w:val="20"/>
          <w:color w:val="auto"/>
        </w:rPr>
      </w:pPr>
      <w:r>
        <w:rPr>
          <w:rFonts w:ascii="Courier New" w:cs="Courier New" w:eastAsia="Courier New" w:hAnsi="Courier New"/>
          <w:sz w:val="14"/>
          <w:szCs w:val="14"/>
          <w:color w:val="auto"/>
        </w:rPr>
        <w:t>THE INTERNATIONAL CONVENTION FOR THE PREVENTION OF POLLUTION FROM SHIPS ("MARPOL") places strict limitations on the discharge of oil at sea and in port and requires ships to transfer oily waste to certified reception facilities. The U.S. Coast Guard has issued regulations effective March 10, 1986 which implement the requirements of MARPOL. Under these regulations, each terminal and port of the United States that services oceangoing tankers or cargo ships over 400 gross tons must be capable of receiving an average amount of oily waste based on the type and number of ships it serves. The reception facilities may be fixed or mobile, and may include tank trucks and tank barges.</w:t>
      </w:r>
    </w:p>
    <w:p>
      <w:pPr>
        <w:spacing w:after="0" w:line="71" w:lineRule="exact"/>
        <w:rPr>
          <w:sz w:val="20"/>
          <w:szCs w:val="20"/>
          <w:color w:val="auto"/>
        </w:rPr>
      </w:pPr>
    </w:p>
    <w:p>
      <w:pPr>
        <w:ind w:right="3259"/>
        <w:spacing w:after="0" w:line="283" w:lineRule="auto"/>
        <w:rPr>
          <w:sz w:val="20"/>
          <w:szCs w:val="20"/>
          <w:color w:val="auto"/>
        </w:rPr>
      </w:pPr>
      <w:r>
        <w:rPr>
          <w:rFonts w:ascii="Courier New" w:cs="Courier New" w:eastAsia="Courier New" w:hAnsi="Courier New"/>
          <w:sz w:val="14"/>
          <w:szCs w:val="14"/>
          <w:color w:val="auto"/>
        </w:rPr>
        <w:t>THE NATIONAL POLLUTANT DISCHARGE ELIMINATION SYSTEM ("NPDES"), a program promulgated under the Clean Water Act, permits states to issue permits for the discharge of pollutants into the waters of the United States in lieu of federal EPA regulation. State programs must be consistent with minimum federal requirements, although they may be more stringent. NPDES permits are required for, among other things, certain industrial discharges of storm water.</w:t>
      </w:r>
    </w:p>
    <w:p>
      <w:pPr>
        <w:spacing w:after="0" w:line="64"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4"/>
          <w:szCs w:val="14"/>
          <w:color w:val="auto"/>
        </w:rPr>
        <w:t>THE OIL POLLUTION ACT OF 1990 imposes liability for oil discharges, or threats of discharge, into the navigable waters of the United States on the owner or operator of the responsible vessel or facility. Oil is defined to include oil refuse and oil mixed with wastes other than dredged spoil, but does not include oil designated as a hazardous substance under CERCLA. The Act requires the responsible party to pay all removal costs, including the costs to prevent, minimize or mitigate oil pollution in any case in which there is a substantial threat of an actual discharge of oil. In addition, the responsible party may be held liable for damages for injury to natural resources, loss of use of natural resources and loss of revenues from the use of such resources.</w:t>
      </w:r>
    </w:p>
    <w:p>
      <w:pPr>
        <w:spacing w:after="0" w:line="74" w:lineRule="exact"/>
        <w:rPr>
          <w:sz w:val="20"/>
          <w:szCs w:val="20"/>
          <w:color w:val="auto"/>
        </w:rPr>
      </w:pPr>
    </w:p>
    <w:p>
      <w:pPr>
        <w:ind w:right="3179"/>
        <w:spacing w:after="0" w:line="248" w:lineRule="auto"/>
        <w:rPr>
          <w:sz w:val="20"/>
          <w:szCs w:val="20"/>
          <w:color w:val="auto"/>
        </w:rPr>
      </w:pPr>
      <w:r>
        <w:rPr>
          <w:rFonts w:ascii="Courier New" w:cs="Courier New" w:eastAsia="Courier New" w:hAnsi="Courier New"/>
          <w:sz w:val="15"/>
          <w:szCs w:val="15"/>
          <w:color w:val="auto"/>
        </w:rPr>
        <w:t>STATE AND LOCAL GOVERNMENT REGULATIONS. Many states have been authorized by the EPA to enforce regulations promulgated under RCRA and other federal programs. In addition, there are numerous state and local authorities that regulate the environment, some of which impose stricter environmental standards than federal laws and regulations. Some states, including Florida, have enacted legislation which generally provides for registration, recordkeeping, permitting, inspection, and reporting requirements for transporters, collectors and recyclers of hazardous waste and waste oil. The penalties for violations of state law include injunctive relief, recovery of damages for injury to air, water or property and fines for non-compliance. In addition, some local governments have established local pollution control programs, which include environmental permitting, monitoring and surveillance, data collection and local environmental studies.</w:t>
      </w:r>
    </w:p>
    <w:p>
      <w:pPr>
        <w:spacing w:after="0" w:line="9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EXCISE TAX ON DIESEL, AVIATION AND MARINE FUEL. The Company's aviation and marine fueling operations are affected by various federal and state taxes imposed on the purchase and sale of aviation and marine fuel products in the United States. Federal law imposes a manufacturer's excise tax on sales of aviation and marine fuel. Sales to aircraft and vessels engaged in foreign trade are exempt from this tax. These exemptions may be realized either through tax-free or tax-reduced sales, if the seller qualifies as a producer under applicable regulations, or, if the seller does not so qualify, through a tax-paid sale followed by a refund to the exempt user. Several states, where the Company sells aviation and marine fuel, impose excise and sales taxes on fuel sales; certain sales of the Company qualify for full or partial exemptions from these state taxes.</w:t>
      </w:r>
    </w:p>
    <w:p>
      <w:pPr>
        <w:spacing w:after="0" w:line="8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19"/>
          </w:cols>
          <w:pgMar w:left="240" w:top="601" w:right="1440" w:bottom="1440" w:gutter="0" w:footer="0" w:header="0"/>
        </w:sectPr>
      </w:pPr>
    </w:p>
    <w:bookmarkStart w:id="9" w:name="page10"/>
    <w:bookmarkEnd w:id="9"/>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9" w:lineRule="exact"/>
        <w:rPr>
          <w:sz w:val="20"/>
          <w:szCs w:val="20"/>
          <w:color w:val="auto"/>
        </w:rPr>
      </w:pPr>
    </w:p>
    <w:p>
      <w:pPr>
        <w:ind w:right="3179"/>
        <w:spacing w:after="0" w:line="322" w:lineRule="auto"/>
        <w:rPr>
          <w:sz w:val="20"/>
          <w:szCs w:val="20"/>
          <w:color w:val="auto"/>
        </w:rPr>
      </w:pPr>
      <w:r>
        <w:rPr>
          <w:rFonts w:ascii="Courier New" w:cs="Courier New" w:eastAsia="Courier New" w:hAnsi="Courier New"/>
          <w:sz w:val="14"/>
          <w:szCs w:val="14"/>
          <w:color w:val="auto"/>
        </w:rPr>
        <w:t>The following pages set forth by segment and subsidiary the principal properties owned or leased by the Company as of May 15, 1998. The Company considers its properties and facilities to be suitable and adequate for its present needs.</w:t>
      </w: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19"/>
          </w:cols>
          <w:pgMar w:left="240" w:top="771" w:right="1440" w:bottom="1440" w:gutter="0" w:footer="0" w:header="0"/>
        </w:sectPr>
      </w:pPr>
    </w:p>
    <w:bookmarkStart w:id="10" w:name="page11"/>
    <w:bookmarkEnd w:id="10"/>
    <w:p>
      <w:pPr>
        <w:ind w:left="1400"/>
        <w:spacing w:after="0"/>
        <w:rPr>
          <w:sz w:val="20"/>
          <w:szCs w:val="20"/>
          <w:color w:val="auto"/>
        </w:rPr>
      </w:pPr>
      <w:r>
        <w:rPr>
          <w:rFonts w:ascii="Courier New" w:cs="Courier New" w:eastAsia="Courier New" w:hAnsi="Courier New"/>
          <w:sz w:val="15"/>
          <w:szCs w:val="15"/>
          <w:color w:val="auto"/>
        </w:rPr>
        <w:t>WORLD FUEL SERVICES CORPORATION AND SUSIDIARIES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00" w:type="dxa"/>
            <w:vAlign w:val="bottom"/>
          </w:tcPr>
          <w:p>
            <w:pPr>
              <w:ind w:left="3080"/>
              <w:spacing w:after="0"/>
              <w:rPr>
                <w:sz w:val="20"/>
                <w:szCs w:val="20"/>
                <w:color w:val="auto"/>
              </w:rPr>
            </w:pPr>
            <w:r>
              <w:rPr>
                <w:rFonts w:ascii="Courier New" w:cs="Courier New" w:eastAsia="Courier New" w:hAnsi="Courier New"/>
                <w:sz w:val="15"/>
                <w:szCs w:val="15"/>
                <w:color w:val="auto"/>
                <w:w w:val="99"/>
              </w:rPr>
              <w:t>PROPERTIES</w:t>
            </w:r>
          </w:p>
        </w:tc>
        <w:tc>
          <w:tcPr>
            <w:tcW w:w="2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Courier New" w:cs="Courier New" w:eastAsia="Courier New" w:hAnsi="Courier New"/>
                <w:sz w:val="15"/>
                <w:szCs w:val="15"/>
                <w:color w:val="auto"/>
              </w:rPr>
              <w:t>OWNER/LESSEE AND LOCATION</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PRINCIPAL USE</w:t>
            </w:r>
          </w:p>
        </w:tc>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OWNED OR LEASED</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25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Executive offices</w:t>
            </w:r>
          </w:p>
        </w:tc>
        <w:tc>
          <w:tcPr>
            <w:tcW w:w="220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97"/>
              </w:rPr>
              <w:t>Leased to December 2002</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World Fuel Services Corporation</w:t>
            </w:r>
          </w:p>
        </w:tc>
        <w:tc>
          <w:tcPr>
            <w:tcW w:w="25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700 S. Royal Poinciana Blvd., Suite 800</w:t>
            </w: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Miami Springs, FL 33166</w:t>
            </w:r>
          </w:p>
        </w:tc>
        <w:tc>
          <w:tcPr>
            <w:tcW w:w="2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25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20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97"/>
              </w:rPr>
              <w:t>Leased to December 2002</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World Fuel Services of FL</w:t>
            </w:r>
          </w:p>
        </w:tc>
        <w:tc>
          <w:tcPr>
            <w:tcW w:w="25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700 S. Royal Poinciana Blvd., Suite 800</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Miami Springs, FL 33166</w:t>
            </w:r>
          </w:p>
        </w:tc>
        <w:tc>
          <w:tcPr>
            <w:tcW w:w="2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World Fuel Services, Inc.</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w w:val="97"/>
              </w:rPr>
              <w:t>Leased to December 2002</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700 S. Royal Poinciana Blvd., Suite 800</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Miami Springs, FL 33166</w:t>
            </w:r>
          </w:p>
        </w:tc>
        <w:tc>
          <w:tcPr>
            <w:tcW w:w="2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333 Cypress Run #200</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w w:val="97"/>
              </w:rPr>
              <w:t>Leased to February 2006</w:t>
            </w:r>
          </w:p>
        </w:tc>
        <w:tc>
          <w:tcPr>
            <w:tcW w:w="0" w:type="dxa"/>
            <w:vAlign w:val="bottom"/>
          </w:tcPr>
          <w:p>
            <w:pPr>
              <w:spacing w:after="0"/>
              <w:rPr>
                <w:sz w:val="1"/>
                <w:szCs w:val="1"/>
                <w:color w:val="auto"/>
              </w:rPr>
            </w:pPr>
          </w:p>
        </w:tc>
      </w:tr>
      <w:tr>
        <w:trPr>
          <w:trHeight w:val="246"/>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Houston, Texas 77094</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4995 East Anderson Avenue</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Leased month-to-month</w:t>
            </w:r>
          </w:p>
        </w:tc>
        <w:tc>
          <w:tcPr>
            <w:tcW w:w="0" w:type="dxa"/>
            <w:vAlign w:val="bottom"/>
          </w:tcPr>
          <w:p>
            <w:pPr>
              <w:spacing w:after="0"/>
              <w:rPr>
                <w:sz w:val="1"/>
                <w:szCs w:val="1"/>
                <w:color w:val="auto"/>
              </w:rPr>
            </w:pPr>
          </w:p>
        </w:tc>
      </w:tr>
      <w:tr>
        <w:trPr>
          <w:trHeight w:val="246"/>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Fresno, CA 93727</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World Fuel International S.A.</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Leased to April 1999</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Petroservicios de Costa Rica S.A.</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Oficentro Ejecutivo La Sabana Sur</w:t>
            </w: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Edificio #5, Primer Piso</w:t>
            </w: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San Jose, Costa Rica</w:t>
            </w:r>
          </w:p>
        </w:tc>
        <w:tc>
          <w:tcPr>
            <w:tcW w:w="2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World Fuel Services Ltd.</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w w:val="97"/>
              </w:rPr>
              <w:t>Leased to December 2002</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Baseops Europe Ltd.</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AirData Limited</w:t>
            </w: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Kingfisher House, Northwood Park</w:t>
            </w: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Gatwick Rd.</w:t>
            </w: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Crawley, West Sussex, RH10 2XN</w:t>
            </w: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2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World Fuel Services (Singapore) Pte., Ltd.</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Leased to June 2000</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101 Thomson Road #09-03A, United Square</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Singapore 307591</w:t>
            </w:r>
          </w:p>
        </w:tc>
        <w:tc>
          <w:tcPr>
            <w:tcW w:w="2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PetroServicios de Mexico S.A. de C.V.</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Leased to March 1999</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Servicios Auxiliares de Mexico S.A. de C.V.</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Avenida Fuerza Aerea Mexicana No. 465</w:t>
            </w: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Colonia Federal</w:t>
            </w: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15700 Mexico, D.F.</w:t>
            </w:r>
          </w:p>
        </w:tc>
        <w:tc>
          <w:tcPr>
            <w:tcW w:w="2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Baseops International, Inc.</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w w:val="97"/>
              </w:rPr>
              <w:t>Leased to February 2006</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333 Cypress Run #200</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Houston, Texas 77094</w:t>
            </w:r>
          </w:p>
        </w:tc>
        <w:tc>
          <w:tcPr>
            <w:tcW w:w="2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4000" w:type="dxa"/>
            <w:vAlign w:val="bottom"/>
          </w:tcPr>
          <w:p>
            <w:pPr>
              <w:ind w:left="3260"/>
              <w:spacing w:after="0"/>
              <w:rPr>
                <w:sz w:val="20"/>
                <w:szCs w:val="20"/>
                <w:color w:val="auto"/>
              </w:rPr>
            </w:pPr>
            <w:r>
              <w:rPr>
                <w:rFonts w:ascii="Courier New" w:cs="Courier New" w:eastAsia="Courier New" w:hAnsi="Courier New"/>
                <w:sz w:val="15"/>
                <w:szCs w:val="15"/>
                <w:color w:val="auto"/>
              </w:rPr>
              <w:t>Page 9</w:t>
            </w:r>
          </w:p>
        </w:tc>
        <w:tc>
          <w:tcPr>
            <w:tcW w:w="2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940" w:right="1440" w:bottom="1440" w:gutter="0" w:footer="0" w:header="0"/>
        </w:sectPr>
      </w:pPr>
    </w:p>
    <w:bookmarkStart w:id="11" w:name="page12"/>
    <w:bookmarkEnd w:id="11"/>
    <w:p>
      <w:pPr>
        <w:ind w:left="1400"/>
        <w:spacing w:after="0"/>
        <w:rPr>
          <w:sz w:val="20"/>
          <w:szCs w:val="20"/>
          <w:color w:val="auto"/>
        </w:rPr>
      </w:pPr>
      <w:r>
        <w:rPr>
          <w:rFonts w:ascii="Courier New" w:cs="Courier New" w:eastAsia="Courier New" w:hAnsi="Courier New"/>
          <w:sz w:val="15"/>
          <w:szCs w:val="15"/>
          <w:color w:val="auto"/>
        </w:rPr>
        <w:t>WORLD FUEL SERVICES CORPORATION AND SUSIDIARIES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00" w:type="dxa"/>
            <w:vAlign w:val="bottom"/>
          </w:tcPr>
          <w:p>
            <w:pPr>
              <w:ind w:left="3080"/>
              <w:spacing w:after="0"/>
              <w:rPr>
                <w:sz w:val="20"/>
                <w:szCs w:val="20"/>
                <w:color w:val="auto"/>
              </w:rPr>
            </w:pPr>
            <w:r>
              <w:rPr>
                <w:rFonts w:ascii="Courier New" w:cs="Courier New" w:eastAsia="Courier New" w:hAnsi="Courier New"/>
                <w:sz w:val="15"/>
                <w:szCs w:val="15"/>
                <w:color w:val="auto"/>
                <w:w w:val="99"/>
              </w:rPr>
              <w:t>PROPERTIES</w:t>
            </w:r>
          </w:p>
        </w:tc>
        <w:tc>
          <w:tcPr>
            <w:tcW w:w="25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Courier New" w:cs="Courier New" w:eastAsia="Courier New" w:hAnsi="Courier New"/>
                <w:sz w:val="15"/>
                <w:szCs w:val="15"/>
                <w:color w:val="auto"/>
              </w:rPr>
              <w:t>OWNER/LESSEE AND LOCATION</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PRINCIPAL USE</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OWNED OR LEASED</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25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Trans-Tec Services, Inc.</w:t>
            </w:r>
          </w:p>
        </w:tc>
        <w:tc>
          <w:tcPr>
            <w:tcW w:w="2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8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Leased to May 2002</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Glenpointe Center West</w:t>
            </w:r>
          </w:p>
        </w:tc>
        <w:tc>
          <w:tcPr>
            <w:tcW w:w="2560" w:type="dxa"/>
            <w:vAlign w:val="bottom"/>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500 Frank W. Burr Blvd.</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Teaneck, NJ 07666</w:t>
            </w:r>
          </w:p>
        </w:tc>
        <w:tc>
          <w:tcPr>
            <w:tcW w:w="25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60 East Sir Francis Drake, No. 301</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Leased to December 1999</w:t>
            </w:r>
          </w:p>
        </w:tc>
        <w:tc>
          <w:tcPr>
            <w:tcW w:w="0" w:type="dxa"/>
            <w:vAlign w:val="bottom"/>
          </w:tcPr>
          <w:p>
            <w:pPr>
              <w:spacing w:after="0"/>
              <w:rPr>
                <w:sz w:val="1"/>
                <w:szCs w:val="1"/>
                <w:color w:val="auto"/>
              </w:rPr>
            </w:pPr>
          </w:p>
        </w:tc>
      </w:tr>
      <w:tr>
        <w:trPr>
          <w:trHeight w:val="246"/>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Larkspur, CA 94939</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2nd Floor Kipun Building</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Leased to December 1998</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200 Naeja-Dong</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Chongru-Ku</w:t>
            </w:r>
          </w:p>
        </w:tc>
        <w:tc>
          <w:tcPr>
            <w:tcW w:w="2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Seoul, South Korea</w:t>
            </w:r>
          </w:p>
        </w:tc>
        <w:tc>
          <w:tcPr>
            <w:tcW w:w="25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Seagram House, 2nd Floor</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Leased to September 1998</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71 Dock Road, Waterfront</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Capetown, South Africa 8001</w:t>
            </w:r>
          </w:p>
        </w:tc>
        <w:tc>
          <w:tcPr>
            <w:tcW w:w="25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Trans-Tec Services (UK) Ltd.</w:t>
            </w:r>
          </w:p>
        </w:tc>
        <w:tc>
          <w:tcPr>
            <w:tcW w:w="2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8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Leased to November 2002</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Millbank Tower, 21/24 Millbank</w:t>
            </w:r>
          </w:p>
        </w:tc>
        <w:tc>
          <w:tcPr>
            <w:tcW w:w="2560" w:type="dxa"/>
            <w:vAlign w:val="bottom"/>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London SW1P 4QP United Kingdom</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Gammelbyved 2</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Leased month-to-month</w:t>
            </w:r>
          </w:p>
        </w:tc>
        <w:tc>
          <w:tcPr>
            <w:tcW w:w="0" w:type="dxa"/>
            <w:vAlign w:val="bottom"/>
          </w:tcPr>
          <w:p>
            <w:pPr>
              <w:spacing w:after="0"/>
              <w:rPr>
                <w:sz w:val="1"/>
                <w:szCs w:val="1"/>
                <w:color w:val="auto"/>
              </w:rPr>
            </w:pPr>
          </w:p>
        </w:tc>
      </w:tr>
      <w:tr>
        <w:trPr>
          <w:trHeight w:val="246"/>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Karise, Denmark 4653</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Trans-Tec International S.A.</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Leased to April 1999</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Casa Petro S.A.</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Oficentro Ejecutivo La Sabana Sur</w:t>
            </w:r>
          </w:p>
        </w:tc>
        <w:tc>
          <w:tcPr>
            <w:tcW w:w="2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Edificio #5, Primer Piso</w:t>
            </w:r>
          </w:p>
        </w:tc>
        <w:tc>
          <w:tcPr>
            <w:tcW w:w="2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San Jose, Costa Rica</w:t>
            </w:r>
          </w:p>
        </w:tc>
        <w:tc>
          <w:tcPr>
            <w:tcW w:w="25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Pacific Horizon Petroleum Services, Inc.</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Leased to July 2000</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2025 First Ave., Suite 1110</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Seattle, WA 98121</w:t>
            </w:r>
          </w:p>
        </w:tc>
        <w:tc>
          <w:tcPr>
            <w:tcW w:w="25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Trans-Tec Services (Signapore) PTE., LTD.</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operations</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Leased to June 2000</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101 Thomson Road #09-03A, United Square</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and sales offices</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Singapore 307591</w:t>
            </w:r>
          </w:p>
        </w:tc>
        <w:tc>
          <w:tcPr>
            <w:tcW w:w="25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2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Storage tanks, recycling</w:t>
            </w:r>
          </w:p>
        </w:tc>
        <w:tc>
          <w:tcPr>
            <w:tcW w:w="28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Leased to August 2001</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International Petroleum Corporation</w:t>
            </w:r>
          </w:p>
        </w:tc>
        <w:tc>
          <w:tcPr>
            <w:tcW w:w="2560" w:type="dxa"/>
            <w:vAlign w:val="bottom"/>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105 South Alexander Street</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plant, laboratory and</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Plant City, FL 33566</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offices</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International Petroleum Corp. of Delaware</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Storage tanks, recycling</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505 South Market Street</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plant, laboratory and</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Wilmington, DE 19801</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offices</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International Petroleum Corp. of LA</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Storage tanks, recycling</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Partially owned;</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14890 Intercoastal Drive</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plant, laboratory and</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w w:val="97"/>
              </w:rPr>
              <w:t>Partially leased to August 2001</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New Orleans, LA 70129</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offices</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International Petroleum Corp. of Maryland</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Collection and transfer</w:t>
            </w:r>
          </w:p>
        </w:tc>
        <w:tc>
          <w:tcPr>
            <w:tcW w:w="2860" w:type="dxa"/>
            <w:vAlign w:val="bottom"/>
          </w:tcPr>
          <w:p>
            <w:pPr>
              <w:ind w:left="12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6305 East Lombard Street</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facility and administrative</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Baltimore, MD 21224</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offices</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4000" w:type="dxa"/>
            <w:vAlign w:val="bottom"/>
          </w:tcPr>
          <w:p>
            <w:pPr>
              <w:ind w:left="3160"/>
              <w:spacing w:after="0"/>
              <w:rPr>
                <w:sz w:val="20"/>
                <w:szCs w:val="20"/>
                <w:color w:val="auto"/>
              </w:rPr>
            </w:pPr>
            <w:r>
              <w:rPr>
                <w:rFonts w:ascii="Courier New" w:cs="Courier New" w:eastAsia="Courier New" w:hAnsi="Courier New"/>
                <w:sz w:val="15"/>
                <w:szCs w:val="15"/>
                <w:color w:val="auto"/>
              </w:rPr>
              <w:t>Page 10</w:t>
            </w:r>
          </w:p>
        </w:tc>
        <w:tc>
          <w:tcPr>
            <w:tcW w:w="2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940" w:right="1440" w:bottom="1440" w:gutter="0" w:footer="0" w:header="0"/>
        </w:sectPr>
      </w:pPr>
    </w:p>
    <w:bookmarkStart w:id="12" w:name="page13"/>
    <w:bookmarkEnd w:id="12"/>
    <w:p>
      <w:pPr>
        <w:spacing w:after="0"/>
        <w:tabs>
          <w:tab w:leader="none" w:pos="10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9" w:lineRule="exact"/>
        <w:rPr>
          <w:sz w:val="20"/>
          <w:szCs w:val="20"/>
          <w:color w:val="auto"/>
        </w:rPr>
      </w:pPr>
    </w:p>
    <w:p>
      <w:pPr>
        <w:ind w:right="3699"/>
        <w:spacing w:after="0" w:line="347" w:lineRule="auto"/>
        <w:rPr>
          <w:sz w:val="20"/>
          <w:szCs w:val="20"/>
          <w:color w:val="auto"/>
        </w:rPr>
      </w:pPr>
      <w:r>
        <w:rPr>
          <w:rFonts w:ascii="Courier New" w:cs="Courier New" w:eastAsia="Courier New" w:hAnsi="Courier New"/>
          <w:sz w:val="15"/>
          <w:szCs w:val="15"/>
          <w:color w:val="auto"/>
        </w:rPr>
        <w:t>There are no material legal proceedings to which the Company or any of its subsidiaries is a party.</w:t>
      </w:r>
    </w:p>
    <w:p>
      <w:pPr>
        <w:spacing w:after="0" w:line="1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No matter was submitted to a vote of stockholders, through the solicitation of proxies or otherwise, during the fourth quarter of fiscal year 1998.</w:t>
      </w:r>
    </w:p>
    <w:p>
      <w:pPr>
        <w:spacing w:after="0" w:line="1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19"/>
          </w:cols>
          <w:pgMar w:left="240" w:top="601" w:right="1440" w:bottom="1440" w:gutter="0" w:footer="0" w:header="0"/>
        </w:sectPr>
      </w:pPr>
    </w:p>
    <w:bookmarkStart w:id="13" w:name="page14"/>
    <w:bookmarkEnd w:id="13"/>
    <w:p>
      <w:pPr>
        <w:ind w:left="326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040" w:right="4859" w:hanging="1057"/>
        <w:spacing w:after="0" w:line="347" w:lineRule="auto"/>
        <w:tabs>
          <w:tab w:leader="none" w:pos="102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REGISTRANT'S COMMON EQUITY AND RELATED STOCKHOLDER MATTERS</w:t>
      </w:r>
    </w:p>
    <w:p>
      <w:pPr>
        <w:spacing w:after="0" w:line="17"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4"/>
          <w:szCs w:val="14"/>
          <w:color w:val="auto"/>
        </w:rPr>
        <w:t>The Company's common stock is traded on the New York Stock Exchange and the Pacific Stock Exchange under the symbol INT. The following table sets forth, for each quarter within the fiscal years ended March 31, 1998 and 1997, the sale prices of the Company's common stock as reported by the New York Stock Exchange and the quarterly cash dividends per share of common stock declared during the periods indicated. The amounts shown have been restated to reflect a 3-for-2 stock split of the Company's common stock which was effective November 17, 1997. See Note 4 to the financial statements included as part of this report.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PRICE</w:t>
            </w:r>
          </w:p>
        </w:tc>
        <w:tc>
          <w:tcPr>
            <w:tcW w:w="7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CASH</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298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PER</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HIGH</w:t>
            </w:r>
          </w:p>
        </w:tc>
        <w:tc>
          <w:tcPr>
            <w:tcW w:w="84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LOW</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w:t>
            </w:r>
          </w:p>
        </w:tc>
        <w:tc>
          <w:tcPr>
            <w:tcW w:w="0" w:type="dxa"/>
            <w:vAlign w:val="bottom"/>
          </w:tcPr>
          <w:p>
            <w:pPr>
              <w:spacing w:after="0"/>
              <w:rPr>
                <w:sz w:val="1"/>
                <w:szCs w:val="1"/>
                <w:color w:val="auto"/>
              </w:rPr>
            </w:pPr>
          </w:p>
        </w:tc>
      </w:tr>
      <w:tr>
        <w:trPr>
          <w:trHeight w:val="246"/>
        </w:trPr>
        <w:tc>
          <w:tcPr>
            <w:tcW w:w="282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March 31, 1998</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820" w:type="dxa"/>
            <w:vAlign w:val="bottom"/>
            <w:vMerge w:val="continue"/>
          </w:tcPr>
          <w:p>
            <w:pPr>
              <w:spacing w:after="0"/>
              <w:rPr>
                <w:sz w:val="8"/>
                <w:szCs w:val="8"/>
                <w:color w:val="auto"/>
              </w:rPr>
            </w:pPr>
          </w:p>
        </w:tc>
        <w:tc>
          <w:tcPr>
            <w:tcW w:w="14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$14 13/16</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w:t>
            </w: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3/16</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14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Third quarter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560" w:type="dxa"/>
            <w:vAlign w:val="bottom"/>
            <w:vMerge w:val="continue"/>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13/16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Year ended March 31, 1997</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1/16</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w:t>
            </w: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1/16</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8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Third quarter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560" w:type="dxa"/>
            <w:vAlign w:val="bottom"/>
            <w:vMerge w:val="continue"/>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As of May 12, 1998, there were 359 shareholders of record of the Company's common stock. On March 19, 1998 the Company's Board of Directors approved the following cash dividend schedule for the 1999 fiscal year: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DECLARATION DATE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PER SHARE</w:t>
            </w:r>
          </w:p>
        </w:tc>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RECORD DATE</w:t>
            </w:r>
          </w:p>
        </w:tc>
        <w:tc>
          <w:tcPr>
            <w:tcW w:w="1580" w:type="dxa"/>
            <w:vAlign w:val="bottom"/>
          </w:tcPr>
          <w:p>
            <w:pPr>
              <w:ind w:left="260"/>
              <w:spacing w:after="0"/>
              <w:rPr>
                <w:sz w:val="20"/>
                <w:szCs w:val="20"/>
                <w:color w:val="auto"/>
              </w:rPr>
            </w:pPr>
            <w:r>
              <w:rPr>
                <w:rFonts w:ascii="Courier New" w:cs="Courier New" w:eastAsia="Courier New" w:hAnsi="Courier New"/>
                <w:sz w:val="15"/>
                <w:szCs w:val="15"/>
                <w:color w:val="auto"/>
              </w:rPr>
              <w:t>PAYMENT DATE</w:t>
            </w:r>
          </w:p>
        </w:tc>
      </w:tr>
      <w:tr>
        <w:trPr>
          <w:trHeight w:val="246"/>
        </w:trPr>
        <w:tc>
          <w:tcPr>
            <w:tcW w:w="1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262"/>
        </w:trPr>
        <w:tc>
          <w:tcPr>
            <w:tcW w:w="1700" w:type="dxa"/>
            <w:vAlign w:val="bottom"/>
          </w:tcPr>
          <w:p>
            <w:pPr>
              <w:spacing w:after="0"/>
              <w:rPr>
                <w:sz w:val="20"/>
                <w:szCs w:val="20"/>
                <w:color w:val="auto"/>
              </w:rPr>
            </w:pPr>
            <w:r>
              <w:rPr>
                <w:rFonts w:ascii="Courier New" w:cs="Courier New" w:eastAsia="Courier New" w:hAnsi="Courier New"/>
                <w:sz w:val="15"/>
                <w:szCs w:val="15"/>
                <w:color w:val="auto"/>
              </w:rPr>
              <w:t>June 4, 1998</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$0.05</w:t>
            </w:r>
          </w:p>
        </w:tc>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June 19, 1998</w:t>
            </w:r>
          </w:p>
        </w:tc>
        <w:tc>
          <w:tcPr>
            <w:tcW w:w="1580" w:type="dxa"/>
            <w:vAlign w:val="bottom"/>
          </w:tcPr>
          <w:p>
            <w:pPr>
              <w:ind w:left="260"/>
              <w:spacing w:after="0"/>
              <w:rPr>
                <w:sz w:val="20"/>
                <w:szCs w:val="20"/>
                <w:color w:val="auto"/>
              </w:rPr>
            </w:pPr>
            <w:r>
              <w:rPr>
                <w:rFonts w:ascii="Courier New" w:cs="Courier New" w:eastAsia="Courier New" w:hAnsi="Courier New"/>
                <w:sz w:val="15"/>
                <w:szCs w:val="15"/>
                <w:color w:val="auto"/>
              </w:rPr>
              <w:t>July 7, 1998</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September 3, 1998</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$0.05</w:t>
            </w:r>
          </w:p>
        </w:tc>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September 18, 1998</w:t>
            </w:r>
          </w:p>
        </w:tc>
        <w:tc>
          <w:tcPr>
            <w:tcW w:w="1580" w:type="dxa"/>
            <w:vAlign w:val="bottom"/>
          </w:tcPr>
          <w:p>
            <w:pPr>
              <w:ind w:left="260"/>
              <w:spacing w:after="0"/>
              <w:rPr>
                <w:sz w:val="20"/>
                <w:szCs w:val="20"/>
                <w:color w:val="auto"/>
              </w:rPr>
            </w:pPr>
            <w:r>
              <w:rPr>
                <w:rFonts w:ascii="Courier New" w:cs="Courier New" w:eastAsia="Courier New" w:hAnsi="Courier New"/>
                <w:sz w:val="15"/>
                <w:szCs w:val="15"/>
                <w:color w:val="auto"/>
                <w:w w:val="96"/>
              </w:rPr>
              <w:t>October 7, 1998</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December 3, 1998</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$0.05</w:t>
            </w:r>
          </w:p>
        </w:tc>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December 18, 1998</w:t>
            </w:r>
          </w:p>
        </w:tc>
        <w:tc>
          <w:tcPr>
            <w:tcW w:w="1580" w:type="dxa"/>
            <w:vAlign w:val="bottom"/>
          </w:tcPr>
          <w:p>
            <w:pPr>
              <w:ind w:left="260"/>
              <w:spacing w:after="0"/>
              <w:rPr>
                <w:sz w:val="20"/>
                <w:szCs w:val="20"/>
                <w:color w:val="auto"/>
              </w:rPr>
            </w:pPr>
            <w:r>
              <w:rPr>
                <w:rFonts w:ascii="Courier New" w:cs="Courier New" w:eastAsia="Courier New" w:hAnsi="Courier New"/>
                <w:sz w:val="15"/>
                <w:szCs w:val="15"/>
                <w:color w:val="auto"/>
                <w:w w:val="96"/>
              </w:rPr>
              <w:t>January 8, 1999</w:t>
            </w:r>
          </w:p>
        </w:tc>
      </w:tr>
      <w:tr>
        <w:trPr>
          <w:trHeight w:val="246"/>
        </w:trPr>
        <w:tc>
          <w:tcPr>
            <w:tcW w:w="1700" w:type="dxa"/>
            <w:vAlign w:val="bottom"/>
          </w:tcPr>
          <w:p>
            <w:pPr>
              <w:spacing w:after="0"/>
              <w:rPr>
                <w:sz w:val="20"/>
                <w:szCs w:val="20"/>
                <w:color w:val="auto"/>
              </w:rPr>
            </w:pPr>
            <w:r>
              <w:rPr>
                <w:rFonts w:ascii="Courier New" w:cs="Courier New" w:eastAsia="Courier New" w:hAnsi="Courier New"/>
                <w:sz w:val="15"/>
                <w:szCs w:val="15"/>
                <w:color w:val="auto"/>
              </w:rPr>
              <w:t>March 4, 1999</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$0.05</w:t>
            </w:r>
          </w:p>
        </w:tc>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March 19, 1999</w:t>
            </w:r>
          </w:p>
        </w:tc>
        <w:tc>
          <w:tcPr>
            <w:tcW w:w="1580" w:type="dxa"/>
            <w:vAlign w:val="bottom"/>
          </w:tcPr>
          <w:p>
            <w:pPr>
              <w:ind w:left="260"/>
              <w:spacing w:after="0"/>
              <w:rPr>
                <w:sz w:val="20"/>
                <w:szCs w:val="20"/>
                <w:color w:val="auto"/>
              </w:rPr>
            </w:pPr>
            <w:r>
              <w:rPr>
                <w:rFonts w:ascii="Courier New" w:cs="Courier New" w:eastAsia="Courier New" w:hAnsi="Courier New"/>
                <w:sz w:val="15"/>
                <w:szCs w:val="15"/>
                <w:color w:val="auto"/>
              </w:rPr>
              <w:t>April 7, 1999</w:t>
            </w:r>
          </w:p>
        </w:tc>
      </w:tr>
    </w:tbl>
    <w:p>
      <w:pPr>
        <w:spacing w:after="0" w:line="93"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The Company's loan agreement with NationsBank restricts the payment of cash dividends to a maximum of 25% of net income for the preceding four quarters. The Company's payment of the above dividends is in compliance with the NationsBank loan agreement.</w:t>
      </w:r>
    </w:p>
    <w:p>
      <w:pPr>
        <w:spacing w:after="0" w:line="69"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In January 1998, the Company issued 150,000 shares of its Common Stock in connection with the acquisition of Baseops. During the fourth quarter of fiscal year 1998, the Company issued 70,386 shares of its Common Stock in connection with the exercise of certain employee incentive stock</w:t>
      </w:r>
    </w:p>
    <w:p>
      <w:pPr>
        <w:spacing w:after="0" w:line="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19"/>
          </w:cols>
          <w:pgMar w:left="240" w:top="601" w:right="1440" w:bottom="1440" w:gutter="0" w:footer="0" w:header="0"/>
        </w:sectPr>
      </w:pPr>
    </w:p>
    <w:bookmarkStart w:id="14" w:name="page15"/>
    <w:bookmarkEnd w:id="14"/>
    <w:p>
      <w:pPr>
        <w:ind w:right="3259"/>
        <w:spacing w:after="0" w:line="275" w:lineRule="auto"/>
        <w:rPr>
          <w:sz w:val="20"/>
          <w:szCs w:val="20"/>
          <w:color w:val="auto"/>
        </w:rPr>
      </w:pPr>
      <w:r>
        <w:rPr>
          <w:rFonts w:ascii="Courier New" w:cs="Courier New" w:eastAsia="Courier New" w:hAnsi="Courier New"/>
          <w:sz w:val="15"/>
          <w:szCs w:val="15"/>
          <w:color w:val="auto"/>
        </w:rPr>
        <w:t>options. Each of the aforementioned issuances of Common Stock were made without registration under the Securities Act of 1933, as amended (the "Securities Act"), in reliance upon the exemptions from registration afforded by section 4(2) of the Securities Act.</w:t>
      </w:r>
    </w:p>
    <w:p>
      <w:pPr>
        <w:spacing w:after="0" w:line="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69"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The following selected financial data has been summarized from the Company's consolidated financial statements set forth in Item 8 of this report. The selected financial data should be read in conjunction with the notes set forth at the end of these tables, the consolidated financial statements and the related notes thereto, and "Item 7 - Management's Discussion and Analysis of Financial Condition and Results of Operations."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40" w:type="dxa"/>
            <w:vAlign w:val="bottom"/>
            <w:gridSpan w:val="5"/>
          </w:tcPr>
          <w:p>
            <w:pPr>
              <w:jc w:val="right"/>
              <w:ind w:right="587"/>
              <w:spacing w:after="0"/>
              <w:rPr>
                <w:sz w:val="20"/>
                <w:szCs w:val="20"/>
                <w:color w:val="auto"/>
              </w:rPr>
            </w:pPr>
            <w:r>
              <w:rPr>
                <w:rFonts w:ascii="Courier New" w:cs="Courier New" w:eastAsia="Courier New" w:hAnsi="Courier New"/>
                <w:sz w:val="15"/>
                <w:szCs w:val="15"/>
                <w:color w:val="auto"/>
              </w:rPr>
              <w:t>SELECTED FINANCIAL DATA</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20" w:type="dxa"/>
            <w:vAlign w:val="bottom"/>
            <w:gridSpan w:val="5"/>
          </w:tcPr>
          <w:p>
            <w:pPr>
              <w:jc w:val="right"/>
              <w:ind w:right="247"/>
              <w:spacing w:after="0"/>
              <w:rPr>
                <w:sz w:val="20"/>
                <w:szCs w:val="20"/>
                <w:color w:val="auto"/>
              </w:rPr>
            </w:pPr>
            <w:r>
              <w:rPr>
                <w:rFonts w:ascii="Courier New" w:cs="Courier New" w:eastAsia="Courier New" w:hAnsi="Courier New"/>
                <w:sz w:val="15"/>
                <w:szCs w:val="15"/>
                <w:color w:val="auto"/>
              </w:rPr>
              <w:t>FISCAL YEAR ENDED MARCH 31,</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5240" w:type="dxa"/>
            <w:vAlign w:val="bottom"/>
            <w:gridSpan w:val="10"/>
          </w:tcPr>
          <w:p>
            <w:pPr>
              <w:ind w:left="1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thousands, except earnings</w:t>
            </w:r>
          </w:p>
        </w:tc>
        <w:tc>
          <w:tcPr>
            <w:tcW w:w="19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per share data)</w:t>
            </w: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CONSOLIDATED INCOME STATEMENT DATA</w:t>
            </w:r>
          </w:p>
        </w:tc>
        <w:tc>
          <w:tcPr>
            <w:tcW w:w="106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$ 801,763</w:t>
            </w:r>
          </w:p>
        </w:tc>
        <w:tc>
          <w:tcPr>
            <w:tcW w:w="106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$ 772,618</w:t>
            </w:r>
          </w:p>
        </w:tc>
        <w:tc>
          <w:tcPr>
            <w:tcW w:w="114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$ 642,299</w:t>
            </w:r>
          </w:p>
        </w:tc>
        <w:tc>
          <w:tcPr>
            <w:tcW w:w="98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$ 361,891</w:t>
            </w:r>
          </w:p>
        </w:tc>
        <w:tc>
          <w:tcPr>
            <w:tcW w:w="10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$ 250,527</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gridSpan w:val="2"/>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00" w:type="dxa"/>
            <w:vAlign w:val="bottom"/>
          </w:tcPr>
          <w:p>
            <w:pPr>
              <w:spacing w:after="0"/>
              <w:rPr>
                <w:sz w:val="22"/>
                <w:szCs w:val="22"/>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751,368</w:t>
            </w:r>
          </w:p>
        </w:tc>
        <w:tc>
          <w:tcPr>
            <w:tcW w:w="26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725,991</w:t>
            </w:r>
          </w:p>
        </w:tc>
        <w:tc>
          <w:tcPr>
            <w:tcW w:w="2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601,930</w:t>
            </w:r>
          </w:p>
        </w:tc>
        <w:tc>
          <w:tcPr>
            <w:tcW w:w="18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334,134</w:t>
            </w:r>
          </w:p>
        </w:tc>
        <w:tc>
          <w:tcPr>
            <w:tcW w:w="26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223,576</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120" w:type="dxa"/>
            <w:vAlign w:val="bottom"/>
          </w:tcPr>
          <w:p>
            <w:pPr>
              <w:ind w:left="520"/>
              <w:spacing w:after="0"/>
              <w:rPr>
                <w:sz w:val="20"/>
                <w:szCs w:val="20"/>
                <w:color w:val="auto"/>
              </w:rPr>
            </w:pPr>
            <w:r>
              <w:rPr>
                <w:rFonts w:ascii="Courier New" w:cs="Courier New" w:eastAsia="Courier New" w:hAnsi="Courier New"/>
                <w:sz w:val="15"/>
                <w:szCs w:val="15"/>
                <w:color w:val="auto"/>
              </w:rPr>
              <w:t>Gross profit</w:t>
            </w:r>
          </w:p>
        </w:tc>
        <w:tc>
          <w:tcPr>
            <w:tcW w:w="30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50,395</w:t>
            </w:r>
          </w:p>
        </w:tc>
        <w:tc>
          <w:tcPr>
            <w:tcW w:w="2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46,627</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40,369</w:t>
            </w:r>
          </w:p>
        </w:tc>
        <w:tc>
          <w:tcPr>
            <w:tcW w:w="18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27,757</w:t>
            </w:r>
          </w:p>
        </w:tc>
        <w:tc>
          <w:tcPr>
            <w:tcW w:w="2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26,951</w:t>
            </w: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00" w:type="dxa"/>
            <w:vAlign w:val="bottom"/>
          </w:tcPr>
          <w:p>
            <w:pPr>
              <w:spacing w:after="0"/>
              <w:rPr>
                <w:sz w:val="22"/>
                <w:szCs w:val="22"/>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31,868</w:t>
            </w:r>
          </w:p>
        </w:tc>
        <w:tc>
          <w:tcPr>
            <w:tcW w:w="26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31,001</w:t>
            </w:r>
          </w:p>
        </w:tc>
        <w:tc>
          <w:tcPr>
            <w:tcW w:w="2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25,423</w:t>
            </w:r>
          </w:p>
        </w:tc>
        <w:tc>
          <w:tcPr>
            <w:tcW w:w="18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16,508</w:t>
            </w:r>
          </w:p>
        </w:tc>
        <w:tc>
          <w:tcPr>
            <w:tcW w:w="26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17,181</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120" w:type="dxa"/>
            <w:vAlign w:val="bottom"/>
          </w:tcPr>
          <w:p>
            <w:pPr>
              <w:ind w:left="520"/>
              <w:spacing w:after="0"/>
              <w:rPr>
                <w:sz w:val="20"/>
                <w:szCs w:val="20"/>
                <w:color w:val="auto"/>
              </w:rPr>
            </w:pPr>
            <w:r>
              <w:rPr>
                <w:rFonts w:ascii="Courier New" w:cs="Courier New" w:eastAsia="Courier New" w:hAnsi="Courier New"/>
                <w:sz w:val="15"/>
                <w:szCs w:val="15"/>
                <w:color w:val="auto"/>
              </w:rPr>
              <w:t>Income from operations</w:t>
            </w:r>
          </w:p>
        </w:tc>
        <w:tc>
          <w:tcPr>
            <w:tcW w:w="30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18,527</w:t>
            </w:r>
          </w:p>
        </w:tc>
        <w:tc>
          <w:tcPr>
            <w:tcW w:w="2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15,626</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14,946</w:t>
            </w:r>
          </w:p>
        </w:tc>
        <w:tc>
          <w:tcPr>
            <w:tcW w:w="18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11,249</w:t>
            </w:r>
          </w:p>
        </w:tc>
        <w:tc>
          <w:tcPr>
            <w:tcW w:w="2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9,770</w:t>
            </w: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300" w:type="dxa"/>
            <w:vAlign w:val="bottom"/>
          </w:tcPr>
          <w:p>
            <w:pPr>
              <w:spacing w:after="0"/>
              <w:rPr>
                <w:sz w:val="22"/>
                <w:szCs w:val="22"/>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2,219</w:t>
            </w:r>
          </w:p>
        </w:tc>
        <w:tc>
          <w:tcPr>
            <w:tcW w:w="26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2,243</w:t>
            </w:r>
          </w:p>
        </w:tc>
        <w:tc>
          <w:tcPr>
            <w:tcW w:w="2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1,875</w:t>
            </w:r>
          </w:p>
        </w:tc>
        <w:tc>
          <w:tcPr>
            <w:tcW w:w="18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1,774</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(1,333)</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120" w:type="dxa"/>
            <w:vAlign w:val="bottom"/>
          </w:tcPr>
          <w:p>
            <w:pPr>
              <w:ind w:left="520"/>
              <w:spacing w:after="0"/>
              <w:rPr>
                <w:sz w:val="20"/>
                <w:szCs w:val="20"/>
                <w:color w:val="auto"/>
              </w:rPr>
            </w:pPr>
            <w:r>
              <w:rPr>
                <w:rFonts w:ascii="Courier New" w:cs="Courier New" w:eastAsia="Courier New" w:hAnsi="Courier New"/>
                <w:sz w:val="15"/>
                <w:szCs w:val="15"/>
                <w:color w:val="auto"/>
              </w:rPr>
              <w:t>Income before income taxes</w:t>
            </w:r>
          </w:p>
        </w:tc>
        <w:tc>
          <w:tcPr>
            <w:tcW w:w="30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20,746</w:t>
            </w:r>
          </w:p>
        </w:tc>
        <w:tc>
          <w:tcPr>
            <w:tcW w:w="2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17,869</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16,821</w:t>
            </w:r>
          </w:p>
        </w:tc>
        <w:tc>
          <w:tcPr>
            <w:tcW w:w="18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13,023</w:t>
            </w:r>
          </w:p>
        </w:tc>
        <w:tc>
          <w:tcPr>
            <w:tcW w:w="2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8,437</w:t>
            </w: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00" w:type="dxa"/>
            <w:vAlign w:val="bottom"/>
          </w:tcPr>
          <w:p>
            <w:pPr>
              <w:spacing w:after="0"/>
              <w:rPr>
                <w:sz w:val="22"/>
                <w:szCs w:val="22"/>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4,893</w:t>
            </w:r>
          </w:p>
        </w:tc>
        <w:tc>
          <w:tcPr>
            <w:tcW w:w="26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4,604</w:t>
            </w:r>
          </w:p>
        </w:tc>
        <w:tc>
          <w:tcPr>
            <w:tcW w:w="2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5,876</w:t>
            </w:r>
          </w:p>
        </w:tc>
        <w:tc>
          <w:tcPr>
            <w:tcW w:w="18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4,935</w:t>
            </w:r>
          </w:p>
        </w:tc>
        <w:tc>
          <w:tcPr>
            <w:tcW w:w="26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3,242</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120" w:type="dxa"/>
            <w:vAlign w:val="bottom"/>
          </w:tcPr>
          <w:p>
            <w:pPr>
              <w:ind w:left="700"/>
              <w:spacing w:after="0"/>
              <w:rPr>
                <w:sz w:val="20"/>
                <w:szCs w:val="20"/>
                <w:color w:val="auto"/>
              </w:rPr>
            </w:pPr>
            <w:r>
              <w:rPr>
                <w:rFonts w:ascii="Courier New" w:cs="Courier New" w:eastAsia="Courier New" w:hAnsi="Courier New"/>
                <w:sz w:val="15"/>
                <w:szCs w:val="15"/>
                <w:color w:val="auto"/>
              </w:rPr>
              <w:t>Net income</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15,853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10,945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8,088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5,195</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0.92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0.49</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300" w:type="dxa"/>
            <w:vAlign w:val="bottom"/>
          </w:tcPr>
          <w:p>
            <w:pPr>
              <w:spacing w:after="0"/>
              <w:rPr>
                <w:sz w:val="22"/>
                <w:szCs w:val="22"/>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12,230</w:t>
            </w:r>
          </w:p>
        </w:tc>
        <w:tc>
          <w:tcPr>
            <w:tcW w:w="26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12,068</w:t>
            </w:r>
          </w:p>
        </w:tc>
        <w:tc>
          <w:tcPr>
            <w:tcW w:w="2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11,945</w:t>
            </w:r>
          </w:p>
        </w:tc>
        <w:tc>
          <w:tcPr>
            <w:tcW w:w="18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10,957</w:t>
            </w:r>
          </w:p>
        </w:tc>
        <w:tc>
          <w:tcPr>
            <w:tcW w:w="26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10,582</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0.90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0.49</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rPr>
              <w:t>Weighted average shares - diluted</w:t>
            </w:r>
          </w:p>
        </w:tc>
        <w:tc>
          <w:tcPr>
            <w:tcW w:w="300" w:type="dxa"/>
            <w:vAlign w:val="bottom"/>
          </w:tcPr>
          <w:p>
            <w:pPr>
              <w:spacing w:after="0"/>
              <w:rPr>
                <w:sz w:val="22"/>
                <w:szCs w:val="22"/>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12,528</w:t>
            </w:r>
          </w:p>
        </w:tc>
        <w:tc>
          <w:tcPr>
            <w:tcW w:w="26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12,295</w:t>
            </w:r>
          </w:p>
        </w:tc>
        <w:tc>
          <w:tcPr>
            <w:tcW w:w="2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12,150</w:t>
            </w:r>
          </w:p>
        </w:tc>
        <w:tc>
          <w:tcPr>
            <w:tcW w:w="18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11,038</w:t>
            </w:r>
          </w:p>
        </w:tc>
        <w:tc>
          <w:tcPr>
            <w:tcW w:w="26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10,652</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19"/>
          </w:cols>
          <w:pgMar w:left="240" w:top="601" w:right="1440" w:bottom="1440" w:gutter="0" w:footer="0" w:header="0"/>
        </w:sectPr>
      </w:pPr>
    </w:p>
    <w:bookmarkStart w:id="15" w:name="page16"/>
    <w:bookmarkEnd w:id="15"/>
    <w:p>
      <w:pPr>
        <w:jc w:val="center"/>
        <w:ind w:right="3079"/>
        <w:spacing w:after="0"/>
        <w:rPr>
          <w:sz w:val="20"/>
          <w:szCs w:val="20"/>
          <w:color w:val="auto"/>
        </w:rPr>
      </w:pPr>
      <w:r>
        <w:rPr>
          <w:rFonts w:ascii="Courier New" w:cs="Courier New" w:eastAsia="Courier New" w:hAnsi="Courier New"/>
          <w:sz w:val="15"/>
          <w:szCs w:val="15"/>
          <w:color w:val="auto"/>
        </w:rPr>
        <w:t>SELECTED FINANCIAL DATA</w:t>
      </w:r>
    </w:p>
    <w:p>
      <w:pPr>
        <w:spacing w:after="0" w:line="2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gridSpan w:val="2"/>
          </w:tcPr>
          <w:p>
            <w:pPr>
              <w:ind w:left="760"/>
              <w:spacing w:after="0"/>
              <w:rPr>
                <w:sz w:val="20"/>
                <w:szCs w:val="20"/>
                <w:color w:val="auto"/>
              </w:rPr>
            </w:pPr>
            <w:r>
              <w:rPr>
                <w:rFonts w:ascii="Courier New" w:cs="Courier New" w:eastAsia="Courier New" w:hAnsi="Courier New"/>
                <w:sz w:val="15"/>
                <w:szCs w:val="15"/>
                <w:color w:val="auto"/>
                <w:w w:val="96"/>
              </w:rPr>
              <w:t>AS OF MARCH 31,</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47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$107,548</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$ 93,436</w:t>
            </w: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$ 83,252</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4"/>
              </w:rPr>
              <w:t>$ 58,006</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$ 33,682</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143,259</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123,139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111,974</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89,536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53,687</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47,447</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44,851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43,706</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30,486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13,141</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3,901</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3,030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4,518</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6,984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91,911</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75,258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63,750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52,066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39,971</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SELECTED FINANCIAL DATA</w:t>
      </w:r>
    </w:p>
    <w:p>
      <w:pPr>
        <w:spacing w:after="0" w:line="169" w:lineRule="exact"/>
        <w:rPr>
          <w:sz w:val="20"/>
          <w:szCs w:val="20"/>
          <w:color w:val="auto"/>
        </w:rPr>
      </w:pPr>
    </w:p>
    <w:p>
      <w:pPr>
        <w:jc w:val="both"/>
        <w:ind w:left="260" w:right="3359"/>
        <w:spacing w:after="0" w:line="293" w:lineRule="auto"/>
        <w:rPr>
          <w:sz w:val="20"/>
          <w:szCs w:val="20"/>
          <w:color w:val="auto"/>
        </w:rPr>
      </w:pPr>
      <w:r>
        <w:rPr>
          <w:rFonts w:ascii="Courier New" w:cs="Courier New" w:eastAsia="Courier New" w:hAnsi="Courier New"/>
          <w:sz w:val="15"/>
          <w:szCs w:val="15"/>
          <w:color w:val="auto"/>
        </w:rPr>
        <w:t>The Company declared and paid cash dividends beginning in fiscal year 1995. See "Item 5 - Market for Registrant's Common Equity and Related Stockholder Matters."</w:t>
      </w:r>
    </w:p>
    <w:p>
      <w:pPr>
        <w:spacing w:after="0" w:line="56" w:lineRule="exact"/>
        <w:rPr>
          <w:sz w:val="20"/>
          <w:szCs w:val="20"/>
          <w:color w:val="auto"/>
        </w:rPr>
      </w:pPr>
    </w:p>
    <w:p>
      <w:pPr>
        <w:ind w:left="260" w:right="3259"/>
        <w:spacing w:after="0" w:line="300" w:lineRule="auto"/>
        <w:rPr>
          <w:sz w:val="20"/>
          <w:szCs w:val="20"/>
          <w:color w:val="auto"/>
        </w:rPr>
      </w:pPr>
      <w:r>
        <w:rPr>
          <w:rFonts w:ascii="Courier New" w:cs="Courier New" w:eastAsia="Courier New" w:hAnsi="Courier New"/>
          <w:sz w:val="14"/>
          <w:szCs w:val="14"/>
          <w:color w:val="auto"/>
        </w:rPr>
        <w:t>Effective January 1, 1995, the Company acquired the Trans-Tec group of companies. The acquisition was accounted for under the purchase method. Accordingly, the selected financial information for the year ended March 31, 1995, includes the results of the Trans-Tec group since January 1, 1995.</w:t>
      </w:r>
    </w:p>
    <w:p>
      <w:pPr>
        <w:spacing w:after="0" w:line="55" w:lineRule="exact"/>
        <w:rPr>
          <w:sz w:val="20"/>
          <w:szCs w:val="20"/>
          <w:color w:val="auto"/>
        </w:rPr>
      </w:pPr>
    </w:p>
    <w:p>
      <w:pPr>
        <w:ind w:left="260" w:right="3259"/>
        <w:spacing w:after="0" w:line="257" w:lineRule="auto"/>
        <w:rPr>
          <w:sz w:val="20"/>
          <w:szCs w:val="20"/>
          <w:color w:val="auto"/>
        </w:rPr>
      </w:pPr>
      <w:r>
        <w:rPr>
          <w:rFonts w:ascii="Courier New" w:cs="Courier New" w:eastAsia="Courier New" w:hAnsi="Courier New"/>
          <w:sz w:val="15"/>
          <w:szCs w:val="15"/>
          <w:color w:val="auto"/>
        </w:rPr>
        <w:t>In June 1995, the Board of Directors approved a 3-for-2-stock split for all shares of common stock outstanding as of June 19, 1995. The shares were distributed on June 27, 1995. In October 1997, the Board of Directors approved a 3-for-2 stock split for all shares of common stock outstanding as of November 17, 1997. The shares were distributed on December 1, 1997. Accordingly, all share and per share data, as appropriate, have been retroactively adjusted to reflect the effects of these splits.</w:t>
      </w:r>
    </w:p>
    <w:p>
      <w:pPr>
        <w:spacing w:after="0" w:line="82" w:lineRule="exact"/>
        <w:rPr>
          <w:sz w:val="20"/>
          <w:szCs w:val="20"/>
          <w:color w:val="auto"/>
        </w:rPr>
      </w:pPr>
    </w:p>
    <w:p>
      <w:pPr>
        <w:ind w:left="260" w:right="3259"/>
        <w:spacing w:after="0" w:line="300" w:lineRule="auto"/>
        <w:rPr>
          <w:sz w:val="20"/>
          <w:szCs w:val="20"/>
          <w:color w:val="auto"/>
        </w:rPr>
      </w:pPr>
      <w:r>
        <w:rPr>
          <w:rFonts w:ascii="Courier New" w:cs="Courier New" w:eastAsia="Courier New" w:hAnsi="Courier New"/>
          <w:sz w:val="14"/>
          <w:szCs w:val="14"/>
          <w:color w:val="auto"/>
        </w:rPr>
        <w:t>In February 1997, the Financial Accounting Standards Board issued SFAS No. 128, "Earnings per Share" ("SFAS 128"). The Company adopted this standard as of December 31, 1997. Earnings per share information for all prior periods presented have been restated to conform to the requirements of SFAS 128.</w:t>
      </w:r>
    </w:p>
    <w:p>
      <w:pPr>
        <w:spacing w:after="0" w:line="5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w:t>
      </w:r>
    </w:p>
    <w:p>
      <w:pPr>
        <w:spacing w:after="0" w:line="26"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43"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The following discussion should be read in conjunction with "Item 6 - Selected Financial Data," and with the consolidated financial statements and related notes thereto appearing elsewhere in this report.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Profit from the Company's aviation fuel services business is directly related to the volume and the margins achieved on sales, as well as the extent to which the Company is required to provision for potential bad debts. Profit from the Company's marine fuel services business is determined primarily by the volume of brokering business generated and by the volume and margins achieved on trade sales, as well as the extent to which the Company is required to provision for potential bad debts. The Company's profit from oil recycling is principally determined by the volume and margins of recycled oil sales and used oil collection revenue.</w:t>
      </w:r>
    </w:p>
    <w:p>
      <w:pPr>
        <w:spacing w:after="0" w:line="8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940" w:right="1440" w:bottom="1440" w:gutter="0" w:footer="0" w:header="0"/>
        </w:sectPr>
      </w:pPr>
    </w:p>
    <w:bookmarkStart w:id="16" w:name="page17"/>
    <w:bookmarkEnd w:id="16"/>
    <w:p>
      <w:pPr>
        <w:ind w:right="4419"/>
        <w:spacing w:after="0" w:line="347" w:lineRule="auto"/>
        <w:rPr>
          <w:sz w:val="20"/>
          <w:szCs w:val="20"/>
          <w:color w:val="auto"/>
        </w:rPr>
      </w:pPr>
      <w:r>
        <w:rPr>
          <w:rFonts w:ascii="Courier New" w:cs="Courier New" w:eastAsia="Courier New" w:hAnsi="Courier New"/>
          <w:sz w:val="15"/>
          <w:szCs w:val="15"/>
          <w:color w:val="auto"/>
        </w:rPr>
        <w:t>FISCAL YEAR ENDED MARCH 31, 1998 COMPARED TO THE FISCAL YEAR ENDED MARCH 31, 1997</w:t>
      </w:r>
    </w:p>
    <w:p>
      <w:pPr>
        <w:spacing w:after="0" w:line="17"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The Company's revenue for the fiscal year ended March 31, 1998 was $801,763,000, an increase of $29,145,000, or 3.8%, as compared to revenue of $772,618,000 for the prior fiscal year. The Company's revenue during these periods was attributable to the following segments: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3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 ENDED MARCH 31,</w:t>
            </w:r>
          </w:p>
        </w:tc>
      </w:tr>
      <w:tr>
        <w:trPr>
          <w:trHeight w:val="170"/>
        </w:trPr>
        <w:tc>
          <w:tcPr>
            <w:tcW w:w="2900" w:type="dxa"/>
            <w:vAlign w:val="bottom"/>
          </w:tcPr>
          <w:p>
            <w:pPr>
              <w:spacing w:after="0"/>
              <w:rPr>
                <w:sz w:val="14"/>
                <w:szCs w:val="14"/>
                <w:color w:val="auto"/>
              </w:rPr>
            </w:pPr>
          </w:p>
        </w:tc>
        <w:tc>
          <w:tcPr>
            <w:tcW w:w="3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2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246"/>
        </w:trPr>
        <w:tc>
          <w:tcPr>
            <w:tcW w:w="2900" w:type="dxa"/>
            <w:vAlign w:val="bottom"/>
          </w:tcPr>
          <w:p>
            <w:pPr>
              <w:spacing w:after="0"/>
              <w:rPr>
                <w:sz w:val="21"/>
                <w:szCs w:val="21"/>
                <w:color w:val="auto"/>
              </w:rPr>
            </w:pPr>
          </w:p>
        </w:tc>
        <w:tc>
          <w:tcPr>
            <w:tcW w:w="2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2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$383,010,000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$381,236,000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2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393,607,000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368,470,000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2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25,146,000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22,912,000</w:t>
            </w:r>
          </w:p>
        </w:tc>
      </w:tr>
      <w:tr>
        <w:trPr>
          <w:trHeight w:val="246"/>
        </w:trPr>
        <w:tc>
          <w:tcPr>
            <w:tcW w:w="2900" w:type="dxa"/>
            <w:vAlign w:val="bottom"/>
          </w:tcPr>
          <w:p>
            <w:pPr>
              <w:spacing w:after="0"/>
              <w:rPr>
                <w:sz w:val="21"/>
                <w:szCs w:val="21"/>
                <w:color w:val="auto"/>
              </w:rPr>
            </w:pPr>
          </w:p>
        </w:tc>
        <w:tc>
          <w:tcPr>
            <w:tcW w:w="2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2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$801,763,000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$772,618,000</w:t>
            </w:r>
          </w:p>
        </w:tc>
      </w:tr>
      <w:tr>
        <w:trPr>
          <w:trHeight w:val="246"/>
        </w:trPr>
        <w:tc>
          <w:tcPr>
            <w:tcW w:w="2900" w:type="dxa"/>
            <w:vAlign w:val="bottom"/>
          </w:tcPr>
          <w:p>
            <w:pPr>
              <w:spacing w:after="0"/>
              <w:rPr>
                <w:sz w:val="21"/>
                <w:szCs w:val="21"/>
                <w:color w:val="auto"/>
              </w:rPr>
            </w:pPr>
          </w:p>
        </w:tc>
        <w:tc>
          <w:tcPr>
            <w:tcW w:w="2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aviation fueling segment contributed $383,010,000 in revenue for the fiscal</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March 31, 1998. This represented an increase in revenue of</w:t>
      </w:r>
    </w:p>
    <w:p>
      <w:pPr>
        <w:spacing w:after="0"/>
        <w:rPr>
          <w:sz w:val="20"/>
          <w:szCs w:val="20"/>
          <w:color w:val="auto"/>
        </w:rPr>
      </w:pPr>
      <w:r>
        <w:rPr>
          <w:rFonts w:ascii="Courier New" w:cs="Courier New" w:eastAsia="Courier New" w:hAnsi="Courier New"/>
          <w:sz w:val="15"/>
          <w:szCs w:val="15"/>
          <w:color w:val="auto"/>
        </w:rPr>
        <w:t>$1,774,000, or 0.5%, as compared to the prior fiscal year. The increase in</w:t>
      </w:r>
    </w:p>
    <w:p>
      <w:pPr>
        <w:spacing w:after="0"/>
        <w:rPr>
          <w:sz w:val="20"/>
          <w:szCs w:val="20"/>
          <w:color w:val="auto"/>
        </w:rPr>
      </w:pPr>
      <w:r>
        <w:rPr>
          <w:rFonts w:ascii="Courier New" w:cs="Courier New" w:eastAsia="Courier New" w:hAnsi="Courier New"/>
          <w:sz w:val="14"/>
          <w:szCs w:val="14"/>
          <w:color w:val="auto"/>
        </w:rPr>
        <w:t>revenue was due to a higher volume of gallons sold, largely offset by a decrease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average price per gallon sold, which resulted primarily from a decrease</w:t>
      </w:r>
    </w:p>
    <w:p>
      <w:pPr>
        <w:spacing w:after="0"/>
        <w:rPr>
          <w:sz w:val="20"/>
          <w:szCs w:val="20"/>
          <w:color w:val="auto"/>
        </w:rPr>
      </w:pPr>
      <w:r>
        <w:rPr>
          <w:rFonts w:ascii="Courier New" w:cs="Courier New" w:eastAsia="Courier New" w:hAnsi="Courier New"/>
          <w:sz w:val="15"/>
          <w:szCs w:val="15"/>
          <w:color w:val="auto"/>
        </w:rPr>
        <w:t>in the world market price of fuels. The marine fueling segment contributed</w:t>
      </w:r>
    </w:p>
    <w:p>
      <w:pPr>
        <w:spacing w:after="0"/>
        <w:rPr>
          <w:sz w:val="20"/>
          <w:szCs w:val="20"/>
          <w:color w:val="auto"/>
        </w:rPr>
      </w:pPr>
      <w:r>
        <w:rPr>
          <w:rFonts w:ascii="Courier New" w:cs="Courier New" w:eastAsia="Courier New" w:hAnsi="Courier New"/>
          <w:sz w:val="14"/>
          <w:szCs w:val="14"/>
          <w:color w:val="auto"/>
        </w:rPr>
        <w:t>$393,607,000 in revenue for the fiscal year ended March 31, 1998, an increase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$25,137,000, or 6.8%, over the prior fiscal year. The increase in revenue was</w:t>
      </w:r>
    </w:p>
    <w:p>
      <w:pPr>
        <w:spacing w:after="0"/>
        <w:rPr>
          <w:sz w:val="20"/>
          <w:szCs w:val="20"/>
          <w:color w:val="auto"/>
        </w:rPr>
      </w:pPr>
      <w:r>
        <w:rPr>
          <w:rFonts w:ascii="Courier New" w:cs="Courier New" w:eastAsia="Courier New" w:hAnsi="Courier New"/>
          <w:sz w:val="14"/>
          <w:szCs w:val="14"/>
          <w:color w:val="auto"/>
        </w:rPr>
        <w:t>related primarily to an increase in the volume of metric tons traded, partially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offset by a decrease in the average sales price of metric tons traded. The oil</w:t>
      </w:r>
    </w:p>
    <w:p>
      <w:pPr>
        <w:spacing w:after="0"/>
        <w:rPr>
          <w:sz w:val="20"/>
          <w:szCs w:val="20"/>
          <w:color w:val="auto"/>
        </w:rPr>
      </w:pPr>
      <w:r>
        <w:rPr>
          <w:rFonts w:ascii="Courier New" w:cs="Courier New" w:eastAsia="Courier New" w:hAnsi="Courier New"/>
          <w:sz w:val="15"/>
          <w:szCs w:val="15"/>
          <w:color w:val="auto"/>
        </w:rPr>
        <w:t>recycling segment contributed $25,146,000 in revenue for the fiscal year ended</w:t>
      </w:r>
    </w:p>
    <w:p>
      <w:pPr>
        <w:spacing w:after="0"/>
        <w:rPr>
          <w:sz w:val="20"/>
          <w:szCs w:val="20"/>
          <w:color w:val="auto"/>
        </w:rPr>
      </w:pPr>
      <w:r>
        <w:rPr>
          <w:rFonts w:ascii="Courier New" w:cs="Courier New" w:eastAsia="Courier New" w:hAnsi="Courier New"/>
          <w:sz w:val="15"/>
          <w:szCs w:val="15"/>
          <w:color w:val="auto"/>
        </w:rPr>
        <w:t>March 31, 1998, an increase of $2,234,000, or 9.7%, as compared to the prior</w:t>
      </w:r>
    </w:p>
    <w:p>
      <w:pPr>
        <w:spacing w:after="0"/>
        <w:rPr>
          <w:sz w:val="20"/>
          <w:szCs w:val="20"/>
          <w:color w:val="auto"/>
        </w:rPr>
      </w:pPr>
      <w:r>
        <w:rPr>
          <w:rFonts w:ascii="Courier New" w:cs="Courier New" w:eastAsia="Courier New" w:hAnsi="Courier New"/>
          <w:sz w:val="15"/>
          <w:szCs w:val="15"/>
          <w:color w:val="auto"/>
        </w:rPr>
        <w:t>fiscal year. The increase in revenue was due to an increase in volume of</w:t>
      </w:r>
    </w:p>
    <w:p>
      <w:pPr>
        <w:spacing w:after="0"/>
        <w:rPr>
          <w:sz w:val="20"/>
          <w:szCs w:val="20"/>
          <w:color w:val="auto"/>
        </w:rPr>
      </w:pPr>
      <w:r>
        <w:rPr>
          <w:rFonts w:ascii="Courier New" w:cs="Courier New" w:eastAsia="Courier New" w:hAnsi="Courier New"/>
          <w:sz w:val="15"/>
          <w:szCs w:val="15"/>
          <w:color w:val="auto"/>
        </w:rPr>
        <w:t>recycled oil sold and higher used oil and waste water collection revenue,</w:t>
      </w:r>
    </w:p>
    <w:p>
      <w:pPr>
        <w:spacing w:after="0"/>
        <w:rPr>
          <w:sz w:val="20"/>
          <w:szCs w:val="20"/>
          <w:color w:val="auto"/>
        </w:rPr>
      </w:pPr>
      <w:r>
        <w:rPr>
          <w:rFonts w:ascii="Courier New" w:cs="Courier New" w:eastAsia="Courier New" w:hAnsi="Courier New"/>
          <w:sz w:val="14"/>
          <w:szCs w:val="14"/>
          <w:color w:val="auto"/>
        </w:rPr>
        <w:t>partially offset by a decrease in the average sales price per gallon of recycled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 sold.</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gross profit for the fiscal year ended March 31, 1998 was</w:t>
      </w:r>
    </w:p>
    <w:p>
      <w:pPr>
        <w:spacing w:after="0" w:line="26"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$50,395,000, an increase of $3,768,000, or 8.1%, as compared to the prior fiscal year. The Company's gross margin increased from 6.0% for the fiscal year ended March 31, 1997 to 6.3% for the fiscal year ended March 31, 1998.</w:t>
      </w:r>
    </w:p>
    <w:p>
      <w:pPr>
        <w:spacing w:after="0" w:line="68"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The Company's aviation fueling business achieved a 6.1% gross margin for the fiscal year ended March 31, 1998, as compared to 6.0% achieved for the prior fiscal year. This resulted from the decline in the average price per gallon sold. The Company's marine fueling segment achieved a 5.1% gross margin for the fiscal year ended March 31, 1998, as compared to a 4.4% gross margin for the prior fiscal year. This resulted from an increase in the average gross profit per metric ton traded and lower fuel prices. The gross margin in the Company's oil recycling segment decreased from 33.4% for the fiscal year ended March 31, 1997, to 28.5% for the fiscal year ended March 31, 1998. This decrease resulted from a lower gross profit per gallon of recycled oil sold, due primarily to lower world oil prices.</w:t>
      </w:r>
    </w:p>
    <w:p>
      <w:pPr>
        <w:spacing w:after="0" w:line="8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60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Total operating expenses for the fiscal year ended March 31, 1998 were</w:t>
      </w:r>
    </w:p>
    <w:p>
      <w:pPr>
        <w:spacing w:after="0" w:line="26" w:lineRule="exact"/>
        <w:rPr>
          <w:sz w:val="20"/>
          <w:szCs w:val="20"/>
          <w:color w:val="auto"/>
        </w:rPr>
      </w:pPr>
    </w:p>
    <w:p>
      <w:pPr>
        <w:ind w:right="3179"/>
        <w:spacing w:after="0" w:line="251" w:lineRule="auto"/>
        <w:rPr>
          <w:sz w:val="20"/>
          <w:szCs w:val="20"/>
          <w:color w:val="auto"/>
        </w:rPr>
      </w:pPr>
      <w:r>
        <w:rPr>
          <w:rFonts w:ascii="Courier New" w:cs="Courier New" w:eastAsia="Courier New" w:hAnsi="Courier New"/>
          <w:sz w:val="15"/>
          <w:szCs w:val="15"/>
          <w:color w:val="auto"/>
        </w:rPr>
        <w:t>$31,868,000, an increase of $867,000, or 2.8%, as compared to the prior fiscal year. The increase resulted from higher salaries and wages related principally to staff additions and performance bonuses, and higher operating expenses in the aviation and marine segments related to business expansion, partially offset by a $3,690,000 lower provision for bad debts over the corresponding period during the prior year. In relation to revenue, total operating expenses remained unchanged at 4.0%.</w:t>
      </w:r>
    </w:p>
    <w:p>
      <w:pPr>
        <w:spacing w:after="0" w:line="86"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The Company's income from operations for the fiscal year ended March 31, 1998 was $18,527,000, an increase of $2,901,000, or 18.6%, as compared to the prior fiscal year. Income from operations during these periods was attributable to the following segments: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440" w:type="dxa"/>
            <w:vAlign w:val="bottom"/>
            <w:gridSpan w:val="3"/>
          </w:tcPr>
          <w:p>
            <w:pPr>
              <w:ind w:left="980"/>
              <w:spacing w:after="0"/>
              <w:rPr>
                <w:sz w:val="20"/>
                <w:szCs w:val="20"/>
                <w:color w:val="auto"/>
              </w:rPr>
            </w:pPr>
            <w:r>
              <w:rPr>
                <w:rFonts w:ascii="Courier New" w:cs="Courier New" w:eastAsia="Courier New" w:hAnsi="Courier New"/>
                <w:sz w:val="15"/>
                <w:szCs w:val="15"/>
                <w:color w:val="auto"/>
              </w:rPr>
              <w:t>FISCAL YEAR ENDED MARCH 31,</w:t>
            </w:r>
          </w:p>
        </w:tc>
      </w:tr>
      <w:tr>
        <w:trPr>
          <w:trHeight w:val="170"/>
        </w:trPr>
        <w:tc>
          <w:tcPr>
            <w:tcW w:w="3420" w:type="dxa"/>
            <w:vAlign w:val="bottom"/>
          </w:tcPr>
          <w:p>
            <w:pPr>
              <w:spacing w:after="0"/>
              <w:rPr>
                <w:sz w:val="14"/>
                <w:szCs w:val="14"/>
                <w:color w:val="auto"/>
              </w:rPr>
            </w:pPr>
          </w:p>
        </w:tc>
        <w:tc>
          <w:tcPr>
            <w:tcW w:w="34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246"/>
        </w:trPr>
        <w:tc>
          <w:tcPr>
            <w:tcW w:w="3420" w:type="dxa"/>
            <w:vAlign w:val="bottom"/>
          </w:tcPr>
          <w:p>
            <w:pPr>
              <w:spacing w:after="0"/>
              <w:rPr>
                <w:sz w:val="21"/>
                <w:szCs w:val="21"/>
                <w:color w:val="auto"/>
              </w:rPr>
            </w:pPr>
          </w:p>
        </w:tc>
        <w:tc>
          <w:tcPr>
            <w:tcW w:w="2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116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12,558,000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$ 10,620,000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11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7,403,000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5,013,000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11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4,155,000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5,020,000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116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(5,589,000)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(5,027,000)</w:t>
            </w:r>
          </w:p>
        </w:tc>
      </w:tr>
      <w:tr>
        <w:trPr>
          <w:trHeight w:val="246"/>
        </w:trPr>
        <w:tc>
          <w:tcPr>
            <w:tcW w:w="3420" w:type="dxa"/>
            <w:vAlign w:val="bottom"/>
          </w:tcPr>
          <w:p>
            <w:pPr>
              <w:spacing w:after="0"/>
              <w:rPr>
                <w:sz w:val="21"/>
                <w:szCs w:val="21"/>
                <w:color w:val="auto"/>
              </w:rPr>
            </w:pPr>
          </w:p>
        </w:tc>
        <w:tc>
          <w:tcPr>
            <w:tcW w:w="2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116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18,527,000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$ 15,626,000</w:t>
            </w:r>
          </w:p>
        </w:tc>
      </w:tr>
      <w:tr>
        <w:trPr>
          <w:trHeight w:val="246"/>
        </w:trPr>
        <w:tc>
          <w:tcPr>
            <w:tcW w:w="3420" w:type="dxa"/>
            <w:vAlign w:val="bottom"/>
          </w:tcPr>
          <w:p>
            <w:pPr>
              <w:spacing w:after="0"/>
              <w:rPr>
                <w:sz w:val="21"/>
                <w:szCs w:val="21"/>
                <w:color w:val="auto"/>
              </w:rPr>
            </w:pPr>
          </w:p>
        </w:tc>
        <w:tc>
          <w:tcPr>
            <w:tcW w:w="2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ind w:right="3179"/>
        <w:spacing w:after="0" w:line="264" w:lineRule="auto"/>
        <w:rPr>
          <w:sz w:val="20"/>
          <w:szCs w:val="20"/>
          <w:color w:val="auto"/>
        </w:rPr>
      </w:pPr>
      <w:r>
        <w:rPr>
          <w:rFonts w:ascii="Courier New" w:cs="Courier New" w:eastAsia="Courier New" w:hAnsi="Courier New"/>
          <w:sz w:val="14"/>
          <w:szCs w:val="14"/>
          <w:color w:val="auto"/>
        </w:rPr>
        <w:t>The aviation fueling segment's income from operations was $12,558,000 for the fiscal year ended March 31, 1998, an increase of $1,938,000, or 18.2%, as compared to the prior fiscal year. This resulted from a higher volume of gallons sold and a decrease in operating expenses, principally in the provision for bad debts, partially offset by a decrease in average gross profit per gallon sold. The marine fueling segment earned $7,403,000 in income from operations for the fiscal year ended March 31, 1998, an increase of $2,390,000, or 47.7%, as compared to the prior fiscal year. The increase was due to a higher volume and average gross profit per metric ton sold, partially offset by an increase in operating expenses. The oil recycling segment contributed $4,155,000 in income from operations for fiscal year 1998, a decrease of $865,000, or 17.2%, for the fiscal year ended March 31, 1998, as compared to the prior fiscal year. The decrease is mostly the result of lower world oil prices, which caused a decrease in gross profit per recycled gallon sold. Corporate overhead costs not charged to the business segments totaled $5,589,000 for the fiscal year ended March 31, 1998, an increase of $562,000, or 11.2%, as compared to the prior fiscal year. The increase resulted from higher salaries and wages related principally to staff additions and performance bonuses.</w:t>
      </w:r>
    </w:p>
    <w:p>
      <w:pPr>
        <w:spacing w:after="0" w:line="255"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Net income for the fiscal year ended March 31, 1998 was $15,853,000, an increase of $2,588,000, or 19.5%, as compared to net income of $13,265,000 for the fiscal year ended March 31, 1997. Basic earnings per share of $1.30 for the fiscal year ended March 31, 1998 exhibited a $0.20, or 18.2%, increase over the $1.10 achieved during the prior fiscal year.</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601" w:right="1440" w:bottom="1440" w:gutter="0" w:footer="0" w:header="0"/>
        </w:sectPr>
      </w:pPr>
    </w:p>
    <w:bookmarkStart w:id="18" w:name="page19"/>
    <w:bookmarkEnd w:id="18"/>
    <w:p>
      <w:pPr>
        <w:ind w:right="4419"/>
        <w:spacing w:after="0" w:line="347" w:lineRule="auto"/>
        <w:rPr>
          <w:sz w:val="20"/>
          <w:szCs w:val="20"/>
          <w:color w:val="auto"/>
        </w:rPr>
      </w:pPr>
      <w:r>
        <w:rPr>
          <w:rFonts w:ascii="Courier New" w:cs="Courier New" w:eastAsia="Courier New" w:hAnsi="Courier New"/>
          <w:sz w:val="15"/>
          <w:szCs w:val="15"/>
          <w:color w:val="auto"/>
        </w:rPr>
        <w:t>FISCAL YEAR ENDED MARCH 31, 1997 COMPARED TO THE FISCAL YEAR ENDED MARCH 31, 1996</w:t>
      </w:r>
    </w:p>
    <w:p>
      <w:pPr>
        <w:spacing w:after="0" w:line="17"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The Company's revenue for the fiscal year ended March 31, 1997 was $772,618,000, an increase of $130,319,000, or 20.3%, as compared to revenue of $642,299,000 for the prior fiscal year. The Company's revenue during these periods was attributable to the following segments: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3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FISCAL YEAR ENDED MARCH 31,</w:t>
            </w:r>
          </w:p>
        </w:tc>
      </w:tr>
      <w:tr>
        <w:trPr>
          <w:trHeight w:val="170"/>
        </w:trPr>
        <w:tc>
          <w:tcPr>
            <w:tcW w:w="3300" w:type="dxa"/>
            <w:vAlign w:val="bottom"/>
          </w:tcPr>
          <w:p>
            <w:pPr>
              <w:spacing w:after="0"/>
              <w:rPr>
                <w:sz w:val="14"/>
                <w:szCs w:val="14"/>
                <w:color w:val="auto"/>
              </w:rPr>
            </w:pPr>
          </w:p>
        </w:tc>
        <w:tc>
          <w:tcPr>
            <w:tcW w:w="3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2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246"/>
        </w:trPr>
        <w:tc>
          <w:tcPr>
            <w:tcW w:w="3300" w:type="dxa"/>
            <w:vAlign w:val="bottom"/>
          </w:tcPr>
          <w:p>
            <w:pPr>
              <w:spacing w:after="0"/>
              <w:rPr>
                <w:sz w:val="21"/>
                <w:szCs w:val="21"/>
                <w:color w:val="auto"/>
              </w:rPr>
            </w:pP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6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$381,236,000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$302,101,000</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368,470,000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321,216,000</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22,912,000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18,993,000</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Intersegment Eliminations</w:t>
            </w: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r>
      <w:tr>
        <w:trPr>
          <w:trHeight w:val="246"/>
        </w:trPr>
        <w:tc>
          <w:tcPr>
            <w:tcW w:w="3300" w:type="dxa"/>
            <w:vAlign w:val="bottom"/>
          </w:tcPr>
          <w:p>
            <w:pPr>
              <w:spacing w:after="0"/>
              <w:rPr>
                <w:sz w:val="21"/>
                <w:szCs w:val="21"/>
                <w:color w:val="auto"/>
              </w:rPr>
            </w:pP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62"/>
        </w:trPr>
        <w:tc>
          <w:tcPr>
            <w:tcW w:w="330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$772,618,000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$642,299,000</w:t>
            </w:r>
          </w:p>
        </w:tc>
      </w:tr>
      <w:tr>
        <w:trPr>
          <w:trHeight w:val="246"/>
        </w:trPr>
        <w:tc>
          <w:tcPr>
            <w:tcW w:w="3300" w:type="dxa"/>
            <w:vAlign w:val="bottom"/>
          </w:tcPr>
          <w:p>
            <w:pPr>
              <w:spacing w:after="0"/>
              <w:rPr>
                <w:sz w:val="21"/>
                <w:szCs w:val="21"/>
                <w:color w:val="auto"/>
              </w:rPr>
            </w:pPr>
          </w:p>
        </w:tc>
        <w:tc>
          <w:tcPr>
            <w:tcW w:w="2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aviation fueling segment contributed $381,236,000 in revenue for the fiscal</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March 31, 1997. This represented an increase in revenue of</w:t>
      </w:r>
    </w:p>
    <w:p>
      <w:pPr>
        <w:spacing w:after="0"/>
        <w:rPr>
          <w:sz w:val="20"/>
          <w:szCs w:val="20"/>
          <w:color w:val="auto"/>
        </w:rPr>
      </w:pPr>
      <w:r>
        <w:rPr>
          <w:rFonts w:ascii="Courier New" w:cs="Courier New" w:eastAsia="Courier New" w:hAnsi="Courier New"/>
          <w:sz w:val="15"/>
          <w:szCs w:val="15"/>
          <w:color w:val="auto"/>
        </w:rPr>
        <w:t>$79,135,000, or 26.2%, as compared to the prior fiscal year. The increase in</w:t>
      </w:r>
    </w:p>
    <w:p>
      <w:pPr>
        <w:spacing w:after="0"/>
        <w:rPr>
          <w:sz w:val="20"/>
          <w:szCs w:val="20"/>
          <w:color w:val="auto"/>
        </w:rPr>
      </w:pPr>
      <w:r>
        <w:rPr>
          <w:rFonts w:ascii="Courier New" w:cs="Courier New" w:eastAsia="Courier New" w:hAnsi="Courier New"/>
          <w:sz w:val="14"/>
          <w:szCs w:val="14"/>
          <w:color w:val="auto"/>
        </w:rPr>
        <w:t>revenue was due to an increase in volume and the average price per gallon sold.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marine fueling segment contributed $368,470,000 in revenue for the fiscal</w:t>
      </w:r>
    </w:p>
    <w:p>
      <w:pPr>
        <w:spacing w:after="0"/>
        <w:rPr>
          <w:sz w:val="20"/>
          <w:szCs w:val="20"/>
          <w:color w:val="auto"/>
        </w:rPr>
      </w:pPr>
      <w:r>
        <w:rPr>
          <w:rFonts w:ascii="Courier New" w:cs="Courier New" w:eastAsia="Courier New" w:hAnsi="Courier New"/>
          <w:sz w:val="14"/>
          <w:szCs w:val="14"/>
          <w:color w:val="auto"/>
        </w:rPr>
        <w:t>year ended March 31, 1997, an increase of $47,254,000, or 14.7%, over the prior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The increase in revenue was related to an increase in the average</w:t>
      </w:r>
    </w:p>
    <w:p>
      <w:pPr>
        <w:spacing w:after="0"/>
        <w:rPr>
          <w:sz w:val="20"/>
          <w:szCs w:val="20"/>
          <w:color w:val="auto"/>
        </w:rPr>
      </w:pPr>
      <w:r>
        <w:rPr>
          <w:rFonts w:ascii="Courier New" w:cs="Courier New" w:eastAsia="Courier New" w:hAnsi="Courier New"/>
          <w:sz w:val="15"/>
          <w:szCs w:val="15"/>
          <w:color w:val="auto"/>
        </w:rPr>
        <w:t>price per metric ton sold and brokered, partially offset by a decrease in the</w:t>
      </w:r>
    </w:p>
    <w:p>
      <w:pPr>
        <w:spacing w:after="0"/>
        <w:rPr>
          <w:sz w:val="20"/>
          <w:szCs w:val="20"/>
          <w:color w:val="auto"/>
        </w:rPr>
      </w:pPr>
      <w:r>
        <w:rPr>
          <w:rFonts w:ascii="Courier New" w:cs="Courier New" w:eastAsia="Courier New" w:hAnsi="Courier New"/>
          <w:sz w:val="15"/>
          <w:szCs w:val="15"/>
          <w:color w:val="auto"/>
        </w:rPr>
        <w:t>volume of metric tons brokered. The oil recycling segment contributed</w:t>
      </w:r>
    </w:p>
    <w:p>
      <w:pPr>
        <w:spacing w:after="0"/>
        <w:rPr>
          <w:sz w:val="20"/>
          <w:szCs w:val="20"/>
          <w:color w:val="auto"/>
        </w:rPr>
      </w:pPr>
      <w:r>
        <w:rPr>
          <w:rFonts w:ascii="Courier New" w:cs="Courier New" w:eastAsia="Courier New" w:hAnsi="Courier New"/>
          <w:sz w:val="14"/>
          <w:szCs w:val="14"/>
          <w:color w:val="auto"/>
        </w:rPr>
        <w:t>$22,912,000 in revenue for the fiscal year ended March 31, 1997, an increase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$3,919,000, or 20.6%, as compared to the prior fiscal year. The increase in</w:t>
      </w:r>
    </w:p>
    <w:p>
      <w:pPr>
        <w:spacing w:after="0"/>
        <w:rPr>
          <w:sz w:val="20"/>
          <w:szCs w:val="20"/>
          <w:color w:val="auto"/>
        </w:rPr>
      </w:pPr>
      <w:r>
        <w:rPr>
          <w:rFonts w:ascii="Courier New" w:cs="Courier New" w:eastAsia="Courier New" w:hAnsi="Courier New"/>
          <w:sz w:val="14"/>
          <w:szCs w:val="14"/>
          <w:color w:val="auto"/>
        </w:rPr>
        <w:t>revenue was due to an increase in volume and the average sales price per gallon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recycled oil sold, and higher used oil and waste water collection revenue.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gross profit for the fiscal year ended March 31, 1997, was</w:t>
      </w:r>
    </w:p>
    <w:p>
      <w:pPr>
        <w:spacing w:after="0" w:line="26" w:lineRule="exact"/>
        <w:rPr>
          <w:sz w:val="20"/>
          <w:szCs w:val="20"/>
          <w:color w:val="auto"/>
        </w:rPr>
      </w:pPr>
    </w:p>
    <w:p>
      <w:pPr>
        <w:ind w:right="3259"/>
        <w:spacing w:after="0" w:line="253" w:lineRule="auto"/>
        <w:rPr>
          <w:sz w:val="20"/>
          <w:szCs w:val="20"/>
          <w:color w:val="auto"/>
        </w:rPr>
      </w:pPr>
      <w:r>
        <w:rPr>
          <w:rFonts w:ascii="Courier New" w:cs="Courier New" w:eastAsia="Courier New" w:hAnsi="Courier New"/>
          <w:sz w:val="15"/>
          <w:szCs w:val="15"/>
          <w:color w:val="auto"/>
        </w:rPr>
        <w:t>$46,627,000, an increase of $6,258,000, or 15.5%, as compared to the prior fiscal year. The Company's gross margin decreased from 6.3% for the fiscal year ended March 31, 1996 to 6.0% for the fiscal year ended March 31, 1997. The decrease resulted primarily from an overall increase in the average sales price per gallon sold in the Company's aviation segment, despite an increase in the average gross profit per gallon sold.</w:t>
      </w:r>
    </w:p>
    <w:p>
      <w:pPr>
        <w:spacing w:after="0" w:line="8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5"/>
          <w:szCs w:val="15"/>
          <w:color w:val="auto"/>
        </w:rPr>
        <w:t>The Company's aviation fueling business achieved a 6.0% gross margin for the fiscal year ended March 31, 1997, as compared to 6.7% achieved for the prior fiscal year. The Company's marine fueling segment achieved a 4.4% gross margin for the fiscal year ended March 31, 1997, as compared to a 4.3% gross margin for the prior fiscal year. The gross margin in the Company's oil recycling segment remained relatively constant at 33.4% for the fiscal year ended March 31, 1997, as compared to 33.5% for the prior fiscal year.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operating expenses for the fiscal year ended March 31, 1997 were</w:t>
      </w:r>
    </w:p>
    <w:p>
      <w:pPr>
        <w:spacing w:after="0" w:line="26" w:lineRule="exact"/>
        <w:rPr>
          <w:sz w:val="20"/>
          <w:szCs w:val="20"/>
          <w:color w:val="auto"/>
        </w:rPr>
      </w:pPr>
    </w:p>
    <w:p>
      <w:pPr>
        <w:ind w:right="3439"/>
        <w:spacing w:after="0" w:line="253" w:lineRule="auto"/>
        <w:rPr>
          <w:sz w:val="20"/>
          <w:szCs w:val="20"/>
          <w:color w:val="auto"/>
        </w:rPr>
      </w:pPr>
      <w:r>
        <w:rPr>
          <w:rFonts w:ascii="Courier New" w:cs="Courier New" w:eastAsia="Courier New" w:hAnsi="Courier New"/>
          <w:sz w:val="15"/>
          <w:szCs w:val="15"/>
          <w:color w:val="auto"/>
        </w:rPr>
        <w:t>$31,001,000, an increase of $5,578,000, or 21.9%, as compared to the prior fiscal year. Operating expenses increased partly as a result of the Company's international expansion. During this period, the Company devoted substantial resources to the expansion of its international infrastructure, adding professional staff, implementing telecommunications, sales, operational and accounting systems, and establishing an international</w:t>
      </w:r>
    </w:p>
    <w:p>
      <w:pPr>
        <w:spacing w:after="0" w:line="8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19"/>
          </w:cols>
          <w:pgMar w:left="240" w:top="601" w:right="1440" w:bottom="1440" w:gutter="0" w:footer="0" w:header="0"/>
        </w:sectPr>
      </w:pPr>
    </w:p>
    <w:bookmarkStart w:id="19" w:name="page20"/>
    <w:bookmarkEnd w:id="19"/>
    <w:p>
      <w:pPr>
        <w:ind w:right="3439"/>
        <w:spacing w:after="0" w:line="293" w:lineRule="auto"/>
        <w:rPr>
          <w:sz w:val="20"/>
          <w:szCs w:val="20"/>
          <w:color w:val="auto"/>
        </w:rPr>
      </w:pPr>
      <w:r>
        <w:rPr>
          <w:rFonts w:ascii="Courier New" w:cs="Courier New" w:eastAsia="Courier New" w:hAnsi="Courier New"/>
          <w:sz w:val="15"/>
          <w:szCs w:val="15"/>
          <w:color w:val="auto"/>
        </w:rPr>
        <w:t>headquarters office in Costa Rica. The increase in operating expenses also resulted from an increase of $2,398,000 in the provision for bad debts in the aviation fueling segment.</w:t>
      </w:r>
    </w:p>
    <w:p>
      <w:pPr>
        <w:spacing w:after="0" w:line="56"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The Company's income from operations for the fiscal year ended March 31, 1997 was $15,626,000, an increase of $680,000, or 4.5%, as compared to the prior fiscal year. Income from operations during these periods was attributable to the following segments: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440" w:type="dxa"/>
            <w:vAlign w:val="bottom"/>
            <w:gridSpan w:val="3"/>
          </w:tcPr>
          <w:p>
            <w:pPr>
              <w:ind w:left="980"/>
              <w:spacing w:after="0"/>
              <w:rPr>
                <w:sz w:val="20"/>
                <w:szCs w:val="20"/>
                <w:color w:val="auto"/>
              </w:rPr>
            </w:pPr>
            <w:r>
              <w:rPr>
                <w:rFonts w:ascii="Courier New" w:cs="Courier New" w:eastAsia="Courier New" w:hAnsi="Courier New"/>
                <w:sz w:val="15"/>
                <w:szCs w:val="15"/>
                <w:color w:val="auto"/>
              </w:rPr>
              <w:t>FISCAL YEAR ENDED MARCH 31,</w:t>
            </w:r>
          </w:p>
        </w:tc>
      </w:tr>
      <w:tr>
        <w:trPr>
          <w:trHeight w:val="170"/>
        </w:trPr>
        <w:tc>
          <w:tcPr>
            <w:tcW w:w="3420" w:type="dxa"/>
            <w:vAlign w:val="bottom"/>
          </w:tcPr>
          <w:p>
            <w:pPr>
              <w:spacing w:after="0"/>
              <w:rPr>
                <w:sz w:val="14"/>
                <w:szCs w:val="14"/>
                <w:color w:val="auto"/>
              </w:rPr>
            </w:pPr>
          </w:p>
        </w:tc>
        <w:tc>
          <w:tcPr>
            <w:tcW w:w="34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246"/>
        </w:trPr>
        <w:tc>
          <w:tcPr>
            <w:tcW w:w="3420" w:type="dxa"/>
            <w:vAlign w:val="bottom"/>
          </w:tcPr>
          <w:p>
            <w:pPr>
              <w:spacing w:after="0"/>
              <w:rPr>
                <w:sz w:val="21"/>
                <w:szCs w:val="21"/>
                <w:color w:val="auto"/>
              </w:rPr>
            </w:pPr>
          </w:p>
        </w:tc>
        <w:tc>
          <w:tcPr>
            <w:tcW w:w="2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116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10,620,000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$ 12,858,000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11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5,013,000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3,425,000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11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5,020,000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3,976,000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116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(5,027,000)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(5,313,000)</w:t>
            </w:r>
          </w:p>
        </w:tc>
      </w:tr>
      <w:tr>
        <w:trPr>
          <w:trHeight w:val="246"/>
        </w:trPr>
        <w:tc>
          <w:tcPr>
            <w:tcW w:w="3420" w:type="dxa"/>
            <w:vAlign w:val="bottom"/>
          </w:tcPr>
          <w:p>
            <w:pPr>
              <w:spacing w:after="0"/>
              <w:rPr>
                <w:sz w:val="21"/>
                <w:szCs w:val="21"/>
                <w:color w:val="auto"/>
              </w:rPr>
            </w:pPr>
          </w:p>
        </w:tc>
        <w:tc>
          <w:tcPr>
            <w:tcW w:w="2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116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15,626,000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$ 14,946,000</w:t>
            </w:r>
          </w:p>
        </w:tc>
      </w:tr>
      <w:tr>
        <w:trPr>
          <w:trHeight w:val="246"/>
        </w:trPr>
        <w:tc>
          <w:tcPr>
            <w:tcW w:w="3420" w:type="dxa"/>
            <w:vAlign w:val="bottom"/>
          </w:tcPr>
          <w:p>
            <w:pPr>
              <w:spacing w:after="0"/>
              <w:rPr>
                <w:sz w:val="21"/>
                <w:szCs w:val="21"/>
                <w:color w:val="auto"/>
              </w:rPr>
            </w:pPr>
          </w:p>
        </w:tc>
        <w:tc>
          <w:tcPr>
            <w:tcW w:w="2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ind w:right="3179"/>
        <w:spacing w:after="0" w:line="264" w:lineRule="auto"/>
        <w:rPr>
          <w:sz w:val="20"/>
          <w:szCs w:val="20"/>
          <w:color w:val="auto"/>
        </w:rPr>
      </w:pPr>
      <w:r>
        <w:rPr>
          <w:rFonts w:ascii="Courier New" w:cs="Courier New" w:eastAsia="Courier New" w:hAnsi="Courier New"/>
          <w:sz w:val="14"/>
          <w:szCs w:val="14"/>
          <w:color w:val="auto"/>
        </w:rPr>
        <w:t>The aviation fueling segment's income from operations was $10,620,000 for the fiscal year ended March 31, 1997, a decrease of $2,238,000, or 17.4%, as compared to the prior fiscal year. This resulted from an increase in operating expenses, due to expenses incurred in the Company's international expansion and a higher provision for bad debts. The increase in operating expenses was partially offset by an increase in the volume and gross profit of product sold. The marine fueling segment earned $5,013,000 in income from operations for the fiscal year ended March 31, 1997, an increase of $1,588,000, or 46.4%, as compared to the prior fiscal year. The increase was related primarily to an increase in the average gross profit per metric ton sold, partially offset by a decrease in the volume of metric tons brokered and higher operating expenses. Income from operations of the oil recycling segment increased by $1,044,000, or 26.3%, for the fiscal year ended March 31, 1997, as compared to the prior fiscal year. This improvement resulted from an increase in the volume and average gross profit per gallon of recycled oil sold. Corporate overhead costs not charged to the business segments totaled $5,027,000 for the fiscal year ended March 31, 1997, a decrease of $286,000, or 5.4%, as compared to the prior fiscal year.</w:t>
      </w:r>
    </w:p>
    <w:p>
      <w:pPr>
        <w:spacing w:after="0" w:line="85"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The Company's effective income tax rate for the fiscal year ended March 31, 1997 was 25.8%, as compared to 34.9% for the prior fiscal year. The decrease resulted largely from an overall decline in foreign income taxes.</w:t>
      </w:r>
    </w:p>
    <w:p>
      <w:pPr>
        <w:spacing w:after="0" w:line="56"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Net income for the fiscal year ended March 31, 1997 was $13,265,000, an increase of $2,320,000, or 21.2%, as compared to net income of $10,945,000 for the fiscal year ended March 31, 1996. Basic earnings per share of $1.10 for the fiscal year ended March 31, 1997 exhibited a $0.18, or 19.6%, increase over the $0.92 achieved during the prior fiscal year.</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In the Company's aviation and marine fuel businesses, the primary use of capital is to finance accounts receivable. The Company maintains aviation fuel inventories at certain locations in the United States</w:t>
      </w:r>
    </w:p>
    <w:p>
      <w:pPr>
        <w:spacing w:after="0" w:line="5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19"/>
          </w:cols>
          <w:pgMar w:left="240" w:top="601" w:right="1440" w:bottom="1440" w:gutter="0" w:footer="0" w:header="0"/>
        </w:sectPr>
      </w:pPr>
    </w:p>
    <w:bookmarkStart w:id="20" w:name="page21"/>
    <w:bookmarkEnd w:id="20"/>
    <w:p>
      <w:pPr>
        <w:ind w:right="3259"/>
        <w:spacing w:after="0" w:line="289" w:lineRule="auto"/>
        <w:rPr>
          <w:sz w:val="20"/>
          <w:szCs w:val="20"/>
          <w:color w:val="auto"/>
        </w:rPr>
      </w:pPr>
      <w:r>
        <w:rPr>
          <w:rFonts w:ascii="Courier New" w:cs="Courier New" w:eastAsia="Courier New" w:hAnsi="Courier New"/>
          <w:sz w:val="14"/>
          <w:szCs w:val="14"/>
          <w:color w:val="auto"/>
        </w:rPr>
        <w:t>for competitive reasons, but inventory levels are kept at an operating minimum. The Company also maintains inventory in its offshore fueling operations. The Company's aviation and marine fuel businesses historically have not required significant capital investment in fixed assets as the Company subcontracts fueling services and maintains inventory at third party storage facilities.</w:t>
      </w:r>
    </w:p>
    <w:p>
      <w:pPr>
        <w:spacing w:after="0" w:line="62" w:lineRule="exact"/>
        <w:rPr>
          <w:sz w:val="20"/>
          <w:szCs w:val="20"/>
          <w:color w:val="auto"/>
        </w:rPr>
      </w:pPr>
    </w:p>
    <w:p>
      <w:pPr>
        <w:ind w:right="3179"/>
        <w:spacing w:after="0" w:line="273" w:lineRule="auto"/>
        <w:rPr>
          <w:sz w:val="20"/>
          <w:szCs w:val="20"/>
          <w:color w:val="auto"/>
        </w:rPr>
      </w:pPr>
      <w:r>
        <w:rPr>
          <w:rFonts w:ascii="Courier New" w:cs="Courier New" w:eastAsia="Courier New" w:hAnsi="Courier New"/>
          <w:sz w:val="14"/>
          <w:szCs w:val="14"/>
          <w:color w:val="auto"/>
        </w:rPr>
        <w:t>In contrast to the Company's aviation and marine fueling segments, the oil recycling segment capital requirements are for the financing of property, plant and equipment, and accounts receivable. The Company generally utilizes internally generated cash to fund capital expenditures, and secondarily the Company will utilize its available line of credit or enter into leasing or installment note arrangements to match-fund the useful life of certain long-term assets. The Company's oil recycling operations also require working capital to purchase and carry an inventory of used oil, as well as the costs of operating the plant until the proceeds from the re-refined oil sales are received.</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 amounted to $14,459,000 at March 31, 1998, as compared</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$11,035,000 at March 31, 1997. The principal uses of cash during the fiscal</w:t>
      </w:r>
    </w:p>
    <w:p>
      <w:pPr>
        <w:spacing w:after="0"/>
        <w:rPr>
          <w:sz w:val="20"/>
          <w:szCs w:val="20"/>
          <w:color w:val="auto"/>
        </w:rPr>
      </w:pPr>
      <w:r>
        <w:rPr>
          <w:rFonts w:ascii="Courier New" w:cs="Courier New" w:eastAsia="Courier New" w:hAnsi="Courier New"/>
          <w:sz w:val="15"/>
          <w:szCs w:val="15"/>
          <w:color w:val="auto"/>
        </w:rPr>
        <w:t>year ended March 31, 1998 were $4,245,000 of repayments on notes payable,</w:t>
      </w:r>
    </w:p>
    <w:p>
      <w:pPr>
        <w:spacing w:after="0"/>
        <w:rPr>
          <w:sz w:val="20"/>
          <w:szCs w:val="20"/>
          <w:color w:val="auto"/>
        </w:rPr>
      </w:pPr>
      <w:r>
        <w:rPr>
          <w:rFonts w:ascii="Courier New" w:cs="Courier New" w:eastAsia="Courier New" w:hAnsi="Courier New"/>
          <w:sz w:val="15"/>
          <w:szCs w:val="15"/>
          <w:color w:val="auto"/>
        </w:rPr>
        <w:t>$2,432,000 in dividends paid on common stock, $3,484,000 used for the purchase</w:t>
      </w:r>
    </w:p>
    <w:p>
      <w:pPr>
        <w:spacing w:after="0"/>
        <w:rPr>
          <w:sz w:val="20"/>
          <w:szCs w:val="20"/>
          <w:color w:val="auto"/>
        </w:rPr>
      </w:pPr>
      <w:r>
        <w:rPr>
          <w:rFonts w:ascii="Courier New" w:cs="Courier New" w:eastAsia="Courier New" w:hAnsi="Courier New"/>
          <w:sz w:val="15"/>
          <w:szCs w:val="15"/>
          <w:color w:val="auto"/>
        </w:rPr>
        <w:t>and construction of plant, equipment and other capital expenditures, and</w:t>
      </w:r>
    </w:p>
    <w:p>
      <w:pPr>
        <w:spacing w:after="0"/>
        <w:rPr>
          <w:sz w:val="20"/>
          <w:szCs w:val="20"/>
          <w:color w:val="auto"/>
        </w:rPr>
      </w:pPr>
      <w:r>
        <w:rPr>
          <w:rFonts w:ascii="Courier New" w:cs="Courier New" w:eastAsia="Courier New" w:hAnsi="Courier New"/>
          <w:sz w:val="15"/>
          <w:szCs w:val="15"/>
          <w:color w:val="auto"/>
        </w:rPr>
        <w:t>$807,000 net cash paid for the acquisition of the Baseops group of companies.</w:t>
      </w:r>
    </w:p>
    <w:p>
      <w:pPr>
        <w:spacing w:after="0"/>
        <w:rPr>
          <w:sz w:val="20"/>
          <w:szCs w:val="20"/>
          <w:color w:val="auto"/>
        </w:rPr>
      </w:pPr>
      <w:r>
        <w:rPr>
          <w:rFonts w:ascii="Courier New" w:cs="Courier New" w:eastAsia="Courier New" w:hAnsi="Courier New"/>
          <w:sz w:val="15"/>
          <w:szCs w:val="15"/>
          <w:color w:val="auto"/>
        </w:rPr>
        <w:t>Partially offsetting these cash uses were $12,894,000 in net cash provided by</w:t>
      </w:r>
    </w:p>
    <w:p>
      <w:pPr>
        <w:spacing w:after="0"/>
        <w:rPr>
          <w:sz w:val="20"/>
          <w:szCs w:val="20"/>
          <w:color w:val="auto"/>
        </w:rPr>
      </w:pPr>
      <w:r>
        <w:rPr>
          <w:rFonts w:ascii="Courier New" w:cs="Courier New" w:eastAsia="Courier New" w:hAnsi="Courier New"/>
          <w:sz w:val="15"/>
          <w:szCs w:val="15"/>
          <w:color w:val="auto"/>
        </w:rPr>
        <w:t>operating activities, $809,000 from collections on notes receivable and</w:t>
      </w:r>
    </w:p>
    <w:p>
      <w:pPr>
        <w:spacing w:after="0"/>
        <w:rPr>
          <w:sz w:val="20"/>
          <w:szCs w:val="20"/>
          <w:color w:val="auto"/>
        </w:rPr>
      </w:pPr>
      <w:r>
        <w:rPr>
          <w:rFonts w:ascii="Courier New" w:cs="Courier New" w:eastAsia="Courier New" w:hAnsi="Courier New"/>
          <w:sz w:val="14"/>
          <w:szCs w:val="14"/>
          <w:color w:val="auto"/>
        </w:rPr>
        <w:t>$1,158,000 from the issuance of common stock in connection with the exercise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 as of March 31, 1998 was $60,101,000, exhibiting a $11,516,000</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from working capital as of March 31, 1997. As of March 31, 1998, the</w:t>
      </w:r>
    </w:p>
    <w:p>
      <w:pPr>
        <w:spacing w:after="0"/>
        <w:rPr>
          <w:sz w:val="20"/>
          <w:szCs w:val="20"/>
          <w:color w:val="auto"/>
        </w:rPr>
      </w:pPr>
      <w:r>
        <w:rPr>
          <w:rFonts w:ascii="Courier New" w:cs="Courier New" w:eastAsia="Courier New" w:hAnsi="Courier New"/>
          <w:sz w:val="15"/>
          <w:szCs w:val="15"/>
          <w:color w:val="auto"/>
        </w:rPr>
        <w:t>Company's accounts receivable, excluding the allowance for bad debts, amounted</w:t>
      </w:r>
    </w:p>
    <w:p>
      <w:pPr>
        <w:spacing w:after="0"/>
        <w:rPr>
          <w:sz w:val="20"/>
          <w:szCs w:val="20"/>
          <w:color w:val="auto"/>
        </w:rPr>
      </w:pPr>
      <w:r>
        <w:rPr>
          <w:rFonts w:ascii="Courier New" w:cs="Courier New" w:eastAsia="Courier New" w:hAnsi="Courier New"/>
          <w:sz w:val="15"/>
          <w:szCs w:val="15"/>
          <w:color w:val="auto"/>
        </w:rPr>
        <w:t>to $86,242,000, an increase of $11,063,000 as compared to the March 31, 1997</w:t>
      </w:r>
    </w:p>
    <w:p>
      <w:pPr>
        <w:spacing w:after="0"/>
        <w:rPr>
          <w:sz w:val="20"/>
          <w:szCs w:val="20"/>
          <w:color w:val="auto"/>
        </w:rPr>
      </w:pPr>
      <w:r>
        <w:rPr>
          <w:rFonts w:ascii="Courier New" w:cs="Courier New" w:eastAsia="Courier New" w:hAnsi="Courier New"/>
          <w:sz w:val="15"/>
          <w:szCs w:val="15"/>
          <w:color w:val="auto"/>
        </w:rPr>
        <w:t>balance. In the aggregate, accounts payable, accrued expenses and customer</w:t>
      </w:r>
    </w:p>
    <w:p>
      <w:pPr>
        <w:spacing w:after="0"/>
        <w:rPr>
          <w:sz w:val="20"/>
          <w:szCs w:val="20"/>
          <w:color w:val="auto"/>
        </w:rPr>
      </w:pPr>
      <w:r>
        <w:rPr>
          <w:rFonts w:ascii="Courier New" w:cs="Courier New" w:eastAsia="Courier New" w:hAnsi="Courier New"/>
          <w:sz w:val="15"/>
          <w:szCs w:val="15"/>
          <w:color w:val="auto"/>
        </w:rPr>
        <w:t>deposits increased $2,905,000. The net increase in trade credit of $8,158,000</w:t>
      </w:r>
    </w:p>
    <w:p>
      <w:pPr>
        <w:spacing w:after="0"/>
        <w:rPr>
          <w:sz w:val="20"/>
          <w:szCs w:val="20"/>
          <w:color w:val="auto"/>
        </w:rPr>
      </w:pPr>
      <w:r>
        <w:rPr>
          <w:rFonts w:ascii="Courier New" w:cs="Courier New" w:eastAsia="Courier New" w:hAnsi="Courier New"/>
          <w:sz w:val="14"/>
          <w:szCs w:val="14"/>
          <w:color w:val="auto"/>
        </w:rPr>
        <w:t>was attributed to the marine segment's business expansion and the acquisition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Baseops. The allowance for doubtful accounts as of March 31, 1998 amounted to</w:t>
      </w:r>
    </w:p>
    <w:p>
      <w:pPr>
        <w:spacing w:after="0"/>
        <w:rPr>
          <w:sz w:val="20"/>
          <w:szCs w:val="20"/>
          <w:color w:val="auto"/>
        </w:rPr>
      </w:pPr>
      <w:r>
        <w:rPr>
          <w:rFonts w:ascii="Courier New" w:cs="Courier New" w:eastAsia="Courier New" w:hAnsi="Courier New"/>
          <w:sz w:val="15"/>
          <w:szCs w:val="15"/>
          <w:color w:val="auto"/>
        </w:rPr>
        <w:t>$4,594,000, an increase of $234,000 compared to the March 31, 1997 balance.</w:t>
      </w:r>
    </w:p>
    <w:p>
      <w:pPr>
        <w:spacing w:after="0"/>
        <w:rPr>
          <w:sz w:val="20"/>
          <w:szCs w:val="20"/>
          <w:color w:val="auto"/>
        </w:rPr>
      </w:pPr>
      <w:r>
        <w:rPr>
          <w:rFonts w:ascii="Courier New" w:cs="Courier New" w:eastAsia="Courier New" w:hAnsi="Courier New"/>
          <w:sz w:val="15"/>
          <w:szCs w:val="15"/>
          <w:color w:val="auto"/>
        </w:rPr>
        <w:t>During the fiscal years ended March 31, 1998 and 1997, the Company charged</w:t>
      </w:r>
    </w:p>
    <w:p>
      <w:pPr>
        <w:spacing w:after="0"/>
        <w:rPr>
          <w:sz w:val="20"/>
          <w:szCs w:val="20"/>
          <w:color w:val="auto"/>
        </w:rPr>
      </w:pPr>
      <w:r>
        <w:rPr>
          <w:rFonts w:ascii="Courier New" w:cs="Courier New" w:eastAsia="Courier New" w:hAnsi="Courier New"/>
          <w:sz w:val="14"/>
          <w:szCs w:val="14"/>
          <w:color w:val="auto"/>
        </w:rPr>
        <w:t>$1,417,000 and $5,107,000, respectively, to the provision for bad debts and had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charge-offs in excess of recoveries of $1,301,000 and $5,110,000, respectively.</w:t>
      </w:r>
    </w:p>
    <w:p>
      <w:pPr>
        <w:spacing w:after="0" w:line="15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5"/>
          <w:szCs w:val="15"/>
          <w:color w:val="auto"/>
        </w:rPr>
        <w:t>Inventories at March 31, 1998 were $945,000 lower as compared to March 31, 1997. This decrease was principally due to decreases in the Company's aviation inventories, partially offset by the Company's marine offshore fueling operations. Prepaid expenses and other current assets as of March 31, 1998 were $5,937,000, exhibiting an increase of $804,000 over the March 31, 1997 balance. This is primarily related to the reclassification of a note receivable from other assets to current assets.</w:t>
      </w:r>
    </w:p>
    <w:p>
      <w:pPr>
        <w:spacing w:after="0" w:line="82"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Capital expenditures, which amounted to $3,484,000 for the fiscal year ended March 31, 1998, consisted primarily of $1,505,000 in office and computer equipment and $1,681,000 in plant, machinery and equipment related primarily to the Company's recycled oil segment. During fiscal year 1999, the Company anticipates spending approximately $3,000,000 for the expansion of the Company's business and the upgrade of existing plant, machinery and equipment. The Company also anticipates spending an additional estimated $1,000,000 over the next several years to clean up contamination which was present at one of the Company's sites when it was acquired by the Company.</w:t>
      </w:r>
    </w:p>
    <w:p>
      <w:pPr>
        <w:spacing w:after="0" w:line="8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19"/>
          </w:cols>
          <w:pgMar w:left="240" w:top="601" w:right="1440" w:bottom="1440" w:gutter="0" w:footer="0" w:header="0"/>
        </w:sectPr>
      </w:pPr>
    </w:p>
    <w:bookmarkStart w:id="21" w:name="page22"/>
    <w:bookmarkEnd w:id="21"/>
    <w:p>
      <w:pPr>
        <w:ind w:right="3179"/>
        <w:spacing w:after="0" w:line="347" w:lineRule="auto"/>
        <w:rPr>
          <w:sz w:val="20"/>
          <w:szCs w:val="20"/>
          <w:color w:val="auto"/>
        </w:rPr>
      </w:pPr>
      <w:r>
        <w:rPr>
          <w:rFonts w:ascii="Courier New" w:cs="Courier New" w:eastAsia="Courier New" w:hAnsi="Courier New"/>
          <w:sz w:val="15"/>
          <w:szCs w:val="15"/>
          <w:color w:val="auto"/>
        </w:rPr>
        <w:t>The clean up cost will be capitalized as part of the cost of the site, up to the fair market value of the site.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liabilities as of March 31, 1998 were $3,901,000, exhibiting a</w:t>
      </w:r>
    </w:p>
    <w:p>
      <w:pPr>
        <w:spacing w:after="0" w:line="26"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$871,000 increase as compared to March 31, 1997. This increase was primarily the result of a $556,000 increase in deferred compensation and a $379,000 increase in deferred income taxes.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 amounted to $91,911,000, or $7.36 per share, at March 31,</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compared to $75,258,000, or $6.19 per share, at March 31, 1997. This</w:t>
      </w:r>
    </w:p>
    <w:p>
      <w:pPr>
        <w:spacing w:after="0"/>
        <w:rPr>
          <w:sz w:val="20"/>
          <w:szCs w:val="20"/>
          <w:color w:val="auto"/>
        </w:rPr>
      </w:pPr>
      <w:r>
        <w:rPr>
          <w:rFonts w:ascii="Courier New" w:cs="Courier New" w:eastAsia="Courier New" w:hAnsi="Courier New"/>
          <w:sz w:val="15"/>
          <w:szCs w:val="15"/>
          <w:color w:val="auto"/>
        </w:rPr>
        <w:t>increase of $16,653,000 was due to $15,853,000 in earnings for the period,</w:t>
      </w:r>
    </w:p>
    <w:p>
      <w:pPr>
        <w:spacing w:after="0"/>
        <w:rPr>
          <w:sz w:val="20"/>
          <w:szCs w:val="20"/>
          <w:color w:val="auto"/>
        </w:rPr>
      </w:pPr>
      <w:r>
        <w:rPr>
          <w:rFonts w:ascii="Courier New" w:cs="Courier New" w:eastAsia="Courier New" w:hAnsi="Courier New"/>
          <w:sz w:val="14"/>
          <w:szCs w:val="14"/>
          <w:color w:val="auto"/>
        </w:rPr>
        <w:t>$1,158,000 due to the issuance of common stock pursuant to the exercise of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and $2,090,000 due to the issuance of common stock pursuant to the</w:t>
      </w:r>
    </w:p>
    <w:p>
      <w:pPr>
        <w:spacing w:after="0"/>
        <w:rPr>
          <w:sz w:val="20"/>
          <w:szCs w:val="20"/>
          <w:color w:val="auto"/>
        </w:rPr>
      </w:pPr>
      <w:r>
        <w:rPr>
          <w:rFonts w:ascii="Courier New" w:cs="Courier New" w:eastAsia="Courier New" w:hAnsi="Courier New"/>
          <w:sz w:val="15"/>
          <w:szCs w:val="15"/>
          <w:color w:val="auto"/>
        </w:rPr>
        <w:t>Baseops acquisition. Partially offsetting was $2,448,000 in cash dividends</w:t>
      </w:r>
    </w:p>
    <w:p>
      <w:pPr>
        <w:spacing w:after="0"/>
        <w:rPr>
          <w:sz w:val="20"/>
          <w:szCs w:val="20"/>
          <w:color w:val="auto"/>
        </w:rPr>
      </w:pPr>
      <w:r>
        <w:rPr>
          <w:rFonts w:ascii="Courier New" w:cs="Courier New" w:eastAsia="Courier New" w:hAnsi="Courier New"/>
          <w:sz w:val="15"/>
          <w:szCs w:val="15"/>
          <w:color w:val="auto"/>
        </w:rPr>
        <w:t>declared.</w:t>
      </w:r>
    </w:p>
    <w:p>
      <w:pPr>
        <w:spacing w:after="0" w:line="143"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The Company expects to meet its capital investment and working capital requirements for fiscal year 1999 from existing cash, operations and additional borrowings, as necessary, under its existing line of credit. The Company's business has not been significantly affected by inflation during the periods discussed in this report.</w:t>
      </w:r>
    </w:p>
    <w:p>
      <w:pPr>
        <w:spacing w:after="0" w:line="75" w:lineRule="exact"/>
        <w:rPr>
          <w:sz w:val="20"/>
          <w:szCs w:val="20"/>
          <w:color w:val="auto"/>
        </w:rPr>
      </w:pPr>
    </w:p>
    <w:p>
      <w:pPr>
        <w:ind w:right="3259"/>
        <w:spacing w:after="0" w:line="283" w:lineRule="auto"/>
        <w:rPr>
          <w:sz w:val="20"/>
          <w:szCs w:val="20"/>
          <w:color w:val="auto"/>
        </w:rPr>
      </w:pPr>
      <w:r>
        <w:rPr>
          <w:rFonts w:ascii="Courier New" w:cs="Courier New" w:eastAsia="Courier New" w:hAnsi="Courier New"/>
          <w:sz w:val="14"/>
          <w:szCs w:val="14"/>
          <w:color w:val="auto"/>
        </w:rPr>
        <w:t>The Company has completed a risk assessment of the ability of its information systems to operate in light of the "year 2000 issue." Based on the assessment, the Company has developed an action plan, which primarily consists of replacing existing non-compliant systems with new systems. The Company believes it is feasible to acquire such new systems before the year 2000 and that the cost of such systems are within its capital cost budget and financing capabilities.</w:t>
      </w:r>
    </w:p>
    <w:p>
      <w:pPr>
        <w:spacing w:after="0" w:line="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9"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Attached hereto and filed as a part of this Form 10-K are the financial statements required by Regulation S-X and the supplementary data required by Regulation S-K.</w:t>
      </w:r>
    </w:p>
    <w:p>
      <w:pPr>
        <w:spacing w:after="0" w:line="5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w:t>
      </w:r>
    </w:p>
    <w:p>
      <w:pPr>
        <w:spacing w:after="0" w:line="26"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ACCOUNTING AND FINANCIAL DISCLOSURE</w:t>
      </w:r>
    </w:p>
    <w:p>
      <w:pPr>
        <w:spacing w:after="0" w:line="143" w:lineRule="exact"/>
        <w:rPr>
          <w:sz w:val="20"/>
          <w:szCs w:val="20"/>
          <w:color w:val="auto"/>
        </w:rPr>
      </w:pPr>
    </w:p>
    <w:p>
      <w:pPr>
        <w:ind w:right="3539"/>
        <w:spacing w:after="0" w:line="275" w:lineRule="auto"/>
        <w:rPr>
          <w:sz w:val="20"/>
          <w:szCs w:val="20"/>
          <w:color w:val="auto"/>
        </w:rPr>
      </w:pPr>
      <w:r>
        <w:rPr>
          <w:rFonts w:ascii="Courier New" w:cs="Courier New" w:eastAsia="Courier New" w:hAnsi="Courier New"/>
          <w:sz w:val="15"/>
          <w:szCs w:val="15"/>
          <w:color w:val="auto"/>
        </w:rPr>
        <w:t>No disagreements with accountants on any matter of accounting principles or practices or financial statement disclosure have been reported on a Form 8-K within the twenty-four months prior to the date of the most recent financial statement.</w:t>
      </w:r>
    </w:p>
    <w:p>
      <w:pPr>
        <w:spacing w:after="0" w:line="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19"/>
          </w:cols>
          <w:pgMar w:left="240" w:top="601" w:right="1440" w:bottom="1440" w:gutter="0" w:footer="0" w:header="0"/>
        </w:sectPr>
      </w:pPr>
    </w:p>
    <w:bookmarkStart w:id="22" w:name="page23"/>
    <w:bookmarkEnd w:id="22"/>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69"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information concerning the directors and executive officers of the Company set forth under the captions "Election of Directors" and "Information Concerning Executive Officers", respectively, appearing in the definitive Proxy Statement of the Company for its 1998 Annual Meeting of Shareholders (the "1998 Proxy Statement"), is incorporated herein by reference.</w:t>
      </w:r>
    </w:p>
    <w:p>
      <w:pPr>
        <w:spacing w:after="0" w:line="7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69"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The information set forth in the 1998 Proxy Statement under the caption "Compensation of Officers" and "Board of Directors - Compensation of Directors" is incorporated herein by reference.</w:t>
      </w:r>
    </w:p>
    <w:p>
      <w:pPr>
        <w:spacing w:after="0" w:line="56" w:lineRule="exact"/>
        <w:rPr>
          <w:sz w:val="20"/>
          <w:szCs w:val="20"/>
          <w:color w:val="auto"/>
        </w:rPr>
      </w:pPr>
    </w:p>
    <w:p>
      <w:pPr>
        <w:ind w:left="1040" w:right="4679" w:hanging="1057"/>
        <w:spacing w:after="0" w:line="347" w:lineRule="auto"/>
        <w:tabs>
          <w:tab w:leader="none" w:pos="102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7"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The information set forth under the caption "Principal Stockholders and Security Ownership of Management" in the 1998 Proxy Statement is incorporated herein by reference.</w:t>
      </w:r>
    </w:p>
    <w:p>
      <w:pPr>
        <w:spacing w:after="0" w:line="5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69" w:lineRule="exact"/>
        <w:rPr>
          <w:sz w:val="20"/>
          <w:szCs w:val="20"/>
          <w:color w:val="auto"/>
        </w:rPr>
      </w:pPr>
    </w:p>
    <w:p>
      <w:pPr>
        <w:ind w:right="3439"/>
        <w:spacing w:after="0" w:line="384" w:lineRule="auto"/>
        <w:rPr>
          <w:sz w:val="20"/>
          <w:szCs w:val="20"/>
          <w:color w:val="auto"/>
        </w:rPr>
      </w:pPr>
      <w:r>
        <w:rPr>
          <w:rFonts w:ascii="Courier New" w:cs="Courier New" w:eastAsia="Courier New" w:hAnsi="Courier New"/>
          <w:sz w:val="14"/>
          <w:szCs w:val="14"/>
          <w:color w:val="auto"/>
        </w:rPr>
        <w:t>The information set forth under the caption "Transactions with Management and Others" in the 1998 Proxy Statement is incorporated herein by reference.</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19"/>
          </w:cols>
          <w:pgMar w:left="240" w:top="601" w:right="1440" w:bottom="1440" w:gutter="0" w:footer="0" w:header="0"/>
        </w:sectPr>
      </w:pPr>
    </w:p>
    <w:bookmarkStart w:id="23" w:name="page24"/>
    <w:bookmarkEnd w:id="23"/>
    <w:p>
      <w:pPr>
        <w:ind w:left="327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ind w:left="1050" w:right="4419" w:hanging="1057"/>
        <w:spacing w:after="0" w:line="347" w:lineRule="auto"/>
        <w:tabs>
          <w:tab w:leader="none" w:pos="1029"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EXHIBITS, FINANCIAL STATEMENT SCHEDULES AND REPORTS ON FORM 8-K</w:t>
      </w:r>
    </w:p>
    <w:p>
      <w:pPr>
        <w:spacing w:after="0" w:line="17" w:lineRule="exact"/>
        <w:rPr>
          <w:sz w:val="20"/>
          <w:szCs w:val="20"/>
          <w:color w:val="auto"/>
        </w:rPr>
      </w:pPr>
    </w:p>
    <w:p>
      <w:pPr>
        <w:ind w:left="710" w:right="3359" w:hanging="699"/>
        <w:spacing w:after="0" w:line="347" w:lineRule="auto"/>
        <w:tabs>
          <w:tab w:leader="none" w:pos="689" w:val="left"/>
        </w:tabs>
        <w:rPr>
          <w:sz w:val="20"/>
          <w:szCs w:val="20"/>
          <w:color w:val="auto"/>
        </w:rPr>
      </w:pPr>
      <w:r>
        <w:rPr>
          <w:rFonts w:ascii="Courier New" w:cs="Courier New" w:eastAsia="Courier New" w:hAnsi="Courier New"/>
          <w:sz w:val="15"/>
          <w:szCs w:val="15"/>
          <w:color w:val="auto"/>
        </w:rPr>
        <w:t>(a)(1)</w:t>
        <w:tab/>
        <w:t>The following consolidated financial statements are filed as a part of this report:</w:t>
      </w:r>
    </w:p>
    <w:p>
      <w:pPr>
        <w:spacing w:after="0" w:line="17" w:lineRule="exact"/>
        <w:rPr>
          <w:sz w:val="20"/>
          <w:szCs w:val="20"/>
          <w:color w:val="auto"/>
        </w:rPr>
      </w:pPr>
    </w:p>
    <w:tbl>
      <w:tblPr>
        <w:tblLayout w:type="fixed"/>
        <w:tblInd w:w="530" w:type="dxa"/>
        <w:tblCellMar>
          <w:top w:w="0" w:type="dxa"/>
          <w:left w:w="0" w:type="dxa"/>
          <w:bottom w:w="0" w:type="dxa"/>
          <w:right w:w="0" w:type="dxa"/>
        </w:tblCellMar>
      </w:tblPr>
      <w:tr>
        <w:trPr>
          <w:trHeight w:val="246"/>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(i)</w:t>
            </w:r>
          </w:p>
        </w:tc>
        <w:tc>
          <w:tcPr>
            <w:tcW w:w="5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Report of Independent Certified Public Accountants.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339"/>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(ii)</w:t>
            </w:r>
          </w:p>
        </w:tc>
        <w:tc>
          <w:tcPr>
            <w:tcW w:w="2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Consolidated Balance Sheets as</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of March 31, 1998 and 1997.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26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(iii)</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Consolidated Statements of</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Income for the Years Ended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246"/>
        </w:trPr>
        <w:tc>
          <w:tcPr>
            <w:tcW w:w="480" w:type="dxa"/>
            <w:vAlign w:val="bottom"/>
          </w:tcPr>
          <w:p>
            <w:pPr>
              <w:spacing w:after="0"/>
              <w:rPr>
                <w:sz w:val="21"/>
                <w:szCs w:val="21"/>
                <w:color w:val="auto"/>
              </w:rPr>
            </w:pPr>
          </w:p>
        </w:tc>
        <w:tc>
          <w:tcPr>
            <w:tcW w:w="2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March 31, 1998, 1997 and 1996.</w:t>
            </w:r>
          </w:p>
        </w:tc>
        <w:tc>
          <w:tcPr>
            <w:tcW w:w="290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(iv)</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Consolidated Statements of</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Stockholders' Equity for the Years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246"/>
        </w:trPr>
        <w:tc>
          <w:tcPr>
            <w:tcW w:w="480" w:type="dxa"/>
            <w:vAlign w:val="bottom"/>
          </w:tcPr>
          <w:p>
            <w:pPr>
              <w:spacing w:after="0"/>
              <w:rPr>
                <w:sz w:val="21"/>
                <w:szCs w:val="21"/>
                <w:color w:val="auto"/>
              </w:rPr>
            </w:pP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Ended March 31, 1998, 1997</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(v)</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Consolidated Statements of</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Cash Flows for the Years Ended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246"/>
        </w:trPr>
        <w:tc>
          <w:tcPr>
            <w:tcW w:w="480" w:type="dxa"/>
            <w:vAlign w:val="bottom"/>
          </w:tcPr>
          <w:p>
            <w:pPr>
              <w:spacing w:after="0"/>
              <w:rPr>
                <w:sz w:val="21"/>
                <w:szCs w:val="21"/>
                <w:color w:val="auto"/>
              </w:rPr>
            </w:pPr>
          </w:p>
        </w:tc>
        <w:tc>
          <w:tcPr>
            <w:tcW w:w="2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March 31, 1998, 1997 and 1996.</w:t>
            </w:r>
          </w:p>
        </w:tc>
        <w:tc>
          <w:tcPr>
            <w:tcW w:w="290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(vi)</w:t>
            </w:r>
          </w:p>
        </w:tc>
        <w:tc>
          <w:tcPr>
            <w:tcW w:w="5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10" w:right="3439" w:hanging="699"/>
        <w:spacing w:after="0" w:line="347" w:lineRule="auto"/>
        <w:tabs>
          <w:tab w:leader="none" w:pos="689" w:val="left"/>
        </w:tabs>
        <w:rPr>
          <w:sz w:val="20"/>
          <w:szCs w:val="20"/>
          <w:color w:val="auto"/>
        </w:rPr>
      </w:pPr>
      <w:r>
        <w:rPr>
          <w:rFonts w:ascii="Courier New" w:cs="Courier New" w:eastAsia="Courier New" w:hAnsi="Courier New"/>
          <w:sz w:val="15"/>
          <w:szCs w:val="15"/>
          <w:color w:val="auto"/>
        </w:rPr>
        <w:t>(a)(2)</w:t>
        <w:tab/>
        <w:t>The following consolidated financial statement schedule is filed as a part of this report:</w:t>
      </w:r>
    </w:p>
    <w:p>
      <w:pPr>
        <w:spacing w:after="0" w:line="17" w:lineRule="exact"/>
        <w:rPr>
          <w:sz w:val="20"/>
          <w:szCs w:val="20"/>
          <w:color w:val="auto"/>
        </w:rPr>
      </w:pPr>
    </w:p>
    <w:tbl>
      <w:tblPr>
        <w:tblLayout w:type="fixed"/>
        <w:tblInd w:w="710" w:type="dxa"/>
        <w:tblCellMar>
          <w:top w:w="0" w:type="dxa"/>
          <w:left w:w="0" w:type="dxa"/>
          <w:bottom w:w="0" w:type="dxa"/>
          <w:right w:w="0" w:type="dxa"/>
        </w:tblCellMar>
      </w:tblPr>
      <w:tr>
        <w:trPr>
          <w:trHeight w:val="246"/>
        </w:trPr>
        <w:tc>
          <w:tcPr>
            <w:tcW w:w="5380" w:type="dxa"/>
            <w:vAlign w:val="bottom"/>
          </w:tcPr>
          <w:p>
            <w:pPr>
              <w:spacing w:after="0"/>
              <w:rPr>
                <w:sz w:val="20"/>
                <w:szCs w:val="20"/>
                <w:color w:val="auto"/>
              </w:rPr>
            </w:pPr>
            <w:r>
              <w:rPr>
                <w:rFonts w:ascii="Courier New" w:cs="Courier New" w:eastAsia="Courier New" w:hAnsi="Courier New"/>
                <w:sz w:val="15"/>
                <w:szCs w:val="15"/>
                <w:color w:val="auto"/>
              </w:rPr>
              <w:t>(I) Schedule II - Valuation and Qualifying Accounts.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bl>
    <w:p>
      <w:pPr>
        <w:spacing w:after="0" w:line="93" w:lineRule="exact"/>
        <w:rPr>
          <w:sz w:val="20"/>
          <w:szCs w:val="20"/>
          <w:color w:val="auto"/>
        </w:rPr>
      </w:pPr>
    </w:p>
    <w:p>
      <w:pPr>
        <w:ind w:left="1050" w:right="3259"/>
        <w:spacing w:after="0" w:line="275" w:lineRule="auto"/>
        <w:rPr>
          <w:sz w:val="20"/>
          <w:szCs w:val="20"/>
          <w:color w:val="auto"/>
        </w:rPr>
      </w:pPr>
      <w:r>
        <w:rPr>
          <w:rFonts w:ascii="Courier New" w:cs="Courier New" w:eastAsia="Courier New" w:hAnsi="Courier New"/>
          <w:sz w:val="15"/>
          <w:szCs w:val="15"/>
          <w:color w:val="auto"/>
        </w:rPr>
        <w:t>Schedules not set forth herein have been omitted either because the required information is set forth in the Consolidated Financial Statements or Notes thereto, or the information called for is not required.</w:t>
      </w:r>
    </w:p>
    <w:p>
      <w:pPr>
        <w:spacing w:after="0" w:line="69" w:lineRule="exact"/>
        <w:rPr>
          <w:sz w:val="20"/>
          <w:szCs w:val="20"/>
          <w:color w:val="auto"/>
        </w:rPr>
      </w:pPr>
    </w:p>
    <w:p>
      <w:pPr>
        <w:ind w:left="710" w:right="3179" w:hanging="699"/>
        <w:spacing w:after="0" w:line="347" w:lineRule="auto"/>
        <w:tabs>
          <w:tab w:leader="none" w:pos="689" w:val="left"/>
        </w:tabs>
        <w:rPr>
          <w:sz w:val="20"/>
          <w:szCs w:val="20"/>
          <w:color w:val="auto"/>
        </w:rPr>
      </w:pPr>
      <w:r>
        <w:rPr>
          <w:rFonts w:ascii="Courier New" w:cs="Courier New" w:eastAsia="Courier New" w:hAnsi="Courier New"/>
          <w:sz w:val="15"/>
          <w:szCs w:val="15"/>
          <w:color w:val="auto"/>
        </w:rPr>
        <w:t>(a)(3)</w:t>
        <w:tab/>
        <w:t>The exhibits set forth in the following index of exhibits are filed as a part of this report:</w:t>
      </w:r>
    </w:p>
    <w:p>
      <w:pPr>
        <w:spacing w:after="0" w:line="17"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26" w:lineRule="exact"/>
        <w:rPr>
          <w:sz w:val="20"/>
          <w:szCs w:val="20"/>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43" w:lineRule="exact"/>
        <w:rPr>
          <w:rFonts w:ascii="Courier New" w:cs="Courier New" w:eastAsia="Courier New" w:hAnsi="Courier New"/>
          <w:sz w:val="15"/>
          <w:szCs w:val="15"/>
          <w:color w:val="auto"/>
        </w:rPr>
      </w:pPr>
    </w:p>
    <w:p>
      <w:pPr>
        <w:ind w:left="1230" w:hanging="877"/>
        <w:spacing w:after="0"/>
        <w:tabs>
          <w:tab w:leader="none" w:pos="123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69" w:lineRule="exact"/>
        <w:rPr>
          <w:rFonts w:ascii="Courier New" w:cs="Courier New" w:eastAsia="Courier New" w:hAnsi="Courier New"/>
          <w:sz w:val="15"/>
          <w:szCs w:val="15"/>
          <w:color w:val="auto"/>
        </w:rPr>
      </w:pPr>
    </w:p>
    <w:p>
      <w:pPr>
        <w:ind w:left="1590" w:right="3179" w:hanging="356"/>
        <w:spacing w:after="0" w:line="293" w:lineRule="auto"/>
        <w:tabs>
          <w:tab w:leader="none" w:pos="1590" w:val="left"/>
        </w:tabs>
        <w:numPr>
          <w:ilvl w:val="3"/>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are incorporated by reference to the Company's Registration Statement on Form S-18 filed February 3, 1986.</w:t>
      </w:r>
    </w:p>
    <w:p>
      <w:pPr>
        <w:spacing w:after="0" w:line="55" w:lineRule="exact"/>
        <w:rPr>
          <w:rFonts w:ascii="Courier New" w:cs="Courier New" w:eastAsia="Courier New" w:hAnsi="Courier New"/>
          <w:sz w:val="15"/>
          <w:szCs w:val="15"/>
          <w:color w:val="auto"/>
        </w:rPr>
      </w:pPr>
    </w:p>
    <w:p>
      <w:pPr>
        <w:ind w:left="1590" w:right="3439" w:hanging="356"/>
        <w:spacing w:after="0" w:line="384" w:lineRule="auto"/>
        <w:tabs>
          <w:tab w:leader="none" w:pos="1590" w:val="left"/>
        </w:tabs>
        <w:numPr>
          <w:ilvl w:val="3"/>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are incorporated by reference to the Company's Registration Statement on Form S-18 filed February 3, 1986.</w:t>
      </w:r>
    </w:p>
    <w:p>
      <w:pPr>
        <w:spacing w:after="0" w:line="1" w:lineRule="exact"/>
        <w:rPr>
          <w:rFonts w:ascii="Courier New" w:cs="Courier New" w:eastAsia="Courier New" w:hAnsi="Courier New"/>
          <w:sz w:val="14"/>
          <w:szCs w:val="14"/>
          <w:color w:val="auto"/>
        </w:rPr>
      </w:pPr>
    </w:p>
    <w:p>
      <w:pPr>
        <w:ind w:left="1230" w:hanging="789"/>
        <w:spacing w:after="0"/>
        <w:tabs>
          <w:tab w:leader="none" w:pos="1230" w:val="left"/>
        </w:tabs>
        <w:numPr>
          <w:ilvl w:val="2"/>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rights of security holders:</w:t>
      </w:r>
    </w:p>
    <w:p>
      <w:pPr>
        <w:spacing w:after="0" w:line="169" w:lineRule="exact"/>
        <w:rPr>
          <w:rFonts w:ascii="Courier New" w:cs="Courier New" w:eastAsia="Courier New" w:hAnsi="Courier New"/>
          <w:sz w:val="15"/>
          <w:szCs w:val="15"/>
          <w:color w:val="auto"/>
        </w:rPr>
      </w:pPr>
    </w:p>
    <w:p>
      <w:pPr>
        <w:ind w:left="1590" w:right="3359" w:hanging="356"/>
        <w:spacing w:after="0" w:line="293" w:lineRule="auto"/>
        <w:tabs>
          <w:tab w:leader="none" w:pos="1590" w:val="left"/>
        </w:tabs>
        <w:numPr>
          <w:ilvl w:val="3"/>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1986 Employee Stock Option Plan is incorporated by reference to the Company's Registration Statement on Form S-18 filed February 3, 1986.</w:t>
      </w:r>
    </w:p>
    <w:p>
      <w:pPr>
        <w:spacing w:after="0" w:line="56"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29"/>
          </w:cols>
          <w:pgMar w:left="230" w:top="601" w:right="1440" w:bottom="1440" w:gutter="0" w:footer="0" w:header="0"/>
        </w:sectPr>
      </w:pPr>
    </w:p>
    <w:bookmarkStart w:id="24" w:name="page25"/>
    <w:bookmarkEnd w:id="24"/>
    <w:p>
      <w:pPr>
        <w:ind w:left="1590" w:right="3259" w:hanging="356"/>
        <w:spacing w:after="0" w:line="293" w:lineRule="auto"/>
        <w:tabs>
          <w:tab w:leader="none" w:pos="15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Non-Employee Directors Stock Option Plan is incorporated by reference to the Company's Schedule 14A filed June 28, 1994.</w:t>
      </w:r>
    </w:p>
    <w:p>
      <w:pPr>
        <w:spacing w:after="0" w:line="55" w:lineRule="exact"/>
        <w:rPr>
          <w:rFonts w:ascii="Courier New" w:cs="Courier New" w:eastAsia="Courier New" w:hAnsi="Courier New"/>
          <w:sz w:val="15"/>
          <w:szCs w:val="15"/>
          <w:color w:val="auto"/>
        </w:rPr>
      </w:pPr>
    </w:p>
    <w:p>
      <w:pPr>
        <w:ind w:left="1590" w:right="3359" w:hanging="356"/>
        <w:spacing w:after="0" w:line="384" w:lineRule="auto"/>
        <w:tabs>
          <w:tab w:leader="none" w:pos="159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1996 Employee Stock Option Plan is incorporated by reference to the Company's Schedule 14A filed June 18, 1997.</w:t>
      </w:r>
    </w:p>
    <w:p>
      <w:pPr>
        <w:ind w:left="1230" w:hanging="789"/>
        <w:spacing w:after="0"/>
        <w:tabs>
          <w:tab w:leader="none" w:pos="12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69" w:lineRule="exact"/>
        <w:rPr>
          <w:rFonts w:ascii="Courier New" w:cs="Courier New" w:eastAsia="Courier New" w:hAnsi="Courier New"/>
          <w:sz w:val="15"/>
          <w:szCs w:val="15"/>
          <w:color w:val="auto"/>
        </w:rPr>
      </w:pPr>
    </w:p>
    <w:p>
      <w:pPr>
        <w:ind w:left="1590" w:right="3259" w:hanging="356"/>
        <w:spacing w:after="0" w:line="347" w:lineRule="auto"/>
        <w:tabs>
          <w:tab w:leader="none" w:pos="15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incorporated by reference to the Company's Report on Form 10-K filed May 20, 1997:</w:t>
      </w:r>
    </w:p>
    <w:p>
      <w:pPr>
        <w:spacing w:after="0" w:line="17" w:lineRule="exact"/>
        <w:rPr>
          <w:rFonts w:ascii="Courier New" w:cs="Courier New" w:eastAsia="Courier New" w:hAnsi="Courier New"/>
          <w:sz w:val="15"/>
          <w:szCs w:val="15"/>
          <w:color w:val="auto"/>
        </w:rPr>
      </w:pPr>
    </w:p>
    <w:p>
      <w:pPr>
        <w:ind w:left="2030" w:right="3439" w:hanging="531"/>
        <w:spacing w:after="0" w:line="293" w:lineRule="auto"/>
        <w:tabs>
          <w:tab w:leader="none" w:pos="2030"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Credit Agreement, dated February 21, 1997, by and among World Fuel Services Corporation and NationsBank, N.A. (South).</w:t>
      </w:r>
    </w:p>
    <w:p>
      <w:pPr>
        <w:spacing w:after="0" w:line="55" w:lineRule="exact"/>
        <w:rPr>
          <w:rFonts w:ascii="Courier New" w:cs="Courier New" w:eastAsia="Courier New" w:hAnsi="Courier New"/>
          <w:sz w:val="15"/>
          <w:szCs w:val="15"/>
          <w:color w:val="auto"/>
        </w:rPr>
      </w:pPr>
    </w:p>
    <w:p>
      <w:pPr>
        <w:ind w:left="2030" w:right="3359" w:hanging="619"/>
        <w:spacing w:after="0" w:line="293" w:lineRule="auto"/>
        <w:tabs>
          <w:tab w:leader="none" w:pos="2030"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February 21, 1997, executed by World Fuel Services Corporation and its subsidiaries in favor of NationsBank, N.A. (South).</w:t>
      </w:r>
    </w:p>
    <w:p>
      <w:pPr>
        <w:spacing w:after="0" w:line="55" w:lineRule="exact"/>
        <w:rPr>
          <w:rFonts w:ascii="Courier New" w:cs="Courier New" w:eastAsia="Courier New" w:hAnsi="Courier New"/>
          <w:sz w:val="15"/>
          <w:szCs w:val="15"/>
          <w:color w:val="auto"/>
        </w:rPr>
      </w:pPr>
    </w:p>
    <w:p>
      <w:pPr>
        <w:ind w:left="1590" w:hanging="356"/>
        <w:spacing w:after="0"/>
        <w:tabs>
          <w:tab w:leader="none" w:pos="15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filed with this Form 10-K:</w:t>
      </w:r>
    </w:p>
    <w:p>
      <w:pPr>
        <w:spacing w:after="0" w:line="169" w:lineRule="exact"/>
        <w:rPr>
          <w:rFonts w:ascii="Courier New" w:cs="Courier New" w:eastAsia="Courier New" w:hAnsi="Courier New"/>
          <w:sz w:val="15"/>
          <w:szCs w:val="15"/>
          <w:color w:val="auto"/>
        </w:rPr>
      </w:pPr>
    </w:p>
    <w:p>
      <w:pPr>
        <w:ind w:left="2030" w:right="3539" w:hanging="443"/>
        <w:spacing w:after="0" w:line="347" w:lineRule="auto"/>
        <w:tabs>
          <w:tab w:leader="none" w:pos="2030" w:val="left"/>
        </w:tabs>
        <w:numPr>
          <w:ilvl w:val="3"/>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Employment Agreement with Jerrold Blair, dated April 29, 1997</w:t>
      </w:r>
    </w:p>
    <w:p>
      <w:pPr>
        <w:spacing w:after="0" w:line="17" w:lineRule="exact"/>
        <w:rPr>
          <w:rFonts w:ascii="Courier New" w:cs="Courier New" w:eastAsia="Courier New" w:hAnsi="Courier New"/>
          <w:sz w:val="15"/>
          <w:szCs w:val="15"/>
          <w:color w:val="auto"/>
        </w:rPr>
      </w:pPr>
    </w:p>
    <w:p>
      <w:pPr>
        <w:ind w:left="2030" w:right="3619" w:hanging="531"/>
        <w:spacing w:after="0" w:line="347" w:lineRule="auto"/>
        <w:tabs>
          <w:tab w:leader="none" w:pos="2030" w:val="left"/>
        </w:tabs>
        <w:numPr>
          <w:ilvl w:val="3"/>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Employment Agreement with Ralph Weiser, dated April 29, 1997</w:t>
      </w:r>
    </w:p>
    <w:p>
      <w:pPr>
        <w:spacing w:after="0" w:line="17" w:lineRule="exact"/>
        <w:rPr>
          <w:sz w:val="20"/>
          <w:szCs w:val="20"/>
          <w:color w:val="auto"/>
        </w:rPr>
      </w:pPr>
    </w:p>
    <w:p>
      <w:pPr>
        <w:ind w:left="1230" w:hanging="789"/>
        <w:spacing w:after="0"/>
        <w:tabs>
          <w:tab w:leader="none" w:pos="12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69" w:lineRule="exact"/>
        <w:rPr>
          <w:sz w:val="20"/>
          <w:szCs w:val="20"/>
          <w:color w:val="auto"/>
        </w:rPr>
      </w:pPr>
    </w:p>
    <w:p>
      <w:pPr>
        <w:ind w:left="1230" w:hanging="789"/>
        <w:spacing w:after="0"/>
        <w:tabs>
          <w:tab w:leader="none" w:pos="123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69" w:lineRule="exact"/>
        <w:rPr>
          <w:rFonts w:ascii="Courier New" w:cs="Courier New" w:eastAsia="Courier New" w:hAnsi="Courier New"/>
          <w:sz w:val="15"/>
          <w:szCs w:val="15"/>
          <w:color w:val="auto"/>
        </w:rPr>
      </w:pPr>
    </w:p>
    <w:p>
      <w:pPr>
        <w:ind w:left="350" w:right="3179" w:hanging="350"/>
        <w:spacing w:after="0" w:line="347"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fourth quarter of the Company's fiscal year ended March 31, 1998.</w:t>
      </w:r>
    </w:p>
    <w:p>
      <w:pPr>
        <w:spacing w:after="0" w:line="17"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23</w:t>
      </w:r>
    </w:p>
    <w:p>
      <w:pPr>
        <w:sectPr>
          <w:pgSz w:w="11900" w:h="16838" w:orient="portrait"/>
          <w:cols w:equalWidth="0" w:num="1">
            <w:col w:w="10229"/>
          </w:cols>
          <w:pgMar w:left="230" w:top="601" w:right="1440" w:bottom="1440" w:gutter="0" w:footer="0" w:header="0"/>
        </w:sectPr>
      </w:pPr>
    </w:p>
    <w:bookmarkStart w:id="25" w:name="page26"/>
    <w:bookmarkEnd w:id="25"/>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WORLD FUEL SERVICES CORPORATION</w:t>
            </w: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By:/s/ JERROLD BLAIR</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400" w:type="dxa"/>
            <w:vAlign w:val="bottom"/>
          </w:tcPr>
          <w:p>
            <w:pPr>
              <w:ind w:left="700"/>
              <w:spacing w:after="0"/>
              <w:rPr>
                <w:sz w:val="20"/>
                <w:szCs w:val="20"/>
                <w:color w:val="auto"/>
              </w:rPr>
            </w:pPr>
            <w:r>
              <w:rPr>
                <w:rFonts w:ascii="Courier New" w:cs="Courier New" w:eastAsia="Courier New" w:hAnsi="Courier New"/>
                <w:sz w:val="15"/>
                <w:szCs w:val="15"/>
                <w:color w:val="auto"/>
              </w:rPr>
              <w:t>Jerrold Blair, President</w:t>
            </w: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By:/s/ CARLOS A. ABAUNZA</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400" w:type="dxa"/>
            <w:vAlign w:val="bottom"/>
          </w:tcPr>
          <w:p>
            <w:pPr>
              <w:ind w:left="700"/>
              <w:spacing w:after="0"/>
              <w:rPr>
                <w:sz w:val="20"/>
                <w:szCs w:val="20"/>
                <w:color w:val="auto"/>
              </w:rPr>
            </w:pPr>
            <w:r>
              <w:rPr>
                <w:rFonts w:ascii="Courier New" w:cs="Courier New" w:eastAsia="Courier New" w:hAnsi="Courier New"/>
                <w:sz w:val="15"/>
                <w:szCs w:val="15"/>
                <w:color w:val="auto"/>
                <w:w w:val="97"/>
              </w:rPr>
              <w:t>Carlos A. Abaunza, Chief Financial Officer</w:t>
            </w:r>
          </w:p>
        </w:tc>
      </w:tr>
    </w:tbl>
    <w:p>
      <w:pPr>
        <w:spacing w:after="0" w:line="93"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RALPH R. WEISER</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Ralph R. Weiser, Director</w:t>
            </w: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JERROLD BLAIR</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Jerrold Blair, Director</w:t>
            </w: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PHILLIP S. BRADLEY</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Phillip S. Bradley, Director</w:t>
            </w: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RALPH FEUERRING</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Ralph Feuerring, Director</w:t>
            </w: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JOHN R. BENBOW</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John R. Benbow, Director</w:t>
            </w: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MYLES KLEIN</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Myles Klein, Director</w:t>
            </w: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MICHAEL J. KASBAR</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Michael J. Kasbar, Director</w:t>
            </w: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PAUL H. STEBBINS</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Paul H. Stebbins, Director</w:t>
            </w: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19,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LUIS R. TINOCO</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w:t>
            </w:r>
          </w:p>
        </w:tc>
      </w:tr>
      <w:tr>
        <w:trPr>
          <w:trHeight w:val="246"/>
        </w:trPr>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Luis R. Tinoco, Director</w:t>
            </w:r>
          </w:p>
        </w:tc>
      </w:tr>
      <w:tr>
        <w:trPr>
          <w:trHeight w:val="339"/>
        </w:trPr>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24</w:t>
            </w:r>
          </w:p>
        </w:tc>
      </w:tr>
    </w:tbl>
    <w:p>
      <w:pPr>
        <w:sectPr>
          <w:pgSz w:w="11900" w:h="16838" w:orient="portrait"/>
          <w:cols w:equalWidth="0" w:num="1">
            <w:col w:w="10219"/>
          </w:cols>
          <w:pgMar w:left="240" w:top="601" w:right="1440" w:bottom="1440" w:gutter="0" w:footer="0" w:header="0"/>
        </w:sectPr>
      </w:pPr>
    </w:p>
    <w:bookmarkStart w:id="26" w:name="page27"/>
    <w:bookmarkEnd w:id="26"/>
    <w:p>
      <w:pPr>
        <w:ind w:left="132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World Fuel Services Corporation:</w:t>
      </w:r>
    </w:p>
    <w:p>
      <w:pPr>
        <w:spacing w:after="0" w:line="169"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We have audited the accompanying consolidated balance sheets of World Fuel Services Corporation (a Florida corporation) and subsidiaries as of March 31, 1998 and 1997, and the related consolidated statements of income, stockholders' equity and cash flows for each of the three years in the period ended March 31, 1998. These consolidated financial statements and the schedule referred to below are the responsibility of the Company's management. Our responsibility is to express an opinion on these consolidated financial statements and the schedule based on our audits.</w:t>
      </w:r>
    </w:p>
    <w:p>
      <w:pPr>
        <w:spacing w:after="0" w:line="87"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2" w:lineRule="exact"/>
        <w:rPr>
          <w:sz w:val="20"/>
          <w:szCs w:val="20"/>
          <w:color w:val="auto"/>
        </w:rPr>
      </w:pPr>
    </w:p>
    <w:p>
      <w:pPr>
        <w:ind w:right="3179"/>
        <w:spacing w:after="0" w:line="289"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World Fuel Services Corporation and subsidiaries as of March 31, 1998 and 1997, and the results of their operations and their cash flows for each of the three years in the period ended March 31, 1998 in conformity with generally accepted accounting principles.</w:t>
      </w:r>
    </w:p>
    <w:p>
      <w:pPr>
        <w:spacing w:after="0" w:line="62"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Our audits were made for the purpose of forming an opinion on the basic consolidated financial statements taken as a whole. Schedule II is presented for purposes of complying with the Securities and Exchange Commission's rules and is not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2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ind w:left="340"/>
        <w:spacing w:after="0"/>
        <w:rPr>
          <w:sz w:val="20"/>
          <w:szCs w:val="20"/>
          <w:color w:val="auto"/>
        </w:rPr>
      </w:pPr>
      <w:r>
        <w:rPr>
          <w:rFonts w:ascii="Courier New" w:cs="Courier New" w:eastAsia="Courier New" w:hAnsi="Courier New"/>
          <w:sz w:val="15"/>
          <w:szCs w:val="15"/>
          <w:color w:val="auto"/>
        </w:rPr>
        <w:t>ARTHUR ANDERSEN LLP</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Miami, Florida,</w:t>
      </w:r>
    </w:p>
    <w:p>
      <w:pPr>
        <w:spacing w:after="0" w:line="2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May 18, 1998.</w:t>
      </w:r>
    </w:p>
    <w:p>
      <w:pPr>
        <w:spacing w:after="0" w:line="14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25</w:t>
      </w:r>
    </w:p>
    <w:p>
      <w:pPr>
        <w:sectPr>
          <w:pgSz w:w="11900" w:h="16838" w:orient="portrait"/>
          <w:cols w:equalWidth="0" w:num="1">
            <w:col w:w="10219"/>
          </w:cols>
          <w:pgMar w:left="240" w:top="601"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6"/>
        </w:trPr>
        <w:tc>
          <w:tcPr>
            <w:tcW w:w="5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6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CONSOLIDATED BALANCE SHEETS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260" w:type="dxa"/>
            <w:vAlign w:val="bottom"/>
          </w:tcPr>
          <w:p>
            <w:pPr>
              <w:ind w:left="3260"/>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60" w:type="dxa"/>
            <w:vAlign w:val="bottom"/>
          </w:tcPr>
          <w:p>
            <w:pPr>
              <w:spacing w:after="0"/>
              <w:rPr>
                <w:sz w:val="22"/>
                <w:szCs w:val="22"/>
                <w:color w:val="auto"/>
              </w:rPr>
            </w:pPr>
          </w:p>
        </w:tc>
        <w:tc>
          <w:tcPr>
            <w:tcW w:w="25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CURRENT ASSETS: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3"/>
        </w:trPr>
        <w:tc>
          <w:tcPr>
            <w:tcW w:w="4260" w:type="dxa"/>
            <w:vAlign w:val="bottom"/>
            <w:vMerge w:val="continue"/>
          </w:tcPr>
          <w:p>
            <w:pPr>
              <w:spacing w:after="0"/>
              <w:rPr>
                <w:sz w:val="8"/>
                <w:szCs w:val="8"/>
                <w:color w:val="auto"/>
              </w:rPr>
            </w:pPr>
          </w:p>
        </w:tc>
        <w:tc>
          <w:tcPr>
            <w:tcW w:w="14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$ 14,459,000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$ 11,035,000</w:t>
            </w: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4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of allowance</w:t>
            </w: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for bad debts of $4,594,000 and $4,360,000</w:t>
            </w:r>
          </w:p>
        </w:tc>
        <w:tc>
          <w:tcPr>
            <w:tcW w:w="14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81,648,000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70,819,000</w:t>
            </w: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at March 31, 1998 and 1997, respectively</w:t>
            </w:r>
          </w:p>
        </w:tc>
        <w:tc>
          <w:tcPr>
            <w:tcW w:w="14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5,504,000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6,449,000</w:t>
            </w: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5,937,000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5,133,000</w:t>
            </w: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107,548,000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93,436,000</w:t>
            </w:r>
          </w:p>
        </w:tc>
        <w:tc>
          <w:tcPr>
            <w:tcW w:w="0" w:type="dxa"/>
            <w:vAlign w:val="bottom"/>
          </w:tcPr>
          <w:p>
            <w:pPr>
              <w:spacing w:after="0"/>
              <w:rPr>
                <w:sz w:val="1"/>
                <w:szCs w:val="1"/>
                <w:color w:val="auto"/>
              </w:rPr>
            </w:pPr>
          </w:p>
        </w:tc>
      </w:tr>
      <w:tr>
        <w:trPr>
          <w:trHeight w:val="246"/>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3"/>
        </w:trPr>
        <w:tc>
          <w:tcPr>
            <w:tcW w:w="4260" w:type="dxa"/>
            <w:vAlign w:val="bottom"/>
            <w:vMerge w:val="continue"/>
          </w:tcPr>
          <w:p>
            <w:pPr>
              <w:spacing w:after="0"/>
              <w:rPr>
                <w:sz w:val="8"/>
                <w:szCs w:val="8"/>
                <w:color w:val="auto"/>
              </w:rPr>
            </w:pPr>
          </w:p>
        </w:tc>
        <w:tc>
          <w:tcPr>
            <w:tcW w:w="14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1,054,000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601,000</w:t>
            </w: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Land</w:t>
            </w:r>
          </w:p>
        </w:tc>
        <w:tc>
          <w:tcPr>
            <w:tcW w:w="14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Buildings and improvements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3,098,000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2,998,000</w:t>
            </w: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Office equipment and furniture</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5,286,000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3,331,000</w:t>
            </w: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Plant, machinery and equipment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17,458,000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16,310,000</w:t>
            </w: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Construction in progress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135,000</w:t>
            </w: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39"/>
        </w:trPr>
        <w:tc>
          <w:tcPr>
            <w:tcW w:w="42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Less accumulated depreciation</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27,126,000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23,375,000</w:t>
            </w:r>
          </w:p>
        </w:tc>
        <w:tc>
          <w:tcPr>
            <w:tcW w:w="0" w:type="dxa"/>
            <w:vAlign w:val="bottom"/>
          </w:tcPr>
          <w:p>
            <w:pPr>
              <w:spacing w:after="0"/>
              <w:rPr>
                <w:sz w:val="1"/>
                <w:szCs w:val="1"/>
                <w:color w:val="auto"/>
              </w:rPr>
            </w:pPr>
          </w:p>
        </w:tc>
      </w:tr>
      <w:tr>
        <w:trPr>
          <w:trHeight w:val="93"/>
        </w:trPr>
        <w:tc>
          <w:tcPr>
            <w:tcW w:w="4260" w:type="dxa"/>
            <w:vAlign w:val="bottom"/>
            <w:vMerge w:val="continue"/>
          </w:tcPr>
          <w:p>
            <w:pPr>
              <w:spacing w:after="0"/>
              <w:rPr>
                <w:sz w:val="8"/>
                <w:szCs w:val="8"/>
                <w:color w:val="auto"/>
              </w:rPr>
            </w:pPr>
          </w:p>
        </w:tc>
        <w:tc>
          <w:tcPr>
            <w:tcW w:w="14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9,065,000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7,094,000</w:t>
            </w: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w:t>
            </w:r>
          </w:p>
        </w:tc>
        <w:tc>
          <w:tcPr>
            <w:tcW w:w="14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4260" w:type="dxa"/>
            <w:vAlign w:val="bottom"/>
          </w:tcPr>
          <w:p>
            <w:pPr>
              <w:spacing w:after="0"/>
              <w:rPr>
                <w:sz w:val="22"/>
                <w:szCs w:val="22"/>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18,061,000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16,281,000</w:t>
            </w:r>
          </w:p>
        </w:tc>
        <w:tc>
          <w:tcPr>
            <w:tcW w:w="0" w:type="dxa"/>
            <w:vAlign w:val="bottom"/>
          </w:tcPr>
          <w:p>
            <w:pPr>
              <w:spacing w:after="0"/>
              <w:rPr>
                <w:sz w:val="1"/>
                <w:szCs w:val="1"/>
                <w:color w:val="auto"/>
              </w:rPr>
            </w:pPr>
          </w:p>
        </w:tc>
      </w:tr>
      <w:tr>
        <w:trPr>
          <w:trHeight w:val="246"/>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3"/>
        </w:trPr>
        <w:tc>
          <w:tcPr>
            <w:tcW w:w="42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Unamortized cost in excess of net</w:t>
            </w: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assets of acquired companies, net of</w:t>
            </w:r>
          </w:p>
        </w:tc>
        <w:tc>
          <w:tcPr>
            <w:tcW w:w="14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15,402,000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11,785,000</w:t>
            </w:r>
          </w:p>
        </w:tc>
        <w:tc>
          <w:tcPr>
            <w:tcW w:w="0" w:type="dxa"/>
            <w:vAlign w:val="bottom"/>
          </w:tcPr>
          <w:p>
            <w:pPr>
              <w:spacing w:after="0"/>
              <w:rPr>
                <w:sz w:val="1"/>
                <w:szCs w:val="1"/>
                <w:color w:val="auto"/>
              </w:rPr>
            </w:pP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accumulated amortization</w:t>
            </w:r>
          </w:p>
        </w:tc>
        <w:tc>
          <w:tcPr>
            <w:tcW w:w="14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2,248,000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1,637,000</w:t>
            </w: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4260" w:type="dxa"/>
            <w:vAlign w:val="bottom"/>
          </w:tcPr>
          <w:p>
            <w:pPr>
              <w:spacing w:after="0"/>
              <w:rPr>
                <w:sz w:val="22"/>
                <w:szCs w:val="22"/>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$143,259,000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$123,139,000</w:t>
            </w: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10219"/>
          </w:cols>
          <w:pgMar w:left="240" w:top="432"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6"/>
        </w:trPr>
        <w:tc>
          <w:tcPr>
            <w:tcW w:w="6300" w:type="dxa"/>
            <w:vAlign w:val="bottom"/>
            <w:gridSpan w:val="3"/>
          </w:tcPr>
          <w:p>
            <w:pPr>
              <w:ind w:left="1400"/>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100" w:type="dxa"/>
            <w:vAlign w:val="bottom"/>
          </w:tcPr>
          <w:p>
            <w:pPr>
              <w:ind w:left="2380"/>
              <w:spacing w:after="0"/>
              <w:rPr>
                <w:sz w:val="20"/>
                <w:szCs w:val="20"/>
                <w:color w:val="auto"/>
              </w:rPr>
            </w:pPr>
            <w:r>
              <w:rPr>
                <w:rFonts w:ascii="Courier New" w:cs="Courier New" w:eastAsia="Courier New" w:hAnsi="Courier New"/>
                <w:sz w:val="15"/>
                <w:szCs w:val="15"/>
                <w:color w:val="auto"/>
              </w:rPr>
              <w:t>CONSOLIDATED BALANCE SHEETS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100" w:type="dxa"/>
            <w:vAlign w:val="bottom"/>
          </w:tcPr>
          <w:p>
            <w:pPr>
              <w:ind w:left="2980"/>
              <w:spacing w:after="0"/>
              <w:rPr>
                <w:sz w:val="20"/>
                <w:szCs w:val="20"/>
                <w:color w:val="auto"/>
              </w:rPr>
            </w:pPr>
            <w:r>
              <w:rPr>
                <w:rFonts w:ascii="Courier New" w:cs="Courier New" w:eastAsia="Courier New" w:hAnsi="Courier New"/>
                <w:sz w:val="15"/>
                <w:szCs w:val="15"/>
                <w:color w:val="auto"/>
              </w:rPr>
              <w:t>(Continued)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100" w:type="dxa"/>
            <w:vAlign w:val="bottom"/>
          </w:tcPr>
          <w:p>
            <w:pPr>
              <w:ind w:left="1920"/>
              <w:spacing w:after="0"/>
              <w:rPr>
                <w:sz w:val="20"/>
                <w:szCs w:val="20"/>
                <w:color w:val="auto"/>
              </w:rPr>
            </w:pPr>
            <w:r>
              <w:rPr>
                <w:rFonts w:ascii="Courier New" w:cs="Courier New" w:eastAsia="Courier New" w:hAnsi="Courier New"/>
                <w:sz w:val="15"/>
                <w:szCs w:val="15"/>
                <w:color w:val="auto"/>
                <w:w w:val="97"/>
              </w:rPr>
              <w:t>LIABILITIES AND STOCKHOLDERS' EQUITY</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4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119,000</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2,191,000</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40,560,000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37,950,000</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Customer deposits</w:t>
            </w:r>
          </w:p>
        </w:tc>
        <w:tc>
          <w:tcPr>
            <w:tcW w:w="1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2,536,000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2,241,000</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Accrued salaries and wages</w:t>
            </w:r>
          </w:p>
        </w:tc>
        <w:tc>
          <w:tcPr>
            <w:tcW w:w="1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2,187,000</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1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2,381,000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282,000</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22"/>
                <w:szCs w:val="22"/>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47,447,000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44,851,000</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40" w:type="dxa"/>
            <w:vAlign w:val="bottom"/>
          </w:tcPr>
          <w:p>
            <w:pPr>
              <w:spacing w:after="0"/>
              <w:rPr>
                <w:sz w:val="22"/>
                <w:szCs w:val="22"/>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3,901,000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3,030,000</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Preferred stock, $1.00 par value;</w:t>
            </w:r>
          </w:p>
        </w:tc>
        <w:tc>
          <w:tcPr>
            <w:tcW w:w="140" w:type="dxa"/>
            <w:vAlign w:val="bottom"/>
          </w:tcPr>
          <w:p>
            <w:pPr>
              <w:spacing w:after="0"/>
              <w:rPr>
                <w:sz w:val="14"/>
                <w:szCs w:val="14"/>
                <w:color w:val="auto"/>
              </w:rPr>
            </w:pP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100,000 shares authorized, none issued</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Common stock, $0.01 par value;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25,000,000 shares authorized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at March 31, 1998;</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12,481,000 and 12,163,000 shares issued and</w:t>
            </w:r>
          </w:p>
        </w:tc>
        <w:tc>
          <w:tcPr>
            <w:tcW w:w="140" w:type="dxa"/>
            <w:vAlign w:val="bottom"/>
          </w:tcPr>
          <w:p>
            <w:pPr>
              <w:spacing w:after="0"/>
              <w:rPr>
                <w:sz w:val="14"/>
                <w:szCs w:val="14"/>
                <w:color w:val="auto"/>
              </w:rPr>
            </w:pPr>
          </w:p>
        </w:tc>
        <w:tc>
          <w:tcPr>
            <w:tcW w:w="10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125,000</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122,000</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outstanding at March 31, 1998 and 1997, respectively</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Capital in excess of par value</w:t>
            </w:r>
          </w:p>
        </w:tc>
        <w:tc>
          <w:tcPr>
            <w:tcW w:w="1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26,479,000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23,234,000</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65,364,000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51,959,000</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Less treasury stock, at cost</w:t>
            </w:r>
          </w:p>
        </w:tc>
        <w:tc>
          <w:tcPr>
            <w:tcW w:w="1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91,911,000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75,258,000</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2"/>
                <w:szCs w:val="22"/>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$143,259,000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$123,139,000</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880" w:right="3979" w:hanging="175"/>
        <w:spacing w:after="0" w:line="384"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balance sheets.</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27</w:t>
      </w:r>
    </w:p>
    <w:p>
      <w:pPr>
        <w:sectPr>
          <w:pgSz w:w="11900" w:h="16838" w:orient="portrait"/>
          <w:cols w:equalWidth="0" w:num="1">
            <w:col w:w="10219"/>
          </w:cols>
          <w:pgMar w:left="240" w:top="940"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6"/>
        </w:trPr>
        <w:tc>
          <w:tcPr>
            <w:tcW w:w="572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72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CONSOLIDATED STATEMENTS OF INCOME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FOR THE YEAR ENDED MARCH 31,</w:t>
            </w: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38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0"/>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Revenue</w:t>
            </w:r>
          </w:p>
        </w:tc>
        <w:tc>
          <w:tcPr>
            <w:tcW w:w="1320" w:type="dxa"/>
            <w:vAlign w:val="bottom"/>
            <w:gridSpan w:val="2"/>
            <w:vMerge w:val="restart"/>
          </w:tcPr>
          <w:p>
            <w:pPr>
              <w:jc w:val="right"/>
              <w:ind w:right="67"/>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801,763,000</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04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$772,618,000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$642,299,000</w:t>
            </w:r>
          </w:p>
        </w:tc>
        <w:tc>
          <w:tcPr>
            <w:tcW w:w="0" w:type="dxa"/>
            <w:vAlign w:val="bottom"/>
          </w:tcPr>
          <w:p>
            <w:pPr>
              <w:spacing w:after="0"/>
              <w:rPr>
                <w:sz w:val="1"/>
                <w:szCs w:val="1"/>
                <w:color w:val="auto"/>
              </w:rPr>
            </w:pPr>
          </w:p>
        </w:tc>
      </w:tr>
      <w:tr>
        <w:trPr>
          <w:trHeight w:val="248"/>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21"/>
                <w:szCs w:val="21"/>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751,368,000</w:t>
            </w:r>
          </w:p>
        </w:tc>
        <w:tc>
          <w:tcPr>
            <w:tcW w:w="220" w:type="dxa"/>
            <w:vAlign w:val="bottom"/>
          </w:tcPr>
          <w:p>
            <w:pPr>
              <w:spacing w:after="0"/>
              <w:rPr>
                <w:sz w:val="21"/>
                <w:szCs w:val="21"/>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725,991,000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601,930,000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50,395,000</w:t>
            </w:r>
          </w:p>
        </w:tc>
        <w:tc>
          <w:tcPr>
            <w:tcW w:w="22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46,627,000</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40,369,000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22"/>
                <w:szCs w:val="22"/>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17,382,000</w:t>
            </w:r>
          </w:p>
        </w:tc>
        <w:tc>
          <w:tcPr>
            <w:tcW w:w="220" w:type="dxa"/>
            <w:vAlign w:val="bottom"/>
          </w:tcPr>
          <w:p>
            <w:pPr>
              <w:spacing w:after="0"/>
              <w:rPr>
                <w:sz w:val="22"/>
                <w:szCs w:val="22"/>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14,795,000</w:t>
            </w:r>
          </w:p>
        </w:tc>
        <w:tc>
          <w:tcPr>
            <w:tcW w:w="18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13,266,000</w:t>
            </w:r>
          </w:p>
        </w:tc>
        <w:tc>
          <w:tcPr>
            <w:tcW w:w="0" w:type="dxa"/>
            <w:vAlign w:val="bottom"/>
          </w:tcPr>
          <w:p>
            <w:pPr>
              <w:spacing w:after="0"/>
              <w:rPr>
                <w:sz w:val="1"/>
                <w:szCs w:val="1"/>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Salaries and wages</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Provision for bad debts</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1,417,000</w:t>
            </w:r>
          </w:p>
        </w:tc>
        <w:tc>
          <w:tcPr>
            <w:tcW w:w="2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5,107,000</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2,291,000</w:t>
            </w:r>
          </w:p>
        </w:tc>
        <w:tc>
          <w:tcPr>
            <w:tcW w:w="0" w:type="dxa"/>
            <w:vAlign w:val="bottom"/>
          </w:tcPr>
          <w:p>
            <w:pPr>
              <w:spacing w:after="0"/>
              <w:rPr>
                <w:sz w:val="1"/>
                <w:szCs w:val="1"/>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13,069,000</w:t>
            </w:r>
          </w:p>
        </w:tc>
        <w:tc>
          <w:tcPr>
            <w:tcW w:w="2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11,099,000</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9,866,000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31,868,000</w:t>
            </w:r>
          </w:p>
        </w:tc>
        <w:tc>
          <w:tcPr>
            <w:tcW w:w="22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31,001,000</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25,423,000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18,527,000</w:t>
            </w:r>
          </w:p>
        </w:tc>
        <w:tc>
          <w:tcPr>
            <w:tcW w:w="22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15,626,000</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14,946,000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Equity in earnings of</w:t>
            </w:r>
          </w:p>
        </w:tc>
        <w:tc>
          <w:tcPr>
            <w:tcW w:w="220" w:type="dxa"/>
            <w:vAlign w:val="bottom"/>
          </w:tcPr>
          <w:p>
            <w:pPr>
              <w:spacing w:after="0"/>
              <w:rPr>
                <w:sz w:val="14"/>
                <w:szCs w:val="14"/>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1,100,000</w:t>
            </w:r>
          </w:p>
        </w:tc>
        <w:tc>
          <w:tcPr>
            <w:tcW w:w="22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1,773,000</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1,748,000</w:t>
            </w:r>
          </w:p>
        </w:tc>
        <w:tc>
          <w:tcPr>
            <w:tcW w:w="0" w:type="dxa"/>
            <w:vAlign w:val="bottom"/>
          </w:tcPr>
          <w:p>
            <w:pPr>
              <w:spacing w:after="0"/>
              <w:rPr>
                <w:sz w:val="1"/>
                <w:szCs w:val="1"/>
                <w:color w:val="auto"/>
              </w:rPr>
            </w:pPr>
          </w:p>
        </w:tc>
      </w:tr>
      <w:tr>
        <w:trPr>
          <w:trHeight w:val="170"/>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aviation joint venture</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1,119,000</w:t>
            </w:r>
          </w:p>
        </w:tc>
        <w:tc>
          <w:tcPr>
            <w:tcW w:w="2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470,000</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127,000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2,219,000</w:t>
            </w:r>
          </w:p>
        </w:tc>
        <w:tc>
          <w:tcPr>
            <w:tcW w:w="22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2,243,000</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1,875,000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20,746,000</w:t>
            </w:r>
          </w:p>
        </w:tc>
        <w:tc>
          <w:tcPr>
            <w:tcW w:w="22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17,869,000</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16,821,000</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4,893,000</w:t>
            </w:r>
          </w:p>
        </w:tc>
        <w:tc>
          <w:tcPr>
            <w:tcW w:w="22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4,604,000</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5,876,000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$ 15,853,000</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$ 13,265,000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$ 10,945,000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0.92</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12,230,000</w:t>
            </w:r>
          </w:p>
        </w:tc>
        <w:tc>
          <w:tcPr>
            <w:tcW w:w="22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12,068,000</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11,945,000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0"/>
                <w:szCs w:val="20"/>
                <w:color w:val="auto"/>
              </w:rPr>
            </w:pPr>
            <w:r>
              <w:rPr>
                <w:rFonts w:ascii="Courier New" w:cs="Courier New" w:eastAsia="Courier New" w:hAnsi="Courier New"/>
                <w:sz w:val="15"/>
                <w:szCs w:val="15"/>
                <w:color w:val="auto"/>
              </w:rPr>
              <w:t>Weighted average shares - diluted</w:t>
            </w:r>
          </w:p>
        </w:tc>
        <w:tc>
          <w:tcPr>
            <w:tcW w:w="220" w:type="dxa"/>
            <w:vAlign w:val="bottom"/>
          </w:tcPr>
          <w:p>
            <w:pPr>
              <w:spacing w:after="0"/>
              <w:rPr>
                <w:sz w:val="22"/>
                <w:szCs w:val="22"/>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12,528,000</w:t>
            </w:r>
          </w:p>
        </w:tc>
        <w:tc>
          <w:tcPr>
            <w:tcW w:w="22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12,295,000</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12,150,000</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1"/>
                <w:szCs w:val="21"/>
                <w:color w:val="auto"/>
              </w:rPr>
            </w:pP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700" w:right="3879" w:firstLine="88"/>
        <w:spacing w:after="0" w:line="384"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financial statements.</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28</w:t>
      </w:r>
    </w:p>
    <w:p>
      <w:pPr>
        <w:sectPr>
          <w:pgSz w:w="11900" w:h="16838" w:orient="portrait"/>
          <w:cols w:equalWidth="0" w:num="1">
            <w:col w:w="10219"/>
          </w:cols>
          <w:pgMar w:left="240" w:top="601"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6"/>
        </w:trPr>
        <w:tc>
          <w:tcPr>
            <w:tcW w:w="586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1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86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spacing w:after="0"/>
              <w:rPr>
                <w:sz w:val="22"/>
                <w:szCs w:val="22"/>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CAPITAL IN</w:t>
            </w:r>
          </w:p>
        </w:tc>
        <w:tc>
          <w:tcPr>
            <w:tcW w:w="16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RETAINED</w:t>
            </w:r>
          </w:p>
        </w:tc>
        <w:tc>
          <w:tcPr>
            <w:tcW w:w="400" w:type="dxa"/>
            <w:vAlign w:val="bottom"/>
          </w:tcPr>
          <w:p>
            <w:pPr>
              <w:spacing w:after="0"/>
              <w:rPr>
                <w:sz w:val="22"/>
                <w:szCs w:val="22"/>
                <w:color w:val="auto"/>
              </w:rPr>
            </w:pPr>
          </w:p>
        </w:tc>
        <w:tc>
          <w:tcPr>
            <w:tcW w:w="10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TREASURY</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31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EXCESS OF</w:t>
            </w:r>
          </w:p>
        </w:tc>
        <w:tc>
          <w:tcPr>
            <w:tcW w:w="16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54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AMOUNT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PAR VALUE</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EARNINGS</w:t>
            </w:r>
          </w:p>
        </w:tc>
        <w:tc>
          <w:tcPr>
            <w:tcW w:w="40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1"/>
                <w:szCs w:val="21"/>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at March 31, 1995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11,707,000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117,000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$ 20,375,000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$ 31,631,000</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(57,000)</w:t>
            </w: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Exercise of options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174,000</w:t>
            </w:r>
          </w:p>
        </w:tc>
        <w:tc>
          <w:tcPr>
            <w:tcW w:w="5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861,000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Issuance of shares for</w:t>
            </w:r>
          </w:p>
        </w:tc>
        <w:tc>
          <w:tcPr>
            <w:tcW w:w="15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177,000</w:t>
            </w:r>
          </w:p>
        </w:tc>
        <w:tc>
          <w:tcPr>
            <w:tcW w:w="5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5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1,298,000</w:t>
            </w:r>
          </w:p>
        </w:tc>
        <w:tc>
          <w:tcPr>
            <w:tcW w:w="16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vMerge w:val="restart"/>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720" w:type="dxa"/>
            <w:vAlign w:val="bottom"/>
          </w:tcPr>
          <w:p>
            <w:pPr>
              <w:ind w:left="520"/>
              <w:spacing w:after="0"/>
              <w:rPr>
                <w:sz w:val="20"/>
                <w:szCs w:val="20"/>
                <w:color w:val="auto"/>
              </w:rPr>
            </w:pPr>
            <w:r>
              <w:rPr>
                <w:rFonts w:ascii="Courier New" w:cs="Courier New" w:eastAsia="Courier New" w:hAnsi="Courier New"/>
                <w:sz w:val="15"/>
                <w:szCs w:val="15"/>
                <w:color w:val="auto"/>
              </w:rPr>
              <w:t>litigation settlement</w:t>
            </w:r>
          </w:p>
        </w:tc>
        <w:tc>
          <w:tcPr>
            <w:tcW w:w="15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declared</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(1,464,000)</w:t>
            </w:r>
          </w:p>
        </w:tc>
        <w:tc>
          <w:tcPr>
            <w:tcW w:w="40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10,945,000</w:t>
            </w:r>
          </w:p>
        </w:tc>
        <w:tc>
          <w:tcPr>
            <w:tcW w:w="40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1"/>
                <w:szCs w:val="21"/>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at March 31, 1996</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12,058,000</w:t>
            </w:r>
          </w:p>
        </w:tc>
        <w:tc>
          <w:tcPr>
            <w:tcW w:w="540" w:type="dxa"/>
            <w:vAlign w:val="bottom"/>
          </w:tcPr>
          <w:p>
            <w:pPr>
              <w:spacing w:after="0"/>
              <w:rPr>
                <w:sz w:val="22"/>
                <w:szCs w:val="22"/>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121,000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22,574,000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41,112,000</w:t>
            </w:r>
          </w:p>
        </w:tc>
        <w:tc>
          <w:tcPr>
            <w:tcW w:w="400" w:type="dxa"/>
            <w:vAlign w:val="bottom"/>
          </w:tcPr>
          <w:p>
            <w:pPr>
              <w:spacing w:after="0"/>
              <w:rPr>
                <w:sz w:val="22"/>
                <w:szCs w:val="22"/>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(57,000)</w:t>
            </w: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Exercise of options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105,000</w:t>
            </w:r>
          </w:p>
        </w:tc>
        <w:tc>
          <w:tcPr>
            <w:tcW w:w="5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660,000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declared</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(2,418,000)</w:t>
            </w:r>
          </w:p>
        </w:tc>
        <w:tc>
          <w:tcPr>
            <w:tcW w:w="40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13,265,000</w:t>
            </w:r>
          </w:p>
        </w:tc>
        <w:tc>
          <w:tcPr>
            <w:tcW w:w="40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1"/>
                <w:szCs w:val="21"/>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at March 31, 1997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12,163,000</w:t>
            </w:r>
          </w:p>
        </w:tc>
        <w:tc>
          <w:tcPr>
            <w:tcW w:w="540" w:type="dxa"/>
            <w:vAlign w:val="bottom"/>
          </w:tcPr>
          <w:p>
            <w:pPr>
              <w:spacing w:after="0"/>
              <w:rPr>
                <w:sz w:val="22"/>
                <w:szCs w:val="22"/>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122,000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23,234,000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51,959,000</w:t>
            </w:r>
          </w:p>
        </w:tc>
        <w:tc>
          <w:tcPr>
            <w:tcW w:w="400" w:type="dxa"/>
            <w:vAlign w:val="bottom"/>
          </w:tcPr>
          <w:p>
            <w:pPr>
              <w:spacing w:after="0"/>
              <w:rPr>
                <w:sz w:val="22"/>
                <w:szCs w:val="22"/>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(57,000)</w:t>
            </w: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Exercise of options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168,000</w:t>
            </w:r>
          </w:p>
        </w:tc>
        <w:tc>
          <w:tcPr>
            <w:tcW w:w="5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1,156,000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Issuance of shares</w:t>
            </w:r>
          </w:p>
        </w:tc>
        <w:tc>
          <w:tcPr>
            <w:tcW w:w="15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150,000</w:t>
            </w:r>
          </w:p>
        </w:tc>
        <w:tc>
          <w:tcPr>
            <w:tcW w:w="5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1,000</w:t>
            </w:r>
          </w:p>
        </w:tc>
        <w:tc>
          <w:tcPr>
            <w:tcW w:w="15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2,089,000</w:t>
            </w:r>
          </w:p>
        </w:tc>
        <w:tc>
          <w:tcPr>
            <w:tcW w:w="16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vMerge w:val="restart"/>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720" w:type="dxa"/>
            <w:vAlign w:val="bottom"/>
          </w:tcPr>
          <w:p>
            <w:pPr>
              <w:ind w:left="520"/>
              <w:spacing w:after="0"/>
              <w:rPr>
                <w:sz w:val="20"/>
                <w:szCs w:val="20"/>
                <w:color w:val="auto"/>
              </w:rPr>
            </w:pPr>
            <w:r>
              <w:rPr>
                <w:rFonts w:ascii="Courier New" w:cs="Courier New" w:eastAsia="Courier New" w:hAnsi="Courier New"/>
                <w:sz w:val="15"/>
                <w:szCs w:val="15"/>
                <w:color w:val="auto"/>
              </w:rPr>
              <w:t>for acquisition</w:t>
            </w:r>
          </w:p>
        </w:tc>
        <w:tc>
          <w:tcPr>
            <w:tcW w:w="15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declared</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(2,448,000)</w:t>
            </w:r>
          </w:p>
        </w:tc>
        <w:tc>
          <w:tcPr>
            <w:tcW w:w="40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15,853,000</w:t>
            </w:r>
          </w:p>
        </w:tc>
        <w:tc>
          <w:tcPr>
            <w:tcW w:w="40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1"/>
                <w:szCs w:val="21"/>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at March 31, 1998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12,481,000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125,000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$ 26,479,000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$ 65,364,000</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(57,000)</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1"/>
                <w:szCs w:val="21"/>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880" w:right="3960" w:hanging="263"/>
        <w:spacing w:after="0" w:line="384"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financial statements.</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29</w:t>
      </w:r>
    </w:p>
    <w:p>
      <w:pPr>
        <w:sectPr>
          <w:pgSz w:w="11900" w:h="16838" w:orient="portrait"/>
          <w:cols w:equalWidth="0" w:num="1">
            <w:col w:w="10480"/>
          </w:cols>
          <w:pgMar w:left="240" w:top="940" w:right="11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6"/>
        </w:trPr>
        <w:tc>
          <w:tcPr>
            <w:tcW w:w="6820" w:type="dxa"/>
            <w:vAlign w:val="bottom"/>
            <w:gridSpan w:val="2"/>
          </w:tcPr>
          <w:p>
            <w:pPr>
              <w:jc w:val="right"/>
              <w:ind w:right="1107"/>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420" w:type="dxa"/>
            <w:vAlign w:val="bottom"/>
          </w:tcPr>
          <w:p>
            <w:pPr>
              <w:ind w:left="1920"/>
              <w:spacing w:after="0"/>
              <w:rPr>
                <w:sz w:val="20"/>
                <w:szCs w:val="20"/>
                <w:color w:val="auto"/>
              </w:rPr>
            </w:pPr>
            <w:r>
              <w:rPr>
                <w:rFonts w:ascii="Courier New" w:cs="Courier New" w:eastAsia="Courier New" w:hAnsi="Courier New"/>
                <w:sz w:val="15"/>
                <w:szCs w:val="15"/>
                <w:color w:val="auto"/>
              </w:rPr>
              <w:t>CONSOLIDATED STATEMENTS OF CASH FLOWS</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420" w:type="dxa"/>
            <w:vAlign w:val="bottom"/>
          </w:tcPr>
          <w:p>
            <w:pPr>
              <w:spacing w:after="0"/>
              <w:rPr>
                <w:sz w:val="22"/>
                <w:szCs w:val="22"/>
                <w:color w:val="auto"/>
              </w:rPr>
            </w:pPr>
          </w:p>
        </w:tc>
        <w:tc>
          <w:tcPr>
            <w:tcW w:w="408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FOR THE YEAR ENDED MARCH 31,</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40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1"/>
                <w:szCs w:val="21"/>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420" w:type="dxa"/>
            <w:vAlign w:val="bottom"/>
          </w:tcPr>
          <w:p>
            <w:pPr>
              <w:jc w:val="center"/>
              <w:ind w:right="2087"/>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14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$ 15,853,000</w:t>
            </w:r>
          </w:p>
        </w:tc>
        <w:tc>
          <w:tcPr>
            <w:tcW w:w="14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$ 13,265,000</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$ 10,945,000</w:t>
            </w:r>
          </w:p>
        </w:tc>
        <w:tc>
          <w:tcPr>
            <w:tcW w:w="0" w:type="dxa"/>
            <w:vAlign w:val="bottom"/>
          </w:tcPr>
          <w:p>
            <w:pPr>
              <w:spacing w:after="0"/>
              <w:rPr>
                <w:sz w:val="1"/>
                <w:szCs w:val="1"/>
                <w:color w:val="auto"/>
              </w:rPr>
            </w:pPr>
          </w:p>
        </w:tc>
      </w:tr>
      <w:tr>
        <w:trPr>
          <w:trHeight w:val="170"/>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42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 -</w:t>
            </w:r>
          </w:p>
        </w:tc>
        <w:tc>
          <w:tcPr>
            <w:tcW w:w="14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2,418,000</w:t>
            </w:r>
          </w:p>
        </w:tc>
        <w:tc>
          <w:tcPr>
            <w:tcW w:w="14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1,938,000</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1,656,000</w:t>
            </w:r>
          </w:p>
        </w:tc>
        <w:tc>
          <w:tcPr>
            <w:tcW w:w="0" w:type="dxa"/>
            <w:vAlign w:val="bottom"/>
          </w:tcPr>
          <w:p>
            <w:pPr>
              <w:spacing w:after="0"/>
              <w:rPr>
                <w:sz w:val="1"/>
                <w:szCs w:val="1"/>
                <w:color w:val="auto"/>
              </w:rPr>
            </w:pPr>
          </w:p>
        </w:tc>
      </w:tr>
      <w:tr>
        <w:trPr>
          <w:trHeight w:val="170"/>
        </w:trPr>
        <w:tc>
          <w:tcPr>
            <w:tcW w:w="542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520"/>
              <w:spacing w:after="0"/>
              <w:rPr>
                <w:sz w:val="20"/>
                <w:szCs w:val="20"/>
                <w:color w:val="auto"/>
              </w:rPr>
            </w:pPr>
            <w:r>
              <w:rPr>
                <w:rFonts w:ascii="Courier New" w:cs="Courier New" w:eastAsia="Courier New" w:hAnsi="Courier New"/>
                <w:sz w:val="15"/>
                <w:szCs w:val="15"/>
                <w:color w:val="auto"/>
              </w:rPr>
              <w:t>Provision for bad debts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1,417,000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5,107,000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2,291,000</w:t>
            </w:r>
          </w:p>
        </w:tc>
        <w:tc>
          <w:tcPr>
            <w:tcW w:w="0" w:type="dxa"/>
            <w:vAlign w:val="bottom"/>
          </w:tcPr>
          <w:p>
            <w:pPr>
              <w:spacing w:after="0"/>
              <w:rPr>
                <w:sz w:val="1"/>
                <w:szCs w:val="1"/>
                <w:color w:val="auto"/>
              </w:rPr>
            </w:pPr>
          </w:p>
        </w:tc>
      </w:tr>
      <w:tr>
        <w:trPr>
          <w:trHeight w:val="170"/>
        </w:trPr>
        <w:tc>
          <w:tcPr>
            <w:tcW w:w="5420" w:type="dxa"/>
            <w:vAlign w:val="bottom"/>
          </w:tcPr>
          <w:p>
            <w:pPr>
              <w:ind w:left="520"/>
              <w:spacing w:after="0"/>
              <w:rPr>
                <w:sz w:val="20"/>
                <w:szCs w:val="20"/>
                <w:color w:val="auto"/>
              </w:rPr>
            </w:pPr>
            <w:r>
              <w:rPr>
                <w:rFonts w:ascii="Courier New" w:cs="Courier New" w:eastAsia="Courier New" w:hAnsi="Courier New"/>
                <w:sz w:val="15"/>
                <w:szCs w:val="15"/>
                <w:color w:val="auto"/>
              </w:rPr>
              <w:t>Deferred income tax (benefit) provision</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379,000</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(369,000)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1,108,000</w:t>
            </w:r>
          </w:p>
        </w:tc>
        <w:tc>
          <w:tcPr>
            <w:tcW w:w="0" w:type="dxa"/>
            <w:vAlign w:val="bottom"/>
          </w:tcPr>
          <w:p>
            <w:pPr>
              <w:spacing w:after="0"/>
              <w:rPr>
                <w:sz w:val="1"/>
                <w:szCs w:val="1"/>
                <w:color w:val="auto"/>
              </w:rPr>
            </w:pPr>
          </w:p>
        </w:tc>
      </w:tr>
      <w:tr>
        <w:trPr>
          <w:trHeight w:val="170"/>
        </w:trPr>
        <w:tc>
          <w:tcPr>
            <w:tcW w:w="5420" w:type="dxa"/>
            <w:vAlign w:val="bottom"/>
          </w:tcPr>
          <w:p>
            <w:pPr>
              <w:ind w:left="520"/>
              <w:spacing w:after="0"/>
              <w:rPr>
                <w:sz w:val="20"/>
                <w:szCs w:val="20"/>
                <w:color w:val="auto"/>
              </w:rPr>
            </w:pPr>
            <w:r>
              <w:rPr>
                <w:rFonts w:ascii="Courier New" w:cs="Courier New" w:eastAsia="Courier New" w:hAnsi="Courier New"/>
                <w:sz w:val="15"/>
                <w:szCs w:val="15"/>
                <w:color w:val="auto"/>
              </w:rPr>
              <w:t>Equity in earnings of aviation joint venture, net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(526,000)</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(675,000)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(354,000)</w:t>
            </w:r>
          </w:p>
        </w:tc>
        <w:tc>
          <w:tcPr>
            <w:tcW w:w="0" w:type="dxa"/>
            <w:vAlign w:val="bottom"/>
          </w:tcPr>
          <w:p>
            <w:pPr>
              <w:spacing w:after="0"/>
              <w:rPr>
                <w:sz w:val="1"/>
                <w:szCs w:val="1"/>
                <w:color w:val="auto"/>
              </w:rPr>
            </w:pPr>
          </w:p>
        </w:tc>
      </w:tr>
      <w:tr>
        <w:trPr>
          <w:trHeight w:val="246"/>
        </w:trPr>
        <w:tc>
          <w:tcPr>
            <w:tcW w:w="5420" w:type="dxa"/>
            <w:vAlign w:val="bottom"/>
          </w:tcPr>
          <w:p>
            <w:pPr>
              <w:ind w:left="520"/>
              <w:spacing w:after="0"/>
              <w:rPr>
                <w:sz w:val="20"/>
                <w:szCs w:val="20"/>
                <w:color w:val="auto"/>
              </w:rPr>
            </w:pPr>
            <w:r>
              <w:rPr>
                <w:rFonts w:ascii="Courier New" w:cs="Courier New" w:eastAsia="Courier New" w:hAnsi="Courier New"/>
                <w:sz w:val="15"/>
                <w:szCs w:val="15"/>
                <w:color w:val="auto"/>
              </w:rPr>
              <w:t>Other non-cash operating credits</w:t>
            </w:r>
          </w:p>
        </w:tc>
        <w:tc>
          <w:tcPr>
            <w:tcW w:w="140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(123,000)</w:t>
            </w:r>
          </w:p>
        </w:tc>
        <w:tc>
          <w:tcPr>
            <w:tcW w:w="0" w:type="dxa"/>
            <w:vAlign w:val="bottom"/>
          </w:tcPr>
          <w:p>
            <w:pPr>
              <w:spacing w:after="0"/>
              <w:rPr>
                <w:sz w:val="1"/>
                <w:szCs w:val="1"/>
                <w:color w:val="auto"/>
              </w:rPr>
            </w:pPr>
          </w:p>
        </w:tc>
      </w:tr>
      <w:tr>
        <w:trPr>
          <w:trHeight w:val="262"/>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Changes in assets and liabilities, net of acquisitions</w:t>
            </w:r>
          </w:p>
        </w:tc>
        <w:tc>
          <w:tcPr>
            <w:tcW w:w="1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and dispositions:</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520"/>
              <w:spacing w:after="0"/>
              <w:rPr>
                <w:sz w:val="20"/>
                <w:szCs w:val="20"/>
                <w:color w:val="auto"/>
              </w:rPr>
            </w:pPr>
            <w:r>
              <w:rPr>
                <w:rFonts w:ascii="Courier New" w:cs="Courier New" w:eastAsia="Courier New" w:hAnsi="Courier New"/>
                <w:sz w:val="15"/>
                <w:szCs w:val="15"/>
                <w:color w:val="auto"/>
              </w:rPr>
              <w:t>(Increase) decrease in -</w:t>
            </w:r>
          </w:p>
        </w:tc>
        <w:tc>
          <w:tcPr>
            <w:tcW w:w="14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(8,889,000)</w:t>
            </w:r>
          </w:p>
        </w:tc>
        <w:tc>
          <w:tcPr>
            <w:tcW w:w="14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(13,181,000)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(26,286,000)</w:t>
            </w:r>
          </w:p>
        </w:tc>
        <w:tc>
          <w:tcPr>
            <w:tcW w:w="0" w:type="dxa"/>
            <w:vAlign w:val="bottom"/>
          </w:tcPr>
          <w:p>
            <w:pPr>
              <w:spacing w:after="0"/>
              <w:rPr>
                <w:sz w:val="1"/>
                <w:szCs w:val="1"/>
                <w:color w:val="auto"/>
              </w:rPr>
            </w:pPr>
          </w:p>
        </w:tc>
      </w:tr>
      <w:tr>
        <w:trPr>
          <w:trHeight w:val="170"/>
        </w:trPr>
        <w:tc>
          <w:tcPr>
            <w:tcW w:w="5420" w:type="dxa"/>
            <w:vAlign w:val="bottom"/>
          </w:tcPr>
          <w:p>
            <w:pPr>
              <w:ind w:left="780"/>
              <w:spacing w:after="0"/>
              <w:rPr>
                <w:sz w:val="20"/>
                <w:szCs w:val="20"/>
                <w:color w:val="auto"/>
              </w:rPr>
            </w:pPr>
            <w:r>
              <w:rPr>
                <w:rFonts w:ascii="Courier New" w:cs="Courier New" w:eastAsia="Courier New" w:hAnsi="Courier New"/>
                <w:sz w:val="15"/>
                <w:szCs w:val="15"/>
                <w:color w:val="auto"/>
              </w:rPr>
              <w:t>Accounts receivable</w:t>
            </w:r>
          </w:p>
        </w:tc>
        <w:tc>
          <w:tcPr>
            <w:tcW w:w="1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780"/>
              <w:spacing w:after="0"/>
              <w:rPr>
                <w:sz w:val="20"/>
                <w:szCs w:val="20"/>
                <w:color w:val="auto"/>
              </w:rPr>
            </w:pPr>
            <w:r>
              <w:rPr>
                <w:rFonts w:ascii="Courier New" w:cs="Courier New" w:eastAsia="Courier New" w:hAnsi="Courier New"/>
                <w:sz w:val="15"/>
                <w:szCs w:val="15"/>
                <w:color w:val="auto"/>
              </w:rPr>
              <w:t>Inventories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945,000</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(1,857,000)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(953,000)</w:t>
            </w:r>
          </w:p>
        </w:tc>
        <w:tc>
          <w:tcPr>
            <w:tcW w:w="0" w:type="dxa"/>
            <w:vAlign w:val="bottom"/>
          </w:tcPr>
          <w:p>
            <w:pPr>
              <w:spacing w:after="0"/>
              <w:rPr>
                <w:sz w:val="1"/>
                <w:szCs w:val="1"/>
                <w:color w:val="auto"/>
              </w:rPr>
            </w:pPr>
          </w:p>
        </w:tc>
      </w:tr>
      <w:tr>
        <w:trPr>
          <w:trHeight w:val="170"/>
        </w:trPr>
        <w:tc>
          <w:tcPr>
            <w:tcW w:w="5420" w:type="dxa"/>
            <w:vAlign w:val="bottom"/>
          </w:tcPr>
          <w:p>
            <w:pPr>
              <w:ind w:left="7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(1,834,000)</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(2,067,000)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1,371,000</w:t>
            </w:r>
          </w:p>
        </w:tc>
        <w:tc>
          <w:tcPr>
            <w:tcW w:w="0" w:type="dxa"/>
            <w:vAlign w:val="bottom"/>
          </w:tcPr>
          <w:p>
            <w:pPr>
              <w:spacing w:after="0"/>
              <w:rPr>
                <w:sz w:val="1"/>
                <w:szCs w:val="1"/>
                <w:color w:val="auto"/>
              </w:rPr>
            </w:pPr>
          </w:p>
        </w:tc>
      </w:tr>
      <w:tr>
        <w:trPr>
          <w:trHeight w:val="246"/>
        </w:trPr>
        <w:tc>
          <w:tcPr>
            <w:tcW w:w="5420" w:type="dxa"/>
            <w:vAlign w:val="bottom"/>
          </w:tcPr>
          <w:p>
            <w:pPr>
              <w:ind w:left="780"/>
              <w:spacing w:after="0"/>
              <w:rPr>
                <w:sz w:val="20"/>
                <w:szCs w:val="20"/>
                <w:color w:val="auto"/>
              </w:rPr>
            </w:pPr>
            <w:r>
              <w:rPr>
                <w:rFonts w:ascii="Courier New" w:cs="Courier New" w:eastAsia="Courier New" w:hAnsi="Courier New"/>
                <w:sz w:val="15"/>
                <w:szCs w:val="15"/>
                <w:color w:val="auto"/>
              </w:rPr>
              <w:t>Other assets</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(231,000)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11,000</w:t>
            </w:r>
          </w:p>
        </w:tc>
        <w:tc>
          <w:tcPr>
            <w:tcW w:w="0" w:type="dxa"/>
            <w:vAlign w:val="bottom"/>
          </w:tcPr>
          <w:p>
            <w:pPr>
              <w:spacing w:after="0"/>
              <w:rPr>
                <w:sz w:val="1"/>
                <w:szCs w:val="1"/>
                <w:color w:val="auto"/>
              </w:rPr>
            </w:pPr>
          </w:p>
        </w:tc>
      </w:tr>
      <w:tr>
        <w:trPr>
          <w:trHeight w:val="262"/>
        </w:trPr>
        <w:tc>
          <w:tcPr>
            <w:tcW w:w="542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w:t>
            </w:r>
          </w:p>
        </w:tc>
        <w:tc>
          <w:tcPr>
            <w:tcW w:w="14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1,154,000</w:t>
            </w:r>
          </w:p>
        </w:tc>
        <w:tc>
          <w:tcPr>
            <w:tcW w:w="14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(64,000)</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13,731,000</w:t>
            </w:r>
          </w:p>
        </w:tc>
        <w:tc>
          <w:tcPr>
            <w:tcW w:w="0" w:type="dxa"/>
            <w:vAlign w:val="bottom"/>
          </w:tcPr>
          <w:p>
            <w:pPr>
              <w:spacing w:after="0"/>
              <w:rPr>
                <w:sz w:val="1"/>
                <w:szCs w:val="1"/>
                <w:color w:val="auto"/>
              </w:rPr>
            </w:pPr>
          </w:p>
        </w:tc>
      </w:tr>
      <w:tr>
        <w:trPr>
          <w:trHeight w:val="170"/>
        </w:trPr>
        <w:tc>
          <w:tcPr>
            <w:tcW w:w="542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 and accrued expenses</w:t>
            </w:r>
          </w:p>
        </w:tc>
        <w:tc>
          <w:tcPr>
            <w:tcW w:w="1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780"/>
              <w:spacing w:after="0"/>
              <w:rPr>
                <w:sz w:val="20"/>
                <w:szCs w:val="20"/>
                <w:color w:val="auto"/>
              </w:rPr>
            </w:pPr>
            <w:r>
              <w:rPr>
                <w:rFonts w:ascii="Courier New" w:cs="Courier New" w:eastAsia="Courier New" w:hAnsi="Courier New"/>
                <w:sz w:val="15"/>
                <w:szCs w:val="15"/>
                <w:color w:val="auto"/>
              </w:rPr>
              <w:t>Customer deposits</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(93,000)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774,000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(92,000)</w:t>
            </w:r>
          </w:p>
        </w:tc>
        <w:tc>
          <w:tcPr>
            <w:tcW w:w="0" w:type="dxa"/>
            <w:vAlign w:val="bottom"/>
          </w:tcPr>
          <w:p>
            <w:pPr>
              <w:spacing w:after="0"/>
              <w:rPr>
                <w:sz w:val="1"/>
                <w:szCs w:val="1"/>
                <w:color w:val="auto"/>
              </w:rPr>
            </w:pPr>
          </w:p>
        </w:tc>
      </w:tr>
      <w:tr>
        <w:trPr>
          <w:trHeight w:val="170"/>
        </w:trPr>
        <w:tc>
          <w:tcPr>
            <w:tcW w:w="5420" w:type="dxa"/>
            <w:vAlign w:val="bottom"/>
          </w:tcPr>
          <w:p>
            <w:pPr>
              <w:ind w:left="780"/>
              <w:spacing w:after="0"/>
              <w:rPr>
                <w:sz w:val="20"/>
                <w:szCs w:val="20"/>
                <w:color w:val="auto"/>
              </w:rPr>
            </w:pPr>
            <w:r>
              <w:rPr>
                <w:rFonts w:ascii="Courier New" w:cs="Courier New" w:eastAsia="Courier New" w:hAnsi="Courier New"/>
                <w:sz w:val="15"/>
                <w:szCs w:val="15"/>
                <w:color w:val="auto"/>
              </w:rPr>
              <w:t>Accrued salaries and wages</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(336,000)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1,308,000</w:t>
            </w:r>
          </w:p>
        </w:tc>
        <w:tc>
          <w:tcPr>
            <w:tcW w:w="0" w:type="dxa"/>
            <w:vAlign w:val="bottom"/>
          </w:tcPr>
          <w:p>
            <w:pPr>
              <w:spacing w:after="0"/>
              <w:rPr>
                <w:sz w:val="1"/>
                <w:szCs w:val="1"/>
                <w:color w:val="auto"/>
              </w:rPr>
            </w:pPr>
          </w:p>
        </w:tc>
      </w:tr>
      <w:tr>
        <w:trPr>
          <w:trHeight w:val="170"/>
        </w:trPr>
        <w:tc>
          <w:tcPr>
            <w:tcW w:w="5420" w:type="dxa"/>
            <w:vAlign w:val="bottom"/>
          </w:tcPr>
          <w:p>
            <w:pPr>
              <w:ind w:left="780"/>
              <w:spacing w:after="0"/>
              <w:rPr>
                <w:sz w:val="20"/>
                <w:szCs w:val="20"/>
                <w:color w:val="auto"/>
              </w:rPr>
            </w:pPr>
            <w:r>
              <w:rPr>
                <w:rFonts w:ascii="Courier New" w:cs="Courier New" w:eastAsia="Courier New" w:hAnsi="Courier New"/>
                <w:sz w:val="15"/>
                <w:szCs w:val="15"/>
                <w:color w:val="auto"/>
              </w:rPr>
              <w:t>Income taxes payable</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2,081,000</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(1,286,000)</w:t>
            </w:r>
          </w:p>
        </w:tc>
        <w:tc>
          <w:tcPr>
            <w:tcW w:w="0" w:type="dxa"/>
            <w:vAlign w:val="bottom"/>
          </w:tcPr>
          <w:p>
            <w:pPr>
              <w:spacing w:after="0"/>
              <w:rPr>
                <w:sz w:val="1"/>
                <w:szCs w:val="1"/>
                <w:color w:val="auto"/>
              </w:rPr>
            </w:pPr>
          </w:p>
        </w:tc>
      </w:tr>
      <w:tr>
        <w:trPr>
          <w:trHeight w:val="170"/>
        </w:trPr>
        <w:tc>
          <w:tcPr>
            <w:tcW w:w="5420" w:type="dxa"/>
            <w:vAlign w:val="bottom"/>
          </w:tcPr>
          <w:p>
            <w:pPr>
              <w:ind w:left="780"/>
              <w:spacing w:after="0"/>
              <w:rPr>
                <w:sz w:val="20"/>
                <w:szCs w:val="20"/>
                <w:color w:val="auto"/>
              </w:rPr>
            </w:pPr>
            <w:r>
              <w:rPr>
                <w:rFonts w:ascii="Courier New" w:cs="Courier New" w:eastAsia="Courier New" w:hAnsi="Courier New"/>
                <w:sz w:val="15"/>
                <w:szCs w:val="15"/>
                <w:color w:val="auto"/>
              </w:rPr>
              <w:t>Deferred compensation</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556,000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594,000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335,000</w:t>
            </w: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1"/>
                <w:szCs w:val="21"/>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420" w:type="dxa"/>
            <w:vAlign w:val="bottom"/>
          </w:tcPr>
          <w:p>
            <w:pPr>
              <w:jc w:val="center"/>
              <w:ind w:right="2087"/>
              <w:spacing w:after="0"/>
              <w:rPr>
                <w:sz w:val="20"/>
                <w:szCs w:val="20"/>
                <w:color w:val="auto"/>
              </w:rPr>
            </w:pPr>
            <w:r>
              <w:rPr>
                <w:rFonts w:ascii="Courier New" w:cs="Courier New" w:eastAsia="Courier New" w:hAnsi="Courier New"/>
                <w:sz w:val="15"/>
                <w:szCs w:val="15"/>
                <w:color w:val="auto"/>
                <w:w w:val="98"/>
              </w:rPr>
              <w:t>Total adjustments</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(2,959,000)</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(9,587,000)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(7,283,000)</w:t>
            </w: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1"/>
                <w:szCs w:val="21"/>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12,894,000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3,678,000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3,662,000</w:t>
            </w: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1"/>
                <w:szCs w:val="21"/>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420" w:type="dxa"/>
            <w:vAlign w:val="bottom"/>
          </w:tcPr>
          <w:p>
            <w:pPr>
              <w:jc w:val="center"/>
              <w:ind w:right="2087"/>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14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(3,484,000)</w:t>
            </w:r>
          </w:p>
        </w:tc>
        <w:tc>
          <w:tcPr>
            <w:tcW w:w="14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(3,199,000)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(1,407,000)</w:t>
            </w:r>
          </w:p>
        </w:tc>
        <w:tc>
          <w:tcPr>
            <w:tcW w:w="0" w:type="dxa"/>
            <w:vAlign w:val="bottom"/>
          </w:tcPr>
          <w:p>
            <w:pPr>
              <w:spacing w:after="0"/>
              <w:rPr>
                <w:sz w:val="1"/>
                <w:szCs w:val="1"/>
                <w:color w:val="auto"/>
              </w:rPr>
            </w:pPr>
          </w:p>
        </w:tc>
      </w:tr>
      <w:tr>
        <w:trPr>
          <w:trHeight w:val="170"/>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Additions to property, plant and equipment</w:t>
            </w:r>
          </w:p>
        </w:tc>
        <w:tc>
          <w:tcPr>
            <w:tcW w:w="1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(Advances to) repayments from aviation joint venture, net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(319,000)</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338,000</w:t>
            </w:r>
          </w:p>
        </w:tc>
        <w:tc>
          <w:tcPr>
            <w:tcW w:w="0" w:type="dxa"/>
            <w:vAlign w:val="bottom"/>
          </w:tcPr>
          <w:p>
            <w:pPr>
              <w:spacing w:after="0"/>
              <w:rPr>
                <w:sz w:val="1"/>
                <w:szCs w:val="1"/>
                <w:color w:val="auto"/>
              </w:rPr>
            </w:pPr>
          </w:p>
        </w:tc>
      </w:tr>
      <w:tr>
        <w:trPr>
          <w:trHeight w:val="170"/>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disposition of assets</w:t>
            </w:r>
          </w:p>
        </w:tc>
        <w:tc>
          <w:tcPr>
            <w:tcW w:w="140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381,000</w:t>
            </w:r>
          </w:p>
        </w:tc>
        <w:tc>
          <w:tcPr>
            <w:tcW w:w="0" w:type="dxa"/>
            <w:vAlign w:val="bottom"/>
          </w:tcPr>
          <w:p>
            <w:pPr>
              <w:spacing w:after="0"/>
              <w:rPr>
                <w:sz w:val="1"/>
                <w:szCs w:val="1"/>
                <w:color w:val="auto"/>
              </w:rPr>
            </w:pPr>
          </w:p>
        </w:tc>
      </w:tr>
      <w:tr>
        <w:trPr>
          <w:trHeight w:val="170"/>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notes receivable</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809,000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774,000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2,046,000</w:t>
            </w:r>
          </w:p>
        </w:tc>
        <w:tc>
          <w:tcPr>
            <w:tcW w:w="0" w:type="dxa"/>
            <w:vAlign w:val="bottom"/>
          </w:tcPr>
          <w:p>
            <w:pPr>
              <w:spacing w:after="0"/>
              <w:rPr>
                <w:sz w:val="1"/>
                <w:szCs w:val="1"/>
                <w:color w:val="auto"/>
              </w:rPr>
            </w:pPr>
          </w:p>
        </w:tc>
      </w:tr>
      <w:tr>
        <w:trPr>
          <w:trHeight w:val="170"/>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Payment for acquisition of business, net of cash acquired</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(807,000)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1"/>
                <w:szCs w:val="21"/>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Net cash (used in) provided by investing activities</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(3,801,000)</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(2,488,000)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1,358,000</w:t>
            </w: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1"/>
                <w:szCs w:val="21"/>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30</w:t>
      </w:r>
    </w:p>
    <w:p>
      <w:pPr>
        <w:sectPr>
          <w:pgSz w:w="11900" w:h="16838" w:orient="portrait"/>
          <w:cols w:equalWidth="0" w:num="1">
            <w:col w:w="10219"/>
          </w:cols>
          <w:pgMar w:left="240" w:top="94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6"/>
        </w:trPr>
        <w:tc>
          <w:tcPr>
            <w:tcW w:w="5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6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CONSOLIDATED STATEMENTS OF CASH FLOWS</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000" w:type="dxa"/>
            <w:vAlign w:val="bottom"/>
          </w:tcPr>
          <w:p>
            <w:pPr>
              <w:ind w:left="2980"/>
              <w:spacing w:after="0"/>
              <w:rPr>
                <w:sz w:val="20"/>
                <w:szCs w:val="20"/>
                <w:color w:val="auto"/>
              </w:rPr>
            </w:pPr>
            <w:r>
              <w:rPr>
                <w:rFonts w:ascii="Courier New" w:cs="Courier New" w:eastAsia="Courier New" w:hAnsi="Courier New"/>
                <w:sz w:val="15"/>
                <w:szCs w:val="15"/>
                <w:color w:val="auto"/>
              </w:rPr>
              <w:t>(Continued)</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 ENDED MARCH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45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2"/>
                <w:szCs w:val="22"/>
                <w:color w:val="auto"/>
              </w:rPr>
            </w:pPr>
          </w:p>
        </w:tc>
        <w:tc>
          <w:tcPr>
            <w:tcW w:w="14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6"/>
              </w:rPr>
              <w:t>(2,432,000)</w:t>
            </w:r>
          </w:p>
        </w:tc>
        <w:tc>
          <w:tcPr>
            <w:tcW w:w="180" w:type="dxa"/>
            <w:vAlign w:val="bottom"/>
          </w:tcPr>
          <w:p>
            <w:pPr>
              <w:spacing w:after="0"/>
              <w:rPr>
                <w:sz w:val="22"/>
                <w:szCs w:val="22"/>
                <w:color w:val="auto"/>
              </w:rPr>
            </w:pPr>
          </w:p>
        </w:tc>
        <w:tc>
          <w:tcPr>
            <w:tcW w:w="12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8"/>
              </w:rPr>
              <w:t>(2,212,000)</w:t>
            </w:r>
          </w:p>
        </w:tc>
        <w:tc>
          <w:tcPr>
            <w:tcW w:w="46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(1,854,000)</w:t>
            </w:r>
          </w:p>
        </w:tc>
        <w:tc>
          <w:tcPr>
            <w:tcW w:w="0" w:type="dxa"/>
            <w:vAlign w:val="bottom"/>
          </w:tcPr>
          <w:p>
            <w:pPr>
              <w:spacing w:after="0"/>
              <w:rPr>
                <w:sz w:val="1"/>
                <w:szCs w:val="1"/>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Dividends paid on common stock</w:t>
            </w: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Repayment of notes payable</w:t>
            </w:r>
          </w:p>
        </w:tc>
        <w:tc>
          <w:tcPr>
            <w:tcW w:w="220" w:type="dxa"/>
            <w:vAlign w:val="bottom"/>
          </w:tcPr>
          <w:p>
            <w:pPr>
              <w:spacing w:after="0"/>
              <w:rPr>
                <w:sz w:val="14"/>
                <w:szCs w:val="14"/>
                <w:color w:val="auto"/>
              </w:rPr>
            </w:pP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(4,245,000)</w:t>
            </w:r>
          </w:p>
        </w:tc>
        <w:tc>
          <w:tcPr>
            <w:tcW w:w="18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(1,872,000)</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(1,817,000)</w:t>
            </w:r>
          </w:p>
        </w:tc>
        <w:tc>
          <w:tcPr>
            <w:tcW w:w="0" w:type="dxa"/>
            <w:vAlign w:val="bottom"/>
          </w:tcPr>
          <w:p>
            <w:pPr>
              <w:spacing w:after="0"/>
              <w:rPr>
                <w:sz w:val="1"/>
                <w:szCs w:val="1"/>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Repayment of long-term debt</w:t>
            </w:r>
          </w:p>
        </w:tc>
        <w:tc>
          <w:tcPr>
            <w:tcW w:w="220" w:type="dxa"/>
            <w:vAlign w:val="bottom"/>
          </w:tcPr>
          <w:p>
            <w:pPr>
              <w:spacing w:after="0"/>
              <w:rPr>
                <w:sz w:val="14"/>
                <w:szCs w:val="14"/>
                <w:color w:val="auto"/>
              </w:rPr>
            </w:pP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(150,000)</w:t>
            </w:r>
          </w:p>
        </w:tc>
        <w:tc>
          <w:tcPr>
            <w:tcW w:w="18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(74,000)</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(263,000)</w:t>
            </w:r>
          </w:p>
        </w:tc>
        <w:tc>
          <w:tcPr>
            <w:tcW w:w="0" w:type="dxa"/>
            <w:vAlign w:val="bottom"/>
          </w:tcPr>
          <w:p>
            <w:pPr>
              <w:spacing w:after="0"/>
              <w:rPr>
                <w:sz w:val="1"/>
                <w:szCs w:val="1"/>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 long-term debt</w:t>
            </w:r>
          </w:p>
        </w:tc>
        <w:tc>
          <w:tcPr>
            <w:tcW w:w="220" w:type="dxa"/>
            <w:vAlign w:val="bottom"/>
          </w:tcPr>
          <w:p>
            <w:pPr>
              <w:spacing w:after="0"/>
              <w:rPr>
                <w:sz w:val="14"/>
                <w:szCs w:val="14"/>
                <w:color w:val="auto"/>
              </w:rPr>
            </w:pPr>
          </w:p>
        </w:tc>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486,000</w:t>
            </w:r>
          </w:p>
        </w:tc>
        <w:tc>
          <w:tcPr>
            <w:tcW w:w="4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 common stock</w:t>
            </w:r>
          </w:p>
        </w:tc>
        <w:tc>
          <w:tcPr>
            <w:tcW w:w="22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1,158,000</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661,000</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863,000</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Net cash used in financing activities</w:t>
            </w:r>
          </w:p>
        </w:tc>
        <w:tc>
          <w:tcPr>
            <w:tcW w:w="220" w:type="dxa"/>
            <w:vAlign w:val="bottom"/>
          </w:tcPr>
          <w:p>
            <w:pPr>
              <w:spacing w:after="0"/>
              <w:rPr>
                <w:sz w:val="22"/>
                <w:szCs w:val="22"/>
                <w:color w:val="auto"/>
              </w:rPr>
            </w:pP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(5,669,000)</w:t>
            </w:r>
          </w:p>
        </w:tc>
        <w:tc>
          <w:tcPr>
            <w:tcW w:w="180" w:type="dxa"/>
            <w:vAlign w:val="bottom"/>
          </w:tcPr>
          <w:p>
            <w:pPr>
              <w:spacing w:after="0"/>
              <w:rPr>
                <w:sz w:val="22"/>
                <w:szCs w:val="22"/>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(3,011,000)</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(3,071,000)</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220" w:type="dxa"/>
            <w:vAlign w:val="bottom"/>
          </w:tcPr>
          <w:p>
            <w:pPr>
              <w:spacing w:after="0"/>
              <w:rPr>
                <w:sz w:val="22"/>
                <w:szCs w:val="22"/>
                <w:color w:val="auto"/>
              </w:rPr>
            </w:pPr>
          </w:p>
        </w:tc>
        <w:tc>
          <w:tcPr>
            <w:tcW w:w="14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3,424,000</w:t>
            </w:r>
          </w:p>
        </w:tc>
        <w:tc>
          <w:tcPr>
            <w:tcW w:w="180" w:type="dxa"/>
            <w:vAlign w:val="bottom"/>
          </w:tcPr>
          <w:p>
            <w:pPr>
              <w:spacing w:after="0"/>
              <w:rPr>
                <w:sz w:val="22"/>
                <w:szCs w:val="22"/>
                <w:color w:val="auto"/>
              </w:rPr>
            </w:pPr>
          </w:p>
        </w:tc>
        <w:tc>
          <w:tcPr>
            <w:tcW w:w="12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8"/>
              </w:rPr>
              <w:t>(1,821,000)</w:t>
            </w:r>
          </w:p>
        </w:tc>
        <w:tc>
          <w:tcPr>
            <w:tcW w:w="460" w:type="dxa"/>
            <w:vAlign w:val="bottom"/>
          </w:tcPr>
          <w:p>
            <w:pPr>
              <w:spacing w:after="0"/>
              <w:rPr>
                <w:sz w:val="22"/>
                <w:szCs w:val="22"/>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1,949,000</w:t>
            </w:r>
          </w:p>
        </w:tc>
        <w:tc>
          <w:tcPr>
            <w:tcW w:w="0" w:type="dxa"/>
            <w:vAlign w:val="bottom"/>
          </w:tcPr>
          <w:p>
            <w:pPr>
              <w:spacing w:after="0"/>
              <w:rPr>
                <w:sz w:val="1"/>
                <w:szCs w:val="1"/>
                <w:color w:val="auto"/>
              </w:rPr>
            </w:pPr>
          </w:p>
        </w:tc>
      </w:tr>
      <w:tr>
        <w:trPr>
          <w:trHeight w:val="246"/>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22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w:t>
            </w:r>
          </w:p>
        </w:tc>
        <w:tc>
          <w:tcPr>
            <w:tcW w:w="220" w:type="dxa"/>
            <w:vAlign w:val="bottom"/>
          </w:tcPr>
          <w:p>
            <w:pPr>
              <w:spacing w:after="0"/>
              <w:rPr>
                <w:sz w:val="22"/>
                <w:szCs w:val="22"/>
                <w:color w:val="auto"/>
              </w:rPr>
            </w:pPr>
          </w:p>
        </w:tc>
        <w:tc>
          <w:tcPr>
            <w:tcW w:w="14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w w:val="95"/>
              </w:rPr>
              <w:t>11,035,000</w:t>
            </w:r>
          </w:p>
        </w:tc>
        <w:tc>
          <w:tcPr>
            <w:tcW w:w="180" w:type="dxa"/>
            <w:vAlign w:val="bottom"/>
          </w:tcPr>
          <w:p>
            <w:pPr>
              <w:spacing w:after="0"/>
              <w:rPr>
                <w:sz w:val="22"/>
                <w:szCs w:val="22"/>
                <w:color w:val="auto"/>
              </w:rPr>
            </w:pPr>
          </w:p>
        </w:tc>
        <w:tc>
          <w:tcPr>
            <w:tcW w:w="12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9"/>
              </w:rPr>
              <w:t>12,856,000</w:t>
            </w:r>
          </w:p>
        </w:tc>
        <w:tc>
          <w:tcPr>
            <w:tcW w:w="460" w:type="dxa"/>
            <w:vAlign w:val="bottom"/>
          </w:tcPr>
          <w:p>
            <w:pPr>
              <w:spacing w:after="0"/>
              <w:rPr>
                <w:sz w:val="22"/>
                <w:szCs w:val="22"/>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10,907,000</w:t>
            </w:r>
          </w:p>
        </w:tc>
        <w:tc>
          <w:tcPr>
            <w:tcW w:w="0" w:type="dxa"/>
            <w:vAlign w:val="bottom"/>
          </w:tcPr>
          <w:p>
            <w:pPr>
              <w:spacing w:after="0"/>
              <w:rPr>
                <w:sz w:val="1"/>
                <w:szCs w:val="1"/>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of period</w:t>
            </w: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$ 14,459,000</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$ 11,035,000</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$ 12,856,000</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w:t>
            </w:r>
          </w:p>
        </w:tc>
        <w:tc>
          <w:tcPr>
            <w:tcW w:w="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288,000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423,000</w:t>
            </w:r>
          </w:p>
        </w:tc>
        <w:tc>
          <w:tcPr>
            <w:tcW w:w="4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613,000</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2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2,516,000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5,182,000</w:t>
            </w:r>
          </w:p>
        </w:tc>
        <w:tc>
          <w:tcPr>
            <w:tcW w:w="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6,368,000</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 OF NONCASH ACTIVITIES:</w:t>
      </w:r>
    </w:p>
    <w:p>
      <w:pPr>
        <w:spacing w:after="0" w:line="169" w:lineRule="exact"/>
        <w:rPr>
          <w:sz w:val="20"/>
          <w:szCs w:val="20"/>
          <w:color w:val="auto"/>
        </w:rPr>
      </w:pPr>
    </w:p>
    <w:p>
      <w:pPr>
        <w:ind w:left="160" w:right="3179"/>
        <w:spacing w:after="0" w:line="275" w:lineRule="auto"/>
        <w:rPr>
          <w:sz w:val="20"/>
          <w:szCs w:val="20"/>
          <w:color w:val="auto"/>
        </w:rPr>
      </w:pPr>
      <w:r>
        <w:rPr>
          <w:rFonts w:ascii="Courier New" w:cs="Courier New" w:eastAsia="Courier New" w:hAnsi="Courier New"/>
          <w:sz w:val="15"/>
          <w:szCs w:val="15"/>
          <w:color w:val="auto"/>
        </w:rPr>
        <w:t>In April 1995, the Company paid $1,300,000, representing its share of a litigation settlement, by issuing 176,737 shares of the Company's common stock at an agreed upon price of $7.36 per share (restated to reflect the 3-for-2 stock splits).</w:t>
      </w:r>
    </w:p>
    <w:p>
      <w:pPr>
        <w:spacing w:after="0" w:line="69" w:lineRule="exact"/>
        <w:rPr>
          <w:sz w:val="20"/>
          <w:szCs w:val="20"/>
          <w:color w:val="auto"/>
        </w:rPr>
      </w:pPr>
    </w:p>
    <w:p>
      <w:pPr>
        <w:ind w:left="160" w:right="3179"/>
        <w:spacing w:after="0" w:line="275" w:lineRule="auto"/>
        <w:rPr>
          <w:sz w:val="20"/>
          <w:szCs w:val="20"/>
          <w:color w:val="auto"/>
        </w:rPr>
      </w:pPr>
      <w:r>
        <w:rPr>
          <w:rFonts w:ascii="Courier New" w:cs="Courier New" w:eastAsia="Courier New" w:hAnsi="Courier New"/>
          <w:sz w:val="15"/>
          <w:szCs w:val="15"/>
          <w:color w:val="auto"/>
        </w:rPr>
        <w:t>As partial consideration for the sale of certain assets on June 1, 1995, the Company received a $979,000 note receivable, with an original maturity date of July 1, 2007. In October 1995, the entire outstanding principal balance was collected in cash, net of a $98,000 pre-payment discount.</w:t>
      </w:r>
    </w:p>
    <w:p>
      <w:pPr>
        <w:spacing w:after="0" w:line="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Cash dividends declared, but not yet paid, totaling $624,000, $608,000 and</w:t>
      </w:r>
    </w:p>
    <w:p>
      <w:pPr>
        <w:spacing w:after="0" w:line="26" w:lineRule="exact"/>
        <w:rPr>
          <w:sz w:val="20"/>
          <w:szCs w:val="20"/>
          <w:color w:val="auto"/>
        </w:rPr>
      </w:pPr>
    </w:p>
    <w:p>
      <w:pPr>
        <w:ind w:left="160" w:right="3179"/>
        <w:spacing w:after="0" w:line="310" w:lineRule="auto"/>
        <w:rPr>
          <w:sz w:val="20"/>
          <w:szCs w:val="20"/>
          <w:color w:val="auto"/>
        </w:rPr>
      </w:pPr>
      <w:r>
        <w:rPr>
          <w:rFonts w:ascii="Courier New" w:cs="Courier New" w:eastAsia="Courier New" w:hAnsi="Courier New"/>
          <w:sz w:val="15"/>
          <w:szCs w:val="15"/>
          <w:color w:val="auto"/>
        </w:rPr>
        <w:t>$402,000 are included in accounts payable and accrued expenses as of March 31, 1998, 1997 and 1996, respectively.</w:t>
      </w:r>
    </w:p>
    <w:p>
      <w:pPr>
        <w:spacing w:after="0" w:line="44" w:lineRule="exact"/>
        <w:rPr>
          <w:sz w:val="20"/>
          <w:szCs w:val="20"/>
          <w:color w:val="auto"/>
        </w:rPr>
      </w:pPr>
    </w:p>
    <w:p>
      <w:pPr>
        <w:ind w:left="160" w:right="3259"/>
        <w:spacing w:after="0" w:line="293" w:lineRule="auto"/>
        <w:rPr>
          <w:sz w:val="20"/>
          <w:szCs w:val="20"/>
          <w:color w:val="auto"/>
        </w:rPr>
      </w:pPr>
      <w:r>
        <w:rPr>
          <w:rFonts w:ascii="Courier New" w:cs="Courier New" w:eastAsia="Courier New" w:hAnsi="Courier New"/>
          <w:sz w:val="15"/>
          <w:szCs w:val="15"/>
          <w:color w:val="auto"/>
        </w:rPr>
        <w:t>In January 1998, the Company issued 150,000 shares of its common stock valued at $2,090,000 in connection with the acquisition of the Baseops group of companies.</w:t>
      </w:r>
    </w:p>
    <w:p>
      <w:pPr>
        <w:spacing w:after="0" w:line="56" w:lineRule="exact"/>
        <w:rPr>
          <w:sz w:val="20"/>
          <w:szCs w:val="20"/>
          <w:color w:val="auto"/>
        </w:rPr>
      </w:pPr>
    </w:p>
    <w:p>
      <w:pPr>
        <w:ind w:left="160" w:right="3359"/>
        <w:spacing w:after="0" w:line="275" w:lineRule="auto"/>
        <w:rPr>
          <w:sz w:val="20"/>
          <w:szCs w:val="20"/>
          <w:color w:val="auto"/>
        </w:rPr>
      </w:pPr>
      <w:r>
        <w:rPr>
          <w:rFonts w:ascii="Courier New" w:cs="Courier New" w:eastAsia="Courier New" w:hAnsi="Courier New"/>
          <w:sz w:val="15"/>
          <w:szCs w:val="15"/>
          <w:color w:val="auto"/>
        </w:rPr>
        <w:t>During fiscal year 1998, the Company reclassified approximately $1,000,000 from accounts receivable to notes receivable. The notes receivable are shown in the prepaid and other current assets, and other assets sections of the balance sheet.</w:t>
      </w:r>
    </w:p>
    <w:p>
      <w:pPr>
        <w:spacing w:after="0" w:line="69" w:lineRule="exact"/>
        <w:rPr>
          <w:sz w:val="20"/>
          <w:szCs w:val="20"/>
          <w:color w:val="auto"/>
        </w:rPr>
      </w:pPr>
    </w:p>
    <w:p>
      <w:pPr>
        <w:ind w:left="1040" w:right="3619" w:hanging="616"/>
        <w:spacing w:after="0" w:line="347" w:lineRule="auto"/>
        <w:rPr>
          <w:sz w:val="20"/>
          <w:szCs w:val="20"/>
          <w:color w:val="auto"/>
        </w:rPr>
      </w:pPr>
      <w:r>
        <w:rPr>
          <w:rFonts w:ascii="Courier New" w:cs="Courier New" w:eastAsia="Courier New" w:hAnsi="Courier New"/>
          <w:sz w:val="15"/>
          <w:szCs w:val="15"/>
          <w:color w:val="auto"/>
        </w:rPr>
        <w:t>The accompanying notes to the consolidated financial statements are an integral part of these consolidated financial statements.</w:t>
      </w:r>
    </w:p>
    <w:p>
      <w:pPr>
        <w:spacing w:after="0" w:line="1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31</w:t>
      </w:r>
    </w:p>
    <w:p>
      <w:pPr>
        <w:sectPr>
          <w:pgSz w:w="11900" w:h="16838" w:orient="portrait"/>
          <w:cols w:equalWidth="0" w:num="1">
            <w:col w:w="10219"/>
          </w:cols>
          <w:pgMar w:left="240" w:top="940" w:right="1440" w:bottom="1440" w:gutter="0" w:footer="0" w:header="0"/>
        </w:sectPr>
      </w:pPr>
    </w:p>
    <w:bookmarkStart w:id="33" w:name="page34"/>
    <w:bookmarkEnd w:id="33"/>
    <w:p>
      <w:pPr>
        <w:jc w:val="center"/>
        <w:ind w:right="301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6" w:lineRule="exact"/>
        <w:rPr>
          <w:sz w:val="20"/>
          <w:szCs w:val="20"/>
          <w:color w:val="auto"/>
        </w:rPr>
      </w:pPr>
    </w:p>
    <w:p>
      <w:pPr>
        <w:jc w:val="center"/>
        <w:ind w:right="30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3" w:lineRule="exact"/>
        <w:rPr>
          <w:sz w:val="20"/>
          <w:szCs w:val="20"/>
          <w:color w:val="auto"/>
        </w:rPr>
      </w:pPr>
    </w:p>
    <w:p>
      <w:pPr>
        <w:ind w:left="10" w:right="6079" w:hanging="10"/>
        <w:spacing w:after="0" w:line="513" w:lineRule="auto"/>
        <w:tabs>
          <w:tab w:leader="none" w:pos="4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ORGANIZATION AND NATURE OF ACQUISITIONS</w:t>
      </w:r>
    </w:p>
    <w:p>
      <w:pPr>
        <w:ind w:left="10" w:right="3179"/>
        <w:spacing w:after="0" w:line="252" w:lineRule="auto"/>
        <w:rPr>
          <w:sz w:val="20"/>
          <w:szCs w:val="20"/>
          <w:color w:val="auto"/>
        </w:rPr>
      </w:pPr>
      <w:r>
        <w:rPr>
          <w:rFonts w:ascii="Courier New" w:cs="Courier New" w:eastAsia="Courier New" w:hAnsi="Courier New"/>
          <w:sz w:val="15"/>
          <w:szCs w:val="15"/>
          <w:color w:val="auto"/>
        </w:rPr>
        <w:t>World Fuel Services Corporation (the "Company") began operations in 1984 as a used oil recycler in the southeast United States. The Company expanded this business through acquisitions, the development of new processing technology and the establishment of new offices. In 1986, the Company diversified its operations by entering, through an acquisition, the aviation fuel services business. This new segment expanded rapidly, from a business primarily concentrated in the state of Florida, to an international sales company covering airports throughout the world. This expansion resulted from acquisitions and the establishment of new offices.</w:t>
      </w:r>
    </w:p>
    <w:p>
      <w:pPr>
        <w:spacing w:after="0" w:line="89" w:lineRule="exact"/>
        <w:rPr>
          <w:sz w:val="20"/>
          <w:szCs w:val="20"/>
          <w:color w:val="auto"/>
        </w:rPr>
      </w:pPr>
    </w:p>
    <w:p>
      <w:pPr>
        <w:ind w:left="10" w:right="3359"/>
        <w:spacing w:after="0" w:line="266" w:lineRule="auto"/>
        <w:rPr>
          <w:sz w:val="20"/>
          <w:szCs w:val="20"/>
          <w:color w:val="auto"/>
        </w:rPr>
      </w:pPr>
      <w:r>
        <w:rPr>
          <w:rFonts w:ascii="Courier New" w:cs="Courier New" w:eastAsia="Courier New" w:hAnsi="Courier New"/>
          <w:sz w:val="15"/>
          <w:szCs w:val="15"/>
          <w:color w:val="auto"/>
        </w:rPr>
        <w:t>In 1995, the Company further diversified its fuel services operations through the acquisition of a group of companies which are considered leaders in the marine fuel services business. This new segment provided the Company with operational and supplier side synergies and entry into fast growing markets in the Far East and Eastern Europe.</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 January 1998, the Company purchased all the outstanding stock of Baseops</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International, Inc. and its affiliates ("Baseops"). Baseops provides a</w:t>
      </w:r>
    </w:p>
    <w:p>
      <w:pPr>
        <w:ind w:left="10"/>
        <w:spacing w:after="0"/>
        <w:rPr>
          <w:sz w:val="20"/>
          <w:szCs w:val="20"/>
          <w:color w:val="auto"/>
        </w:rPr>
      </w:pPr>
      <w:r>
        <w:rPr>
          <w:rFonts w:ascii="Courier New" w:cs="Courier New" w:eastAsia="Courier New" w:hAnsi="Courier New"/>
          <w:sz w:val="15"/>
          <w:szCs w:val="15"/>
          <w:color w:val="auto"/>
        </w:rPr>
        <w:t>sophisticated array of aviation services to a diversified clientele of</w:t>
      </w:r>
    </w:p>
    <w:p>
      <w:pPr>
        <w:ind w:left="10"/>
        <w:spacing w:after="0"/>
        <w:rPr>
          <w:sz w:val="20"/>
          <w:szCs w:val="20"/>
          <w:color w:val="auto"/>
        </w:rPr>
      </w:pPr>
      <w:r>
        <w:rPr>
          <w:rFonts w:ascii="Courier New" w:cs="Courier New" w:eastAsia="Courier New" w:hAnsi="Courier New"/>
          <w:sz w:val="15"/>
          <w:szCs w:val="15"/>
          <w:color w:val="auto"/>
        </w:rPr>
        <w:t>corporate, government, and private aircraft worldwide. The acquisition of</w:t>
      </w:r>
    </w:p>
    <w:p>
      <w:pPr>
        <w:ind w:left="10"/>
        <w:spacing w:after="0"/>
        <w:rPr>
          <w:sz w:val="20"/>
          <w:szCs w:val="20"/>
          <w:color w:val="auto"/>
        </w:rPr>
      </w:pPr>
      <w:r>
        <w:rPr>
          <w:rFonts w:ascii="Courier New" w:cs="Courier New" w:eastAsia="Courier New" w:hAnsi="Courier New"/>
          <w:sz w:val="15"/>
          <w:szCs w:val="15"/>
          <w:color w:val="auto"/>
        </w:rPr>
        <w:t>Baseops by the Company has been accounted for as a purchase. The aggregate</w:t>
      </w:r>
    </w:p>
    <w:p>
      <w:pPr>
        <w:ind w:left="10"/>
        <w:spacing w:after="0"/>
        <w:rPr>
          <w:sz w:val="20"/>
          <w:szCs w:val="20"/>
          <w:color w:val="auto"/>
        </w:rPr>
      </w:pPr>
      <w:r>
        <w:rPr>
          <w:rFonts w:ascii="Courier New" w:cs="Courier New" w:eastAsia="Courier New" w:hAnsi="Courier New"/>
          <w:sz w:val="15"/>
          <w:szCs w:val="15"/>
          <w:color w:val="auto"/>
        </w:rPr>
        <w:t>purchase price of the acquisition was approximately $2,897,000, including</w:t>
      </w:r>
    </w:p>
    <w:p>
      <w:pPr>
        <w:ind w:left="10"/>
        <w:spacing w:after="0"/>
        <w:rPr>
          <w:sz w:val="20"/>
          <w:szCs w:val="20"/>
          <w:color w:val="auto"/>
        </w:rPr>
      </w:pPr>
      <w:r>
        <w:rPr>
          <w:rFonts w:ascii="Courier New" w:cs="Courier New" w:eastAsia="Courier New" w:hAnsi="Courier New"/>
          <w:sz w:val="15"/>
          <w:szCs w:val="15"/>
          <w:color w:val="auto"/>
        </w:rPr>
        <w:t>$77,000 in acquisition costs. The Company paid approximately $807,000 in cash</w:t>
      </w:r>
    </w:p>
    <w:p>
      <w:pPr>
        <w:ind w:left="10"/>
        <w:spacing w:after="0"/>
        <w:rPr>
          <w:sz w:val="20"/>
          <w:szCs w:val="20"/>
          <w:color w:val="auto"/>
        </w:rPr>
      </w:pPr>
      <w:r>
        <w:rPr>
          <w:rFonts w:ascii="Courier New" w:cs="Courier New" w:eastAsia="Courier New" w:hAnsi="Courier New"/>
          <w:sz w:val="15"/>
          <w:szCs w:val="15"/>
          <w:color w:val="auto"/>
        </w:rPr>
        <w:t>and 150,000 shares of the Company's common stock valued at $2,090,000 ($13.93</w:t>
      </w:r>
    </w:p>
    <w:p>
      <w:pPr>
        <w:ind w:left="10"/>
        <w:spacing w:after="0"/>
        <w:rPr>
          <w:sz w:val="20"/>
          <w:szCs w:val="20"/>
          <w:color w:val="auto"/>
        </w:rPr>
      </w:pPr>
      <w:r>
        <w:rPr>
          <w:rFonts w:ascii="Courier New" w:cs="Courier New" w:eastAsia="Courier New" w:hAnsi="Courier New"/>
          <w:sz w:val="15"/>
          <w:szCs w:val="15"/>
          <w:color w:val="auto"/>
        </w:rPr>
        <w:t>per share, or approximately 65% of the quoted market price) in the Company's</w:t>
      </w:r>
    </w:p>
    <w:p>
      <w:pPr>
        <w:ind w:left="10"/>
        <w:spacing w:after="0"/>
        <w:rPr>
          <w:sz w:val="20"/>
          <w:szCs w:val="20"/>
          <w:color w:val="auto"/>
        </w:rPr>
      </w:pPr>
      <w:r>
        <w:rPr>
          <w:rFonts w:ascii="Courier New" w:cs="Courier New" w:eastAsia="Courier New" w:hAnsi="Courier New"/>
          <w:sz w:val="15"/>
          <w:szCs w:val="15"/>
          <w:color w:val="auto"/>
        </w:rPr>
        <w:t>restricted stock. The newly issued shares of the Company's common stock issued</w:t>
      </w:r>
    </w:p>
    <w:p>
      <w:pPr>
        <w:ind w:left="10"/>
        <w:spacing w:after="0"/>
        <w:rPr>
          <w:sz w:val="20"/>
          <w:szCs w:val="20"/>
          <w:color w:val="auto"/>
        </w:rPr>
      </w:pPr>
      <w:r>
        <w:rPr>
          <w:rFonts w:ascii="Courier New" w:cs="Courier New" w:eastAsia="Courier New" w:hAnsi="Courier New"/>
          <w:sz w:val="15"/>
          <w:szCs w:val="15"/>
          <w:color w:val="auto"/>
        </w:rPr>
        <w:t>in connection with the acquisition were valued by the Company's Board of</w:t>
      </w:r>
    </w:p>
    <w:p>
      <w:pPr>
        <w:ind w:left="10"/>
        <w:spacing w:after="0"/>
        <w:rPr>
          <w:sz w:val="20"/>
          <w:szCs w:val="20"/>
          <w:color w:val="auto"/>
        </w:rPr>
      </w:pPr>
      <w:r>
        <w:rPr>
          <w:rFonts w:ascii="Courier New" w:cs="Courier New" w:eastAsia="Courier New" w:hAnsi="Courier New"/>
          <w:sz w:val="14"/>
          <w:szCs w:val="14"/>
          <w:color w:val="auto"/>
        </w:rPr>
        <w:t>Directors. In accordance with the acquisition agreement, 75,000 shares are being</w:t>
      </w:r>
    </w:p>
    <w:p>
      <w:pPr>
        <w:spacing w:after="0" w:line="1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held in escrow until the second anniversary of the closing date. The escrow</w:t>
      </w:r>
    </w:p>
    <w:p>
      <w:pPr>
        <w:ind w:left="10"/>
        <w:spacing w:after="0"/>
        <w:rPr>
          <w:sz w:val="20"/>
          <w:szCs w:val="20"/>
          <w:color w:val="auto"/>
        </w:rPr>
      </w:pPr>
      <w:r>
        <w:rPr>
          <w:rFonts w:ascii="Courier New" w:cs="Courier New" w:eastAsia="Courier New" w:hAnsi="Courier New"/>
          <w:sz w:val="14"/>
          <w:szCs w:val="14"/>
          <w:color w:val="auto"/>
        </w:rPr>
        <w:t>shares are pledged to the Company to secure the seller's obligation to indemnify</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Company pursuant to the acquisition agreement. The sum of the purchase price</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and the $1,110,000 fair value of the net liabilities of the acquired companies,</w:t>
      </w:r>
    </w:p>
    <w:p>
      <w:pPr>
        <w:spacing w:after="0" w:line="1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which amounted to $4,007,000, has been allocated to goodwill, and is being</w:t>
      </w:r>
    </w:p>
    <w:p>
      <w:pPr>
        <w:ind w:left="10"/>
        <w:spacing w:after="0"/>
        <w:rPr>
          <w:sz w:val="20"/>
          <w:szCs w:val="20"/>
          <w:color w:val="auto"/>
        </w:rPr>
      </w:pPr>
      <w:r>
        <w:rPr>
          <w:rFonts w:ascii="Courier New" w:cs="Courier New" w:eastAsia="Courier New" w:hAnsi="Courier New"/>
          <w:sz w:val="15"/>
          <w:szCs w:val="15"/>
          <w:color w:val="auto"/>
        </w:rPr>
        <w:t>amortized over a period of 35 years. The Company determined that no other</w:t>
      </w:r>
    </w:p>
    <w:p>
      <w:pPr>
        <w:ind w:left="10"/>
        <w:spacing w:after="0"/>
        <w:rPr>
          <w:sz w:val="20"/>
          <w:szCs w:val="20"/>
          <w:color w:val="auto"/>
        </w:rPr>
      </w:pPr>
      <w:r>
        <w:rPr>
          <w:rFonts w:ascii="Courier New" w:cs="Courier New" w:eastAsia="Courier New" w:hAnsi="Courier New"/>
          <w:sz w:val="15"/>
          <w:szCs w:val="15"/>
          <w:color w:val="auto"/>
        </w:rPr>
        <w:t>identifiable intangible assets existed.</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BASIS OF CONSOLIDATION</w:t>
      </w:r>
    </w:p>
    <w:p>
      <w:pPr>
        <w:spacing w:after="0" w:line="169" w:lineRule="exact"/>
        <w:rPr>
          <w:sz w:val="20"/>
          <w:szCs w:val="20"/>
          <w:color w:val="auto"/>
        </w:rPr>
      </w:pPr>
    </w:p>
    <w:p>
      <w:pPr>
        <w:ind w:left="10" w:right="3259"/>
        <w:spacing w:after="0" w:line="266"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wholly-owned subsidiaries. All significant intercompany balances and transactions have been eliminated in consolidation. The Company uses the equity method of accounting to record its proportionate share of the earnings of its aviation joint venture.</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 AND CASH EQUIVALENTS</w:t>
      </w:r>
    </w:p>
    <w:p>
      <w:pPr>
        <w:spacing w:after="0" w:line="169" w:lineRule="exact"/>
        <w:rPr>
          <w:sz w:val="20"/>
          <w:szCs w:val="20"/>
          <w:color w:val="auto"/>
        </w:rPr>
      </w:pPr>
    </w:p>
    <w:p>
      <w:pPr>
        <w:ind w:left="10" w:right="3259"/>
        <w:spacing w:after="0" w:line="293" w:lineRule="auto"/>
        <w:rPr>
          <w:sz w:val="20"/>
          <w:szCs w:val="20"/>
          <w:color w:val="auto"/>
        </w:rPr>
      </w:pPr>
      <w:r>
        <w:rPr>
          <w:rFonts w:ascii="Courier New" w:cs="Courier New" w:eastAsia="Courier New" w:hAnsi="Courier New"/>
          <w:sz w:val="15"/>
          <w:szCs w:val="15"/>
          <w:color w:val="auto"/>
        </w:rPr>
        <w:t>The Company classifies as cash equivalents all highly liquid investments with a maturity of three months or less from the date of purchase. The Company's investments at March 31, 1998 and 1997</w:t>
      </w:r>
    </w:p>
    <w:p>
      <w:pPr>
        <w:spacing w:after="0" w:line="56"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32</w:t>
      </w:r>
    </w:p>
    <w:p>
      <w:pPr>
        <w:sectPr>
          <w:pgSz w:w="11900" w:h="16838" w:orient="portrait"/>
          <w:cols w:equalWidth="0" w:num="1">
            <w:col w:w="10229"/>
          </w:cols>
          <w:pgMar w:left="230" w:top="601" w:right="1440" w:bottom="1440" w:gutter="0" w:footer="0" w:header="0"/>
        </w:sectPr>
      </w:pPr>
    </w:p>
    <w:bookmarkStart w:id="34" w:name="page35"/>
    <w:bookmarkEnd w:id="34"/>
    <w:p>
      <w:pPr>
        <w:ind w:right="3179"/>
        <w:spacing w:after="0" w:line="283" w:lineRule="auto"/>
        <w:rPr>
          <w:sz w:val="20"/>
          <w:szCs w:val="20"/>
          <w:color w:val="auto"/>
        </w:rPr>
      </w:pPr>
      <w:r>
        <w:rPr>
          <w:rFonts w:ascii="Courier New" w:cs="Courier New" w:eastAsia="Courier New" w:hAnsi="Courier New"/>
          <w:sz w:val="14"/>
          <w:szCs w:val="14"/>
          <w:color w:val="auto"/>
        </w:rPr>
        <w:t>amounted to $11,988,000 and $8,461,000 respectively, consisting principally of bank repurchase agreements collateralized by United States Government Securities and bank money market accounts which invest primarily in A1P1 commercial paper. Interest income, which is included in Other, net in the accompanying consolidated statements of income, totaled $1,460,000, $862,000 and $1,029,000 for the years ended March 31, 1998, 1997 and 1996, respectively.</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69"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Inventories are stated at the lower of cost (principally, first-in, first-out) or market. Components of inventory cost include oil and fuel purchase costs, direct materials, direct and indirect labor and refining overhead related to the Company's used oil recycling.</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69" w:lineRule="exact"/>
        <w:rPr>
          <w:sz w:val="20"/>
          <w:szCs w:val="20"/>
          <w:color w:val="auto"/>
        </w:rPr>
      </w:pPr>
    </w:p>
    <w:p>
      <w:pPr>
        <w:ind w:right="3259"/>
        <w:spacing w:after="0" w:line="322" w:lineRule="auto"/>
        <w:rPr>
          <w:sz w:val="20"/>
          <w:szCs w:val="20"/>
          <w:color w:val="auto"/>
        </w:rPr>
      </w:pPr>
      <w:r>
        <w:rPr>
          <w:rFonts w:ascii="Courier New" w:cs="Courier New" w:eastAsia="Courier New" w:hAnsi="Courier New"/>
          <w:sz w:val="14"/>
          <w:szCs w:val="14"/>
          <w:color w:val="auto"/>
        </w:rPr>
        <w:t>Property, plant and equipment are carried at cost less accumulated depreciation and amortization. Depreciation and amortization are calculated on a straight-line basis over the estimated useful lives of the assets as follows:</w:t>
      </w:r>
    </w:p>
    <w:p>
      <w:pPr>
        <w:spacing w:after="0" w:line="40"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YEARS</w:t>
      </w:r>
    </w:p>
    <w:p>
      <w:pPr>
        <w:spacing w:after="0" w:line="26" w:lineRule="exact"/>
        <w:rPr>
          <w:sz w:val="20"/>
          <w:szCs w:val="20"/>
          <w:color w:val="auto"/>
        </w:rPr>
      </w:pPr>
    </w:p>
    <w:tbl>
      <w:tblPr>
        <w:tblLayout w:type="fixed"/>
        <w:tblInd w:w="1220" w:type="dxa"/>
        <w:tblCellMar>
          <w:top w:w="0" w:type="dxa"/>
          <w:left w:w="0" w:type="dxa"/>
          <w:bottom w:w="0" w:type="dxa"/>
          <w:right w:w="0" w:type="dxa"/>
        </w:tblCellMar>
      </w:tblPr>
      <w:tr>
        <w:trPr>
          <w:trHeight w:val="246"/>
        </w:trPr>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236"/>
        </w:trPr>
        <w:tc>
          <w:tcPr>
            <w:tcW w:w="2700" w:type="dxa"/>
            <w:vAlign w:val="bottom"/>
            <w:gridSpan w:val="4"/>
          </w:tcPr>
          <w:p>
            <w:pPr>
              <w:spacing w:after="0"/>
              <w:rPr>
                <w:sz w:val="20"/>
                <w:szCs w:val="20"/>
                <w:color w:val="auto"/>
              </w:rPr>
            </w:pPr>
            <w:r>
              <w:rPr>
                <w:rFonts w:ascii="Courier New" w:cs="Courier New" w:eastAsia="Courier New" w:hAnsi="Courier New"/>
                <w:sz w:val="15"/>
                <w:szCs w:val="15"/>
                <w:color w:val="auto"/>
              </w:rPr>
              <w:t>Buildings and improvements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- 40</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Office</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equipment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furniture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r>
      <w:tr>
        <w:trPr>
          <w:trHeight w:val="246"/>
        </w:trPr>
        <w:tc>
          <w:tcPr>
            <w:tcW w:w="580" w:type="dxa"/>
            <w:vAlign w:val="bottom"/>
          </w:tcPr>
          <w:p>
            <w:pPr>
              <w:spacing w:after="0"/>
              <w:rPr>
                <w:sz w:val="20"/>
                <w:szCs w:val="20"/>
                <w:color w:val="auto"/>
              </w:rPr>
            </w:pPr>
            <w:r>
              <w:rPr>
                <w:rFonts w:ascii="Courier New" w:cs="Courier New" w:eastAsia="Courier New" w:hAnsi="Courier New"/>
                <w:sz w:val="15"/>
                <w:szCs w:val="15"/>
                <w:color w:val="auto"/>
              </w:rPr>
              <w:t>Plant,</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machinery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equipment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40</w:t>
            </w:r>
          </w:p>
        </w:tc>
      </w:tr>
    </w:tbl>
    <w:p>
      <w:pPr>
        <w:spacing w:after="0" w:line="93" w:lineRule="exact"/>
        <w:rPr>
          <w:sz w:val="20"/>
          <w:szCs w:val="20"/>
          <w:color w:val="auto"/>
        </w:rPr>
      </w:pPr>
    </w:p>
    <w:p>
      <w:pPr>
        <w:ind w:right="3359"/>
        <w:spacing w:after="0" w:line="289" w:lineRule="auto"/>
        <w:rPr>
          <w:sz w:val="20"/>
          <w:szCs w:val="20"/>
          <w:color w:val="auto"/>
        </w:rPr>
      </w:pPr>
      <w:r>
        <w:rPr>
          <w:rFonts w:ascii="Courier New" w:cs="Courier New" w:eastAsia="Courier New" w:hAnsi="Courier New"/>
          <w:sz w:val="14"/>
          <w:szCs w:val="14"/>
          <w:color w:val="auto"/>
        </w:rPr>
        <w:t>Costs of major additions and improvements are capitalized and expenditures for maintenance and repairs which do not extend the lives of the assets are expensed. Upon sale or disposition of property, plant and equipment, the cost and related accumulated depreciation and amortization are eliminated from the accounts and any resultant gain or loss is credited or charged to income.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UNAMORTIZED COST IN EXCESS OF NET ASSETS OF ACQUIRED COMPANIES</w:t>
      </w:r>
    </w:p>
    <w:p>
      <w:pPr>
        <w:spacing w:after="0" w:line="16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Unamortized cost in excess of net assets of acquired companies is being amortized over 35-40 years using the straight-line method. Accumulated amortization amounted to $1,529,000 and $1,138,000, as of March 31, 1998 and 1997, respectively. Subsequent to an acquisition, the Company continually evaluates whether events and circumstances have occurred that indicate the remaining useful life of this asset may warrant revision or that the remaining balance of this asset may not be recoverable.</w:t>
      </w:r>
    </w:p>
    <w:p>
      <w:pPr>
        <w:spacing w:after="0" w:line="82" w:lineRule="exact"/>
        <w:rPr>
          <w:sz w:val="20"/>
          <w:szCs w:val="20"/>
          <w:color w:val="auto"/>
        </w:rPr>
      </w:pPr>
    </w:p>
    <w:p>
      <w:pPr>
        <w:ind w:right="3179"/>
        <w:spacing w:after="0" w:line="289" w:lineRule="auto"/>
        <w:rPr>
          <w:sz w:val="20"/>
          <w:szCs w:val="20"/>
          <w:color w:val="auto"/>
        </w:rPr>
      </w:pPr>
      <w:r>
        <w:rPr>
          <w:rFonts w:ascii="Courier New" w:cs="Courier New" w:eastAsia="Courier New" w:hAnsi="Courier New"/>
          <w:sz w:val="14"/>
          <w:szCs w:val="14"/>
          <w:color w:val="auto"/>
        </w:rPr>
        <w:t>The Company's policy is to assess any impairment in value by making a comparison of the current and projected undiscounted cash flows associated with the acquired companies, to the carrying amount of the unamortized costs in excess of the net assets of the acquired companies. Such carrying amount would be adjusted, if necessary, to reflect any impairment in the value of the asset.</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Revenue is generally recorded in the period when the sale is made or as the services are performed. In the Company's aviation and marine fueling segments, the Company contracts third parties to provide the fuel and/or delivery services. This may cause delays in receiving the necessary information for invoicing. Accordingly, revenue may be recognized in a period subsequent to when the delivery of fuel</w:t>
      </w:r>
    </w:p>
    <w:p>
      <w:pPr>
        <w:spacing w:after="0" w:line="7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33</w:t>
      </w:r>
    </w:p>
    <w:p>
      <w:pPr>
        <w:sectPr>
          <w:pgSz w:w="11900" w:h="16838" w:orient="portrait"/>
          <w:cols w:equalWidth="0" w:num="1">
            <w:col w:w="10219"/>
          </w:cols>
          <w:pgMar w:left="240" w:top="771" w:right="1440" w:bottom="1440" w:gutter="0" w:footer="0" w:header="0"/>
        </w:sectPr>
      </w:pPr>
    </w:p>
    <w:bookmarkStart w:id="35" w:name="page36"/>
    <w:bookmarkEnd w:id="35"/>
    <w:p>
      <w:pPr>
        <w:ind w:right="3439"/>
        <w:spacing w:after="0" w:line="266" w:lineRule="auto"/>
        <w:rPr>
          <w:sz w:val="20"/>
          <w:szCs w:val="20"/>
          <w:color w:val="auto"/>
        </w:rPr>
      </w:pPr>
      <w:r>
        <w:rPr>
          <w:rFonts w:ascii="Courier New" w:cs="Courier New" w:eastAsia="Courier New" w:hAnsi="Courier New"/>
          <w:sz w:val="15"/>
          <w:szCs w:val="15"/>
          <w:color w:val="auto"/>
        </w:rPr>
        <w:t>took place. Costs not yet billed are classified as current assets and are included under Inventories. The Company's revenue recognition policy with respect to the aviation and marine fueling segment does not result in amounts that are materially different than accounting under generally accepted accounting principles.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DERIVATIVES</w:t>
      </w:r>
    </w:p>
    <w:p>
      <w:pPr>
        <w:spacing w:after="0" w:line="169" w:lineRule="exact"/>
        <w:rPr>
          <w:sz w:val="20"/>
          <w:szCs w:val="20"/>
          <w:color w:val="auto"/>
        </w:rPr>
      </w:pPr>
    </w:p>
    <w:p>
      <w:pPr>
        <w:ind w:right="3179"/>
        <w:spacing w:after="0" w:line="269" w:lineRule="auto"/>
        <w:rPr>
          <w:sz w:val="20"/>
          <w:szCs w:val="20"/>
          <w:color w:val="auto"/>
        </w:rPr>
      </w:pPr>
      <w:r>
        <w:rPr>
          <w:rFonts w:ascii="Courier New" w:cs="Courier New" w:eastAsia="Courier New" w:hAnsi="Courier New"/>
          <w:sz w:val="14"/>
          <w:szCs w:val="14"/>
          <w:color w:val="auto"/>
        </w:rPr>
        <w:t>Premiums received or paid for fuel price cap agreements are amortized to premium revenue and expense, respectively, over the terms of the caps. Unamortized premiums are included in Accounts payable and accrued expenses on a net</w:t>
      </w:r>
    </w:p>
    <w:p>
      <w:pPr>
        <w:spacing w:after="0" w:line="1" w:lineRule="exact"/>
        <w:rPr>
          <w:sz w:val="20"/>
          <w:szCs w:val="20"/>
          <w:color w:val="auto"/>
        </w:rPr>
      </w:pPr>
    </w:p>
    <w:p>
      <w:pPr>
        <w:ind w:right="3259"/>
        <w:spacing w:after="0" w:line="248" w:lineRule="auto"/>
        <w:rPr>
          <w:sz w:val="20"/>
          <w:szCs w:val="20"/>
          <w:color w:val="auto"/>
        </w:rPr>
      </w:pPr>
      <w:r>
        <w:rPr>
          <w:rFonts w:ascii="Courier New" w:cs="Courier New" w:eastAsia="Courier New" w:hAnsi="Courier New"/>
          <w:sz w:val="15"/>
          <w:szCs w:val="15"/>
          <w:color w:val="auto"/>
        </w:rPr>
        <w:t>basis. Accounts receivable or payable under fuel price swap agreements related to the physical delivery of product are recognized as deferred gains or losses, which are included in Prepaid expenses and other current assets on a net basis, until the underlying physical delivery transaction is recognized in income. The Company follows the accrual method for fuel price swap agreements which do not involve physical delivery. Under the accrual method, each net receipt due or payment owed under the derivative instrument is recognized in income as fee income or expense, respectively, during the period to which the receipt or payment relates.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69"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The Company and its United States subsidiaries file consolidated income tax returns. In addition, the Company's foreign subsidiaries file income tax returns in their respective countries of incorporation.</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69"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The Company's primary functional currency is the U.S. Dollar which also serves as its reporting currency. Most foreign entities translate monetary assets and liabilities at fiscal year-end exchange rates while non-monetary assets and liabilities are translated at historical rates. Income and expense accounts are translated at the average rates in effect during the year, except for depreciation which is translated at historical rates. The Company's Ecuador joint venture uses the Company's reporting currency as the functional currency (as it operates in a highly inflationary economy) and translates net assets at fiscal year-end rates while income and expense accounts are translated at average exchange rates. Gains or losses from changes in exchange rates are recognized in consolidated income in the year of occurrence and are included in Other, net.</w:t>
      </w:r>
    </w:p>
    <w:p>
      <w:pPr>
        <w:spacing w:after="0" w:line="88"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Company's purchases from certain aviation fuel suppliers are denominated in local currency. Foreign currency exchange gains and losses are included in Other, net, in the period incurred, and amounted to a net loss of $119,000 for the fiscal year ended March 31, 1996. There were no significant foreign currency gains or losses in fiscal years 1998 or 1997.</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In February 1997, the Financial Accounting Standards Board issued Statement of Financial Accounting Standards No. 128, "Earnings per Share" ("SFAS 128"). The Company adopted this standard as of December 31, 1997. Earnings per share information for all prior periods have been restated to conform to the requirements of SFAS 128.</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34</w:t>
      </w:r>
    </w:p>
    <w:p>
      <w:pPr>
        <w:sectPr>
          <w:pgSz w:w="11900" w:h="16838" w:orient="portrait"/>
          <w:cols w:equalWidth="0" w:num="1">
            <w:col w:w="10219"/>
          </w:cols>
          <w:pgMar w:left="240" w:top="771" w:right="1440" w:bottom="1440" w:gutter="0" w:footer="0" w:header="0"/>
        </w:sectPr>
      </w:pPr>
    </w:p>
    <w:bookmarkStart w:id="36" w:name="page37"/>
    <w:bookmarkEnd w:id="36"/>
    <w:p>
      <w:pPr>
        <w:ind w:right="3179"/>
        <w:spacing w:after="0" w:line="261" w:lineRule="auto"/>
        <w:rPr>
          <w:sz w:val="20"/>
          <w:szCs w:val="20"/>
          <w:color w:val="auto"/>
        </w:rPr>
      </w:pPr>
      <w:r>
        <w:rPr>
          <w:rFonts w:ascii="Courier New" w:cs="Courier New" w:eastAsia="Courier New" w:hAnsi="Courier New"/>
          <w:sz w:val="15"/>
          <w:szCs w:val="15"/>
          <w:color w:val="auto"/>
        </w:rPr>
        <w:t>Basic earnings per common share is computed based on the weighted average shares outstanding. Diluted earnings per common share is based on the sum of the weighted average number of common shares outstanding plus common stock equivalents arising out of employee stock options and benefit plans. The Company's net income is the same for basic and diluted earnings per share calculations.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certain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69" w:lineRule="exact"/>
        <w:rPr>
          <w:sz w:val="20"/>
          <w:szCs w:val="20"/>
          <w:color w:val="auto"/>
        </w:rPr>
      </w:pPr>
    </w:p>
    <w:p>
      <w:pPr>
        <w:ind w:right="3439"/>
        <w:spacing w:after="0" w:line="283" w:lineRule="auto"/>
        <w:rPr>
          <w:sz w:val="20"/>
          <w:szCs w:val="20"/>
          <w:color w:val="auto"/>
        </w:rPr>
      </w:pPr>
      <w:r>
        <w:rPr>
          <w:rFonts w:ascii="Courier New" w:cs="Courier New" w:eastAsia="Courier New" w:hAnsi="Courier New"/>
          <w:sz w:val="14"/>
          <w:szCs w:val="14"/>
          <w:color w:val="auto"/>
        </w:rPr>
        <w:t>The estimated fair values of financial instruments which are presented herein have been determined by the Company's management using available market information and appropriate valuation methodologies. However, considerable judgment is required in interpreting market data to develop estimates of fair value. Accordingly, the estimates presented herein are not necessarily indicative of amounts the Company could realize in a current market exchange.</w:t>
      </w:r>
    </w:p>
    <w:p>
      <w:pPr>
        <w:spacing w:after="0" w:line="64"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Cash and cash equivalents, accounts receivable and accounts payable and accrued expenses are reflected in the accompanying consolidated balance sheets at amounts considered by management to reasonably approximate fair value due to their short-term nature.</w:t>
      </w:r>
    </w:p>
    <w:p>
      <w:pPr>
        <w:spacing w:after="0" w:line="69"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Company estimates the fair value of its long-term debt generally using discounted cash flow analysis based on the Company's current borrowing rates for similar types of debt. At March 31, 1998, the carrying value of the long-term debt and the fair value of such instruments was not considered to be significantly different.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69" w:lineRule="exact"/>
        <w:rPr>
          <w:sz w:val="20"/>
          <w:szCs w:val="20"/>
          <w:color w:val="auto"/>
        </w:rPr>
      </w:pPr>
    </w:p>
    <w:p>
      <w:pPr>
        <w:ind w:right="3179"/>
        <w:spacing w:after="0" w:line="269" w:lineRule="auto"/>
        <w:rPr>
          <w:sz w:val="20"/>
          <w:szCs w:val="20"/>
          <w:color w:val="auto"/>
        </w:rPr>
      </w:pPr>
      <w:r>
        <w:rPr>
          <w:rFonts w:ascii="Courier New" w:cs="Courier New" w:eastAsia="Courier New" w:hAnsi="Courier New"/>
          <w:sz w:val="14"/>
          <w:szCs w:val="14"/>
          <w:color w:val="auto"/>
        </w:rPr>
        <w:t>In June 1997, the Financial Accounting Standards Board issued Statement of Financial Accounting Standards No. 130, "Reporting Comprehensive Income" ("SFAS 130"). SFAS No. 130 establishes standards for the reporting and disclosure of comprehensive income and its components which will be presented in association with a company's financial statements. Comprehensive income is defined as the change in a business enterprise's equity during a period arising from transactions, events, or circumstances relating to non-owner sources, such as foreign currency translation adjustments and unrealized gains or losses on available-for-sale securities. It includes all changes in equity during a period except those resulting from investments by or distributions to owners. SFAS No. 130 is effective for fiscal years beginning after December 15, 1997.</w:t>
      </w:r>
    </w:p>
    <w:p>
      <w:pPr>
        <w:spacing w:after="0" w:line="7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"Disclosures About Segments of an Enterprise and Related Information" ("SFAS No. 131"), superseding SFAS No. 14, "Financial Reporting of Segments of a Business Enterprise."</w:t>
      </w:r>
    </w:p>
    <w:p>
      <w:pPr>
        <w:spacing w:after="0" w:line="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35</w:t>
      </w:r>
    </w:p>
    <w:p>
      <w:pPr>
        <w:sectPr>
          <w:pgSz w:w="11900" w:h="16838" w:orient="portrait"/>
          <w:cols w:equalWidth="0" w:num="1">
            <w:col w:w="10219"/>
          </w:cols>
          <w:pgMar w:left="240" w:top="771" w:right="1440" w:bottom="1440" w:gutter="0" w:footer="0" w:header="0"/>
        </w:sectPr>
      </w:pPr>
    </w:p>
    <w:bookmarkStart w:id="37" w:name="page38"/>
    <w:bookmarkEnd w:id="37"/>
    <w:p>
      <w:pPr>
        <w:ind w:left="10" w:right="3179"/>
        <w:spacing w:after="0" w:line="257" w:lineRule="auto"/>
        <w:rPr>
          <w:sz w:val="20"/>
          <w:szCs w:val="20"/>
          <w:color w:val="auto"/>
        </w:rPr>
      </w:pPr>
      <w:r>
        <w:rPr>
          <w:rFonts w:ascii="Courier New" w:cs="Courier New" w:eastAsia="Courier New" w:hAnsi="Courier New"/>
          <w:sz w:val="15"/>
          <w:szCs w:val="15"/>
          <w:color w:val="auto"/>
        </w:rPr>
        <w:t>SFAS No. 131 establishes new standards for reporting operating segment information in annual and interim financial statements. The new standard requires reporting of operating segment information based on the way that financial operations for the entity is organized by senior management for performance evaluation and resource allocation. The standard is effective for fiscal year 1999 and need not be applied to interim financial statements in that year.</w:t>
      </w:r>
    </w:p>
    <w:p>
      <w:pPr>
        <w:spacing w:after="0" w:line="82" w:lineRule="exact"/>
        <w:rPr>
          <w:sz w:val="20"/>
          <w:szCs w:val="20"/>
          <w:color w:val="auto"/>
        </w:rPr>
      </w:pPr>
    </w:p>
    <w:p>
      <w:pPr>
        <w:ind w:left="10" w:right="3179"/>
        <w:spacing w:after="0" w:line="278" w:lineRule="auto"/>
        <w:rPr>
          <w:sz w:val="20"/>
          <w:szCs w:val="20"/>
          <w:color w:val="auto"/>
        </w:rPr>
      </w:pPr>
      <w:r>
        <w:rPr>
          <w:rFonts w:ascii="Courier New" w:cs="Courier New" w:eastAsia="Courier New" w:hAnsi="Courier New"/>
          <w:sz w:val="14"/>
          <w:szCs w:val="14"/>
          <w:color w:val="auto"/>
        </w:rPr>
        <w:t>In March 1998, the Accounting Standards Executive Committee of the American Institute of Certified Public Accountants ("ACSEC") issued Statement of Position ("SOP") 98-1, "Accounting for the Costs of Computer Software Developed or Obtained for Internal Use". SOP 98-1 establishes criteria for determining which costs of developing or obtaining internal-use computer software should be charged to expense and which should be capitalized. SOP 98-1 is effective for all transactions entered into in fiscal years beginning after December 15, 1998.</w:t>
      </w:r>
    </w:p>
    <w:p>
      <w:pPr>
        <w:spacing w:after="0" w:line="70" w:lineRule="exact"/>
        <w:rPr>
          <w:sz w:val="20"/>
          <w:szCs w:val="20"/>
          <w:color w:val="auto"/>
        </w:rPr>
      </w:pPr>
    </w:p>
    <w:p>
      <w:pPr>
        <w:ind w:left="10" w:right="3259"/>
        <w:spacing w:after="0" w:line="275" w:lineRule="auto"/>
        <w:rPr>
          <w:sz w:val="20"/>
          <w:szCs w:val="20"/>
          <w:color w:val="auto"/>
        </w:rPr>
      </w:pPr>
      <w:r>
        <w:rPr>
          <w:rFonts w:ascii="Courier New" w:cs="Courier New" w:eastAsia="Courier New" w:hAnsi="Courier New"/>
          <w:sz w:val="15"/>
          <w:szCs w:val="15"/>
          <w:color w:val="auto"/>
        </w:rPr>
        <w:t>In April 1998, the ACSEC issued SOP 98-5, "Reporting on the Costs of Start-Up Activities". SOP 98-5 establishes standards for the reporting and disclosure of start-up costs, including organization costs. SOP 98-5 is effective for financial statements issued after December 15, 1998.</w:t>
      </w:r>
    </w:p>
    <w:p>
      <w:pPr>
        <w:spacing w:after="0" w:line="69" w:lineRule="exact"/>
        <w:rPr>
          <w:sz w:val="20"/>
          <w:szCs w:val="20"/>
          <w:color w:val="auto"/>
        </w:rPr>
      </w:pPr>
    </w:p>
    <w:p>
      <w:pPr>
        <w:ind w:left="10" w:right="3359"/>
        <w:spacing w:after="0" w:line="293" w:lineRule="auto"/>
        <w:rPr>
          <w:sz w:val="20"/>
          <w:szCs w:val="20"/>
          <w:color w:val="auto"/>
        </w:rPr>
      </w:pPr>
      <w:r>
        <w:rPr>
          <w:rFonts w:ascii="Courier New" w:cs="Courier New" w:eastAsia="Courier New" w:hAnsi="Courier New"/>
          <w:sz w:val="15"/>
          <w:szCs w:val="15"/>
          <w:color w:val="auto"/>
        </w:rPr>
        <w:t>The Company believes that the implementation of the above mentioned accounting pronouncements will not have a material effect on the Company's financial position or results of operations or disclosures.</w:t>
      </w:r>
    </w:p>
    <w:p>
      <w:pPr>
        <w:spacing w:after="0" w:line="56" w:lineRule="exact"/>
        <w:rPr>
          <w:sz w:val="20"/>
          <w:szCs w:val="20"/>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Long-term debt consisted of the following at March 31:</w:t>
      </w:r>
    </w:p>
    <w:p>
      <w:pPr>
        <w:spacing w:after="0" w:line="169"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Equipment notes, payable monthly through</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3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January 2002, interest rates ranging from</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$451,000</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529,000</w:t>
            </w:r>
          </w:p>
        </w:tc>
        <w:tc>
          <w:tcPr>
            <w:tcW w:w="0" w:type="dxa"/>
            <w:vAlign w:val="bottom"/>
          </w:tcPr>
          <w:p>
            <w:pPr>
              <w:spacing w:after="0"/>
              <w:rPr>
                <w:sz w:val="1"/>
                <w:szCs w:val="1"/>
                <w:color w:val="auto"/>
              </w:rPr>
            </w:pPr>
          </w:p>
        </w:tc>
      </w:tr>
      <w:tr>
        <w:trPr>
          <w:trHeight w:val="246"/>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6.76% to 11.00%, secured by equipment</w:t>
            </w:r>
          </w:p>
        </w:tc>
        <w:tc>
          <w:tcPr>
            <w:tcW w:w="128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Promissory notes issued in connection with the</w:t>
            </w:r>
          </w:p>
        </w:tc>
        <w:tc>
          <w:tcPr>
            <w:tcW w:w="1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the Trans-Tec group of</w:t>
            </w:r>
          </w:p>
        </w:tc>
        <w:tc>
          <w:tcPr>
            <w:tcW w:w="12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2,058,000</w:t>
            </w:r>
          </w:p>
        </w:tc>
        <w:tc>
          <w:tcPr>
            <w:tcW w:w="0" w:type="dxa"/>
            <w:vAlign w:val="bottom"/>
          </w:tcPr>
          <w:p>
            <w:pPr>
              <w:spacing w:after="0"/>
              <w:rPr>
                <w:sz w:val="1"/>
                <w:szCs w:val="1"/>
                <w:color w:val="auto"/>
              </w:rPr>
            </w:pPr>
          </w:p>
        </w:tc>
      </w:tr>
      <w:tr>
        <w:trPr>
          <w:trHeight w:val="170"/>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companies, paid off in January 1998</w:t>
            </w:r>
          </w:p>
        </w:tc>
        <w:tc>
          <w:tcPr>
            <w:tcW w:w="12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36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451,000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2,587,000</w:t>
            </w:r>
          </w:p>
        </w:tc>
        <w:tc>
          <w:tcPr>
            <w:tcW w:w="0" w:type="dxa"/>
            <w:vAlign w:val="bottom"/>
          </w:tcPr>
          <w:p>
            <w:pPr>
              <w:spacing w:after="0"/>
              <w:rPr>
                <w:sz w:val="1"/>
                <w:szCs w:val="1"/>
                <w:color w:val="auto"/>
              </w:rPr>
            </w:pPr>
          </w:p>
        </w:tc>
      </w:tr>
      <w:tr>
        <w:trPr>
          <w:trHeight w:val="262"/>
        </w:trPr>
        <w:tc>
          <w:tcPr>
            <w:tcW w:w="4360" w:type="dxa"/>
            <w:vAlign w:val="bottom"/>
          </w:tcPr>
          <w:p>
            <w:pPr>
              <w:ind w:left="360"/>
              <w:spacing w:after="0"/>
              <w:rPr>
                <w:sz w:val="20"/>
                <w:szCs w:val="20"/>
                <w:color w:val="auto"/>
              </w:rPr>
            </w:pPr>
            <w:r>
              <w:rPr>
                <w:rFonts w:ascii="Courier New" w:cs="Courier New" w:eastAsia="Courier New" w:hAnsi="Courier New"/>
                <w:sz w:val="15"/>
                <w:szCs w:val="15"/>
                <w:color w:val="auto"/>
              </w:rPr>
              <w:t>Less current maturities</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2,191,000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2"/>
                <w:szCs w:val="22"/>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$ 396,000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359"/>
        <w:spacing w:after="0" w:line="257" w:lineRule="auto"/>
        <w:rPr>
          <w:sz w:val="20"/>
          <w:szCs w:val="20"/>
          <w:color w:val="auto"/>
        </w:rPr>
      </w:pPr>
      <w:r>
        <w:rPr>
          <w:rFonts w:ascii="Courier New" w:cs="Courier New" w:eastAsia="Courier New" w:hAnsi="Courier New"/>
          <w:sz w:val="15"/>
          <w:szCs w:val="15"/>
          <w:color w:val="auto"/>
        </w:rPr>
        <w:t>The Company has an unsecured credit facility providing a $25,000,000 revolving line of credit with sublimits of $10,000,000 for standby letters of credit and documentary letters of credit. Approximately $5,693,000 in standby letters of credit were outstanding as of March 31, 1998 under the credit facility. The Company also has $100,000 outstanding in standby letters of credit from other financing institutions and has pledged $100,000 of cash as collateral on these letters of credit.</w:t>
      </w:r>
    </w:p>
    <w:p>
      <w:pPr>
        <w:spacing w:after="0" w:line="82"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36</w:t>
      </w:r>
    </w:p>
    <w:p>
      <w:pPr>
        <w:sectPr>
          <w:pgSz w:w="11900" w:h="16838" w:orient="portrait"/>
          <w:cols w:equalWidth="0" w:num="1">
            <w:col w:w="10229"/>
          </w:cols>
          <w:pgMar w:left="230" w:top="771" w:right="1440" w:bottom="1440" w:gutter="0" w:footer="0" w:header="0"/>
        </w:sectPr>
      </w:pPr>
    </w:p>
    <w:bookmarkStart w:id="38" w:name="page39"/>
    <w:bookmarkEnd w:id="38"/>
    <w:p>
      <w:pPr>
        <w:ind w:right="3179"/>
        <w:spacing w:after="0" w:line="254" w:lineRule="auto"/>
        <w:rPr>
          <w:sz w:val="20"/>
          <w:szCs w:val="20"/>
          <w:color w:val="auto"/>
        </w:rPr>
      </w:pPr>
      <w:r>
        <w:rPr>
          <w:rFonts w:ascii="Courier New" w:cs="Courier New" w:eastAsia="Courier New" w:hAnsi="Courier New"/>
          <w:sz w:val="15"/>
          <w:szCs w:val="15"/>
          <w:color w:val="auto"/>
        </w:rPr>
        <w:t>The revolving line of credit bears interest, at the Company's option, at the NationsBank Prime rate, or LIBOR, as defined under the credit facility. Interest is payable quarterly in arrears. The credit facility, in addition to other restrictions, requires the maintenance of certain financial ratios. As of March 31, 1998 and 1997, there were no amounts outstanding under the revolving line of credit. Any outstanding principal and interest will mature on March 1, 2001. As of March 31, 1998, the Company was in compliance with the requirements under the credit facility.</w:t>
      </w:r>
    </w:p>
    <w:p>
      <w:pPr>
        <w:spacing w:after="0" w:line="87" w:lineRule="exact"/>
        <w:rPr>
          <w:sz w:val="20"/>
          <w:szCs w:val="20"/>
          <w:color w:val="auto"/>
        </w:rPr>
      </w:pPr>
    </w:p>
    <w:p>
      <w:pPr>
        <w:ind w:right="3699"/>
        <w:spacing w:after="0" w:line="347" w:lineRule="auto"/>
        <w:rPr>
          <w:sz w:val="20"/>
          <w:szCs w:val="20"/>
          <w:color w:val="auto"/>
        </w:rPr>
      </w:pPr>
      <w:r>
        <w:rPr>
          <w:rFonts w:ascii="Courier New" w:cs="Courier New" w:eastAsia="Courier New" w:hAnsi="Courier New"/>
          <w:sz w:val="15"/>
          <w:szCs w:val="15"/>
          <w:color w:val="auto"/>
        </w:rPr>
        <w:t>Aggregate annual maturities of long-term debt as of March 31, 1998, are as follows:</w:t>
      </w:r>
    </w:p>
    <w:p>
      <w:pPr>
        <w:spacing w:after="0" w:line="17" w:lineRule="exact"/>
        <w:rPr>
          <w:sz w:val="20"/>
          <w:szCs w:val="20"/>
          <w:color w:val="auto"/>
        </w:rPr>
      </w:pPr>
    </w:p>
    <w:tbl>
      <w:tblPr>
        <w:tblLayout w:type="fixed"/>
        <w:tblInd w:w="1660" w:type="dxa"/>
        <w:tblCellMar>
          <w:top w:w="0" w:type="dxa"/>
          <w:left w:w="0" w:type="dxa"/>
          <w:bottom w:w="0" w:type="dxa"/>
          <w:right w:w="0" w:type="dxa"/>
        </w:tblCellMar>
      </w:tblPr>
      <w:tr>
        <w:trPr>
          <w:trHeight w:val="170"/>
        </w:trPr>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1999</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119,000</w:t>
            </w:r>
          </w:p>
        </w:tc>
      </w:tr>
      <w:tr>
        <w:trPr>
          <w:trHeight w:val="170"/>
        </w:trPr>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2000</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126,000</w:t>
            </w:r>
          </w:p>
        </w:tc>
      </w:tr>
      <w:tr>
        <w:trPr>
          <w:trHeight w:val="170"/>
        </w:trPr>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2001</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111,000</w:t>
            </w:r>
          </w:p>
        </w:tc>
      </w:tr>
      <w:tr>
        <w:trPr>
          <w:trHeight w:val="170"/>
        </w:trPr>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2002</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r>
      <w:tr>
        <w:trPr>
          <w:trHeight w:val="170"/>
        </w:trPr>
        <w:tc>
          <w:tcPr>
            <w:tcW w:w="7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451,000</w:t>
            </w:r>
          </w:p>
        </w:tc>
      </w:tr>
      <w:tr>
        <w:trPr>
          <w:trHeight w:val="246"/>
        </w:trPr>
        <w:tc>
          <w:tcPr>
            <w:tcW w:w="7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ind w:right="3359"/>
        <w:spacing w:after="0" w:line="384" w:lineRule="auto"/>
        <w:rPr>
          <w:sz w:val="20"/>
          <w:szCs w:val="20"/>
          <w:color w:val="auto"/>
        </w:rPr>
      </w:pPr>
      <w:r>
        <w:rPr>
          <w:rFonts w:ascii="Courier New" w:cs="Courier New" w:eastAsia="Courier New" w:hAnsi="Courier New"/>
          <w:sz w:val="14"/>
          <w:szCs w:val="14"/>
          <w:color w:val="auto"/>
        </w:rPr>
        <w:t>Interest expense, which is included in Other, net, in the accompanying consolidated statements of income, is as follows for the years 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0"/>
        </w:trPr>
        <w:tc>
          <w:tcPr>
            <w:tcW w:w="214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$ 284,000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$ 395,000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$ 565,000</w:t>
            </w: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1"/>
                <w:szCs w:val="21"/>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2140" w:type="dxa"/>
            <w:vAlign w:val="bottom"/>
          </w:tcPr>
          <w:p>
            <w:pPr>
              <w:spacing w:after="0"/>
              <w:rPr>
                <w:sz w:val="20"/>
                <w:szCs w:val="20"/>
                <w:color w:val="auto"/>
              </w:rPr>
            </w:pPr>
            <w:r>
              <w:rPr>
                <w:rFonts w:ascii="Courier New" w:cs="Courier New" w:eastAsia="Courier New" w:hAnsi="Courier New"/>
                <w:sz w:val="15"/>
                <w:szCs w:val="15"/>
                <w:color w:val="auto"/>
              </w:rPr>
              <w:t>(3)  INCOME TAXES</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619"/>
        <w:spacing w:after="0" w:line="347" w:lineRule="auto"/>
        <w:rPr>
          <w:sz w:val="20"/>
          <w:szCs w:val="20"/>
          <w:color w:val="auto"/>
        </w:rPr>
      </w:pPr>
      <w:r>
        <w:rPr>
          <w:rFonts w:ascii="Courier New" w:cs="Courier New" w:eastAsia="Courier New" w:hAnsi="Courier New"/>
          <w:sz w:val="15"/>
          <w:szCs w:val="15"/>
          <w:color w:val="auto"/>
        </w:rPr>
        <w:t>The provision for income taxes consists of the following components for the years ended 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1998</w:t>
            </w: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1700" w:type="dxa"/>
            <w:vAlign w:val="bottom"/>
            <w:vMerge w:val="restart"/>
          </w:tcPr>
          <w:p>
            <w:pPr>
              <w:spacing w:after="0"/>
              <w:rPr>
                <w:sz w:val="20"/>
                <w:szCs w:val="20"/>
                <w:color w:val="auto"/>
              </w:rPr>
            </w:pPr>
            <w:r>
              <w:rPr>
                <w:rFonts w:ascii="Courier New" w:cs="Courier New" w:eastAsia="Courier New" w:hAnsi="Courier New"/>
                <w:sz w:val="15"/>
                <w:szCs w:val="15"/>
                <w:color w:val="auto"/>
              </w:rPr>
              <w:t>Current:</w:t>
            </w:r>
          </w:p>
        </w:tc>
        <w:tc>
          <w:tcPr>
            <w:tcW w:w="23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1700" w:type="dxa"/>
            <w:vAlign w:val="bottom"/>
            <w:vMerge w:val="continue"/>
          </w:tcPr>
          <w:p>
            <w:pPr>
              <w:spacing w:after="0"/>
              <w:rPr>
                <w:sz w:val="8"/>
                <w:szCs w:val="8"/>
                <w:color w:val="auto"/>
              </w:rPr>
            </w:pPr>
          </w:p>
        </w:tc>
        <w:tc>
          <w:tcPr>
            <w:tcW w:w="11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3"/>
              </w:rPr>
              <w:t>1,976,000</w:t>
            </w:r>
          </w:p>
        </w:tc>
        <w:tc>
          <w:tcPr>
            <w:tcW w:w="1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$ 3,061,000</w:t>
            </w:r>
          </w:p>
        </w:tc>
        <w:tc>
          <w:tcPr>
            <w:tcW w:w="1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$ 3,568,000</w:t>
            </w:r>
          </w:p>
        </w:tc>
        <w:tc>
          <w:tcPr>
            <w:tcW w:w="0" w:type="dxa"/>
            <w:vAlign w:val="bottom"/>
          </w:tcPr>
          <w:p>
            <w:pPr>
              <w:spacing w:after="0"/>
              <w:rPr>
                <w:sz w:val="1"/>
                <w:szCs w:val="1"/>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Federal</w:t>
            </w:r>
          </w:p>
        </w:tc>
        <w:tc>
          <w:tcPr>
            <w:tcW w:w="11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State</w:t>
            </w:r>
          </w:p>
        </w:tc>
        <w:tc>
          <w:tcPr>
            <w:tcW w:w="11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251,000</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417,000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567,000</w:t>
            </w:r>
          </w:p>
        </w:tc>
        <w:tc>
          <w:tcPr>
            <w:tcW w:w="0" w:type="dxa"/>
            <w:vAlign w:val="bottom"/>
          </w:tcPr>
          <w:p>
            <w:pPr>
              <w:spacing w:after="0"/>
              <w:rPr>
                <w:sz w:val="1"/>
                <w:szCs w:val="1"/>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Foreign</w:t>
            </w:r>
          </w:p>
        </w:tc>
        <w:tc>
          <w:tcPr>
            <w:tcW w:w="11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2,287,000</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1,495,000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633,000</w:t>
            </w:r>
          </w:p>
        </w:tc>
        <w:tc>
          <w:tcPr>
            <w:tcW w:w="0" w:type="dxa"/>
            <w:vAlign w:val="bottom"/>
          </w:tcPr>
          <w:p>
            <w:pPr>
              <w:spacing w:after="0"/>
              <w:rPr>
                <w:sz w:val="1"/>
                <w:szCs w:val="1"/>
                <w:color w:val="auto"/>
              </w:rPr>
            </w:pPr>
          </w:p>
        </w:tc>
      </w:tr>
      <w:tr>
        <w:trPr>
          <w:trHeight w:val="246"/>
        </w:trPr>
        <w:tc>
          <w:tcPr>
            <w:tcW w:w="1700" w:type="dxa"/>
            <w:vAlign w:val="bottom"/>
          </w:tcPr>
          <w:p>
            <w:pPr>
              <w:spacing w:after="0"/>
              <w:rPr>
                <w:sz w:val="21"/>
                <w:szCs w:val="21"/>
                <w:color w:val="auto"/>
              </w:rPr>
            </w:pPr>
          </w:p>
        </w:tc>
        <w:tc>
          <w:tcPr>
            <w:tcW w:w="23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4,514,000</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4,973,000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4,768,000</w:t>
            </w:r>
          </w:p>
        </w:tc>
        <w:tc>
          <w:tcPr>
            <w:tcW w:w="0" w:type="dxa"/>
            <w:vAlign w:val="bottom"/>
          </w:tcPr>
          <w:p>
            <w:pPr>
              <w:spacing w:after="0"/>
              <w:rPr>
                <w:sz w:val="1"/>
                <w:szCs w:val="1"/>
                <w:color w:val="auto"/>
              </w:rPr>
            </w:pPr>
          </w:p>
        </w:tc>
      </w:tr>
      <w:tr>
        <w:trPr>
          <w:trHeight w:val="246"/>
        </w:trPr>
        <w:tc>
          <w:tcPr>
            <w:tcW w:w="1700" w:type="dxa"/>
            <w:vAlign w:val="bottom"/>
            <w:vMerge w:val="restart"/>
          </w:tcPr>
          <w:p>
            <w:pPr>
              <w:spacing w:after="0"/>
              <w:rPr>
                <w:sz w:val="20"/>
                <w:szCs w:val="20"/>
                <w:color w:val="auto"/>
              </w:rPr>
            </w:pPr>
            <w:r>
              <w:rPr>
                <w:rFonts w:ascii="Courier New" w:cs="Courier New" w:eastAsia="Courier New" w:hAnsi="Courier New"/>
                <w:sz w:val="15"/>
                <w:szCs w:val="15"/>
                <w:color w:val="auto"/>
              </w:rPr>
              <w:t>Deferred:</w:t>
            </w:r>
          </w:p>
        </w:tc>
        <w:tc>
          <w:tcPr>
            <w:tcW w:w="23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17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1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403,000</w:t>
            </w:r>
          </w:p>
        </w:tc>
        <w:tc>
          <w:tcPr>
            <w:tcW w:w="16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(157,000)</w:t>
            </w:r>
          </w:p>
        </w:tc>
        <w:tc>
          <w:tcPr>
            <w:tcW w:w="1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998,000</w:t>
            </w:r>
          </w:p>
        </w:tc>
        <w:tc>
          <w:tcPr>
            <w:tcW w:w="0" w:type="dxa"/>
            <w:vAlign w:val="bottom"/>
          </w:tcPr>
          <w:p>
            <w:pPr>
              <w:spacing w:after="0"/>
              <w:rPr>
                <w:sz w:val="1"/>
                <w:szCs w:val="1"/>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Federal</w:t>
            </w:r>
          </w:p>
        </w:tc>
        <w:tc>
          <w:tcPr>
            <w:tcW w:w="1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State</w:t>
            </w:r>
          </w:p>
        </w:tc>
        <w:tc>
          <w:tcPr>
            <w:tcW w:w="11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50,000</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(22,000)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138,000</w:t>
            </w:r>
          </w:p>
        </w:tc>
        <w:tc>
          <w:tcPr>
            <w:tcW w:w="0" w:type="dxa"/>
            <w:vAlign w:val="bottom"/>
          </w:tcPr>
          <w:p>
            <w:pPr>
              <w:spacing w:after="0"/>
              <w:rPr>
                <w:sz w:val="1"/>
                <w:szCs w:val="1"/>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Foreign</w:t>
            </w:r>
          </w:p>
        </w:tc>
        <w:tc>
          <w:tcPr>
            <w:tcW w:w="11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(74,000)</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(190,000)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(28,000)</w:t>
            </w:r>
          </w:p>
        </w:tc>
        <w:tc>
          <w:tcPr>
            <w:tcW w:w="0" w:type="dxa"/>
            <w:vAlign w:val="bottom"/>
          </w:tcPr>
          <w:p>
            <w:pPr>
              <w:spacing w:after="0"/>
              <w:rPr>
                <w:sz w:val="1"/>
                <w:szCs w:val="1"/>
                <w:color w:val="auto"/>
              </w:rPr>
            </w:pPr>
          </w:p>
        </w:tc>
      </w:tr>
      <w:tr>
        <w:trPr>
          <w:trHeight w:val="246"/>
        </w:trPr>
        <w:tc>
          <w:tcPr>
            <w:tcW w:w="1700" w:type="dxa"/>
            <w:vAlign w:val="bottom"/>
          </w:tcPr>
          <w:p>
            <w:pPr>
              <w:spacing w:after="0"/>
              <w:rPr>
                <w:sz w:val="21"/>
                <w:szCs w:val="21"/>
                <w:color w:val="auto"/>
              </w:rPr>
            </w:pPr>
          </w:p>
        </w:tc>
        <w:tc>
          <w:tcPr>
            <w:tcW w:w="23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379,000</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(369,000)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1,108,000</w:t>
            </w:r>
          </w:p>
        </w:tc>
        <w:tc>
          <w:tcPr>
            <w:tcW w:w="0" w:type="dxa"/>
            <w:vAlign w:val="bottom"/>
          </w:tcPr>
          <w:p>
            <w:pPr>
              <w:spacing w:after="0"/>
              <w:rPr>
                <w:sz w:val="1"/>
                <w:szCs w:val="1"/>
                <w:color w:val="auto"/>
              </w:rPr>
            </w:pPr>
          </w:p>
        </w:tc>
      </w:tr>
      <w:tr>
        <w:trPr>
          <w:trHeight w:val="246"/>
        </w:trPr>
        <w:tc>
          <w:tcPr>
            <w:tcW w:w="1700" w:type="dxa"/>
            <w:vAlign w:val="bottom"/>
          </w:tcPr>
          <w:p>
            <w:pPr>
              <w:spacing w:after="0"/>
              <w:rPr>
                <w:sz w:val="21"/>
                <w:szCs w:val="21"/>
                <w:color w:val="auto"/>
              </w:rPr>
            </w:pPr>
          </w:p>
        </w:tc>
        <w:tc>
          <w:tcPr>
            <w:tcW w:w="23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70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4,893,000</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$ 4,604,000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$ 5,876,000</w:t>
            </w:r>
          </w:p>
        </w:tc>
        <w:tc>
          <w:tcPr>
            <w:tcW w:w="0" w:type="dxa"/>
            <w:vAlign w:val="bottom"/>
          </w:tcPr>
          <w:p>
            <w:pPr>
              <w:spacing w:after="0"/>
              <w:rPr>
                <w:sz w:val="1"/>
                <w:szCs w:val="1"/>
                <w:color w:val="auto"/>
              </w:rPr>
            </w:pPr>
          </w:p>
        </w:tc>
      </w:tr>
      <w:tr>
        <w:trPr>
          <w:trHeight w:val="246"/>
        </w:trPr>
        <w:tc>
          <w:tcPr>
            <w:tcW w:w="1700" w:type="dxa"/>
            <w:vAlign w:val="bottom"/>
          </w:tcPr>
          <w:p>
            <w:pPr>
              <w:spacing w:after="0"/>
              <w:rPr>
                <w:sz w:val="21"/>
                <w:szCs w:val="21"/>
                <w:color w:val="auto"/>
              </w:rPr>
            </w:pPr>
          </w:p>
        </w:tc>
        <w:tc>
          <w:tcPr>
            <w:tcW w:w="23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The difference between the reported tax provision and the provision computed by applying the statutory U.S. federal income tax rate currently in effect to income before income taxes for each of the</w:t>
      </w:r>
    </w:p>
    <w:p>
      <w:pPr>
        <w:spacing w:after="0" w:line="5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37</w:t>
      </w:r>
    </w:p>
    <w:p>
      <w:pPr>
        <w:sectPr>
          <w:pgSz w:w="11900" w:h="16838" w:orient="portrait"/>
          <w:cols w:equalWidth="0" w:num="1">
            <w:col w:w="10219"/>
          </w:cols>
          <w:pgMar w:left="240" w:top="771" w:right="1440" w:bottom="1440" w:gutter="0" w:footer="0" w:header="0"/>
        </w:sectPr>
      </w:pPr>
    </w:p>
    <w:bookmarkStart w:id="39" w:name="page40"/>
    <w:bookmarkEnd w:id="39"/>
    <w:p>
      <w:pPr>
        <w:ind w:left="10" w:right="3179"/>
        <w:spacing w:after="0" w:line="347" w:lineRule="auto"/>
        <w:rPr>
          <w:sz w:val="20"/>
          <w:szCs w:val="20"/>
          <w:color w:val="auto"/>
        </w:rPr>
      </w:pPr>
      <w:r>
        <w:rPr>
          <w:rFonts w:ascii="Courier New" w:cs="Courier New" w:eastAsia="Courier New" w:hAnsi="Courier New"/>
          <w:sz w:val="15"/>
          <w:szCs w:val="15"/>
          <w:color w:val="auto"/>
        </w:rPr>
        <w:t>three years ended March 31, 1998, is primarily due to state income taxes and the effect of foreign income tax rates.</w:t>
      </w:r>
    </w:p>
    <w:p>
      <w:pPr>
        <w:spacing w:after="0" w:line="17" w:lineRule="exact"/>
        <w:rPr>
          <w:sz w:val="20"/>
          <w:szCs w:val="20"/>
          <w:color w:val="auto"/>
        </w:rPr>
      </w:pPr>
    </w:p>
    <w:p>
      <w:pPr>
        <w:ind w:left="10" w:right="3179"/>
        <w:spacing w:after="0" w:line="273" w:lineRule="auto"/>
        <w:rPr>
          <w:sz w:val="20"/>
          <w:szCs w:val="20"/>
          <w:color w:val="auto"/>
        </w:rPr>
      </w:pPr>
      <w:r>
        <w:rPr>
          <w:rFonts w:ascii="Courier New" w:cs="Courier New" w:eastAsia="Courier New" w:hAnsi="Courier New"/>
          <w:sz w:val="14"/>
          <w:szCs w:val="14"/>
          <w:color w:val="auto"/>
        </w:rPr>
        <w:t>The Company's share of undistributed earnings of foreign subsidiaries not included in its consolidated U.S. federal income tax return that could be subject to additional U.S. federal income taxes if remitted, was approximately $23,467,000 and $13,065,000 at March 31, 1998 and 1997, respectively. The distribution of these earnings would result in additional U.S. federal income taxes to the extent they are not offset by foreign tax credits. No provision has been recorded for the U.S. taxes that could result from the remittance of such earnings since the Company intends to reinvest these earnings outside the U.S. indefinitely and it is not practicable to estimate the amount of such taxes.</w:t>
      </w:r>
    </w:p>
    <w:p>
      <w:pPr>
        <w:spacing w:after="0" w:line="71" w:lineRule="exact"/>
        <w:rPr>
          <w:sz w:val="20"/>
          <w:szCs w:val="20"/>
          <w:color w:val="auto"/>
        </w:rPr>
      </w:pPr>
    </w:p>
    <w:p>
      <w:pPr>
        <w:ind w:left="10" w:right="3979"/>
        <w:spacing w:after="0" w:line="347" w:lineRule="auto"/>
        <w:rPr>
          <w:sz w:val="20"/>
          <w:szCs w:val="20"/>
          <w:color w:val="auto"/>
        </w:rPr>
      </w:pPr>
      <w:r>
        <w:rPr>
          <w:rFonts w:ascii="Courier New" w:cs="Courier New" w:eastAsia="Courier New" w:hAnsi="Courier New"/>
          <w:sz w:val="15"/>
          <w:szCs w:val="15"/>
          <w:color w:val="auto"/>
        </w:rPr>
        <w:t>The temporary differences which comprise the Company's net deferred tax liability are as follows: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25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Excess of provision for bad debts over charge-offs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1,308,000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$ 1,522,000</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Excess of Tax over financial reporting depreciation</w:t>
            </w:r>
          </w:p>
        </w:tc>
        <w:tc>
          <w:tcPr>
            <w:tcW w:w="220" w:type="dxa"/>
            <w:vAlign w:val="bottom"/>
          </w:tcPr>
          <w:p>
            <w:pPr>
              <w:spacing w:after="0"/>
              <w:rPr>
                <w:sz w:val="22"/>
                <w:szCs w:val="22"/>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4"/>
              </w:rPr>
              <w:t>(2,481,000)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(2,006,000)</w:t>
            </w:r>
          </w:p>
        </w:tc>
        <w:tc>
          <w:tcPr>
            <w:tcW w:w="0" w:type="dxa"/>
            <w:vAlign w:val="bottom"/>
          </w:tcPr>
          <w:p>
            <w:pPr>
              <w:spacing w:after="0"/>
              <w:rPr>
                <w:sz w:val="1"/>
                <w:szCs w:val="1"/>
                <w:color w:val="auto"/>
              </w:rPr>
            </w:pPr>
          </w:p>
        </w:tc>
      </w:tr>
      <w:tr>
        <w:trPr>
          <w:trHeight w:val="246"/>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and amortization</w:t>
            </w: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Accrued expenses recognized for financial reporting</w:t>
            </w:r>
          </w:p>
        </w:tc>
        <w:tc>
          <w:tcPr>
            <w:tcW w:w="220" w:type="dxa"/>
            <w:vAlign w:val="bottom"/>
          </w:tcPr>
          <w:p>
            <w:pPr>
              <w:spacing w:after="0"/>
              <w:rPr>
                <w:sz w:val="22"/>
                <w:szCs w:val="22"/>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775,000</w:t>
            </w: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290,000</w:t>
            </w:r>
          </w:p>
        </w:tc>
        <w:tc>
          <w:tcPr>
            <w:tcW w:w="0" w:type="dxa"/>
            <w:vAlign w:val="bottom"/>
          </w:tcPr>
          <w:p>
            <w:pPr>
              <w:spacing w:after="0"/>
              <w:rPr>
                <w:sz w:val="1"/>
                <w:szCs w:val="1"/>
                <w:color w:val="auto"/>
              </w:rPr>
            </w:pPr>
          </w:p>
        </w:tc>
      </w:tr>
      <w:tr>
        <w:trPr>
          <w:trHeight w:val="246"/>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purposes, not currently tax deductible</w:t>
            </w: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Excess of tax over financial reporting amortization</w:t>
            </w:r>
          </w:p>
        </w:tc>
        <w:tc>
          <w:tcPr>
            <w:tcW w:w="220" w:type="dxa"/>
            <w:vAlign w:val="bottom"/>
          </w:tcPr>
          <w:p>
            <w:pPr>
              <w:spacing w:after="0"/>
              <w:rPr>
                <w:sz w:val="22"/>
                <w:szCs w:val="22"/>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(504,000)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(428,000)</w:t>
            </w:r>
          </w:p>
        </w:tc>
        <w:tc>
          <w:tcPr>
            <w:tcW w:w="0" w:type="dxa"/>
            <w:vAlign w:val="bottom"/>
          </w:tcPr>
          <w:p>
            <w:pPr>
              <w:spacing w:after="0"/>
              <w:rPr>
                <w:sz w:val="1"/>
                <w:szCs w:val="1"/>
                <w:color w:val="auto"/>
              </w:rPr>
            </w:pPr>
          </w:p>
        </w:tc>
      </w:tr>
      <w:tr>
        <w:trPr>
          <w:trHeight w:val="246"/>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of identifiable intangibles</w:t>
            </w: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22"/>
                <w:szCs w:val="22"/>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55,000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154,000</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Total deferred tax liability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(468,000)</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8019" w:hanging="10"/>
        <w:spacing w:after="0" w:line="513"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COMMON STOCK ACTIVITY</w:t>
      </w:r>
    </w:p>
    <w:p>
      <w:pPr>
        <w:ind w:left="10" w:right="3359"/>
        <w:spacing w:after="0" w:line="322" w:lineRule="auto"/>
        <w:rPr>
          <w:sz w:val="20"/>
          <w:szCs w:val="20"/>
          <w:color w:val="auto"/>
        </w:rPr>
      </w:pPr>
      <w:r>
        <w:rPr>
          <w:rFonts w:ascii="Courier New" w:cs="Courier New" w:eastAsia="Courier New" w:hAnsi="Courier New"/>
          <w:sz w:val="14"/>
          <w:szCs w:val="14"/>
          <w:color w:val="auto"/>
        </w:rPr>
        <w:t>In August 1997, at the annual meeting of stockholders of the Company, the Company's Articles of Incorporation were amended to increase the number of authorized shares of Common Stock from 10,000,000 shares to 25,000,000 shares.</w:t>
      </w:r>
    </w:p>
    <w:p>
      <w:pPr>
        <w:spacing w:after="0" w:line="40" w:lineRule="exact"/>
        <w:rPr>
          <w:sz w:val="20"/>
          <w:szCs w:val="20"/>
          <w:color w:val="auto"/>
        </w:rPr>
      </w:pPr>
    </w:p>
    <w:p>
      <w:pPr>
        <w:ind w:left="10" w:right="3259"/>
        <w:spacing w:after="0" w:line="266" w:lineRule="auto"/>
        <w:rPr>
          <w:sz w:val="20"/>
          <w:szCs w:val="20"/>
          <w:color w:val="auto"/>
        </w:rPr>
      </w:pPr>
      <w:r>
        <w:rPr>
          <w:rFonts w:ascii="Courier New" w:cs="Courier New" w:eastAsia="Courier New" w:hAnsi="Courier New"/>
          <w:sz w:val="15"/>
          <w:szCs w:val="15"/>
          <w:color w:val="auto"/>
        </w:rPr>
        <w:t>On October 30, 1997, the Board of Directors approved a 3-for-2 stock split for all shares of common stock outstanding as of November 17, 1997. The shares were distributed on December 1, 1997. Accordingly, all share and per share data, as appropriate, have been retroactively adjusted to reflect the effect of this split.</w:t>
      </w:r>
    </w:p>
    <w:p>
      <w:pPr>
        <w:spacing w:after="0" w:line="75"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38</w:t>
      </w:r>
    </w:p>
    <w:p>
      <w:pPr>
        <w:sectPr>
          <w:pgSz w:w="11900" w:h="16838" w:orient="portrait"/>
          <w:cols w:equalWidth="0" w:num="1">
            <w:col w:w="10229"/>
          </w:cols>
          <w:pgMar w:left="230" w:top="77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DIVIDENDS</w:t>
      </w:r>
    </w:p>
    <w:p>
      <w:pPr>
        <w:spacing w:after="0" w:line="169" w:lineRule="exact"/>
        <w:rPr>
          <w:sz w:val="20"/>
          <w:szCs w:val="20"/>
          <w:color w:val="auto"/>
        </w:rPr>
      </w:pPr>
    </w:p>
    <w:p>
      <w:pPr>
        <w:ind w:right="3699"/>
        <w:spacing w:after="0" w:line="384" w:lineRule="auto"/>
        <w:rPr>
          <w:sz w:val="20"/>
          <w:szCs w:val="20"/>
          <w:color w:val="auto"/>
        </w:rPr>
      </w:pPr>
      <w:r>
        <w:rPr>
          <w:rFonts w:ascii="Courier New" w:cs="Courier New" w:eastAsia="Courier New" w:hAnsi="Courier New"/>
          <w:sz w:val="14"/>
          <w:szCs w:val="14"/>
          <w:color w:val="auto"/>
        </w:rPr>
        <w:t>The Company declared cash dividends of $0.20 per share of common stock for fiscal years 1998 and 1997 (restated to reflect the 3-for-2 stock split).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 ACTIVITY</w:t>
      </w:r>
    </w:p>
    <w:p>
      <w:pPr>
        <w:spacing w:after="0" w:line="169" w:lineRule="exact"/>
        <w:rPr>
          <w:sz w:val="20"/>
          <w:szCs w:val="20"/>
          <w:color w:val="auto"/>
        </w:rPr>
      </w:pPr>
    </w:p>
    <w:p>
      <w:pPr>
        <w:ind w:right="3179"/>
        <w:spacing w:after="0" w:line="251" w:lineRule="auto"/>
        <w:rPr>
          <w:sz w:val="20"/>
          <w:szCs w:val="20"/>
          <w:color w:val="auto"/>
        </w:rPr>
      </w:pPr>
      <w:r>
        <w:rPr>
          <w:rFonts w:ascii="Courier New" w:cs="Courier New" w:eastAsia="Courier New" w:hAnsi="Courier New"/>
          <w:sz w:val="15"/>
          <w:szCs w:val="15"/>
          <w:color w:val="auto"/>
        </w:rPr>
        <w:t>The Company has adopted Statement of Financial Accounting Standards No. 123, "Accounting for Stock-Based Compensation" ("SFAS 123"), which was effective for the Company's 1997 fiscal year, and relates to the accounting for stock-based transactions with non-employees. The Company has evaluated the proforma effects of SFAS 123 and determined the effects of SFAS 123 are not material to the Company's consolidated financial position or results of operations. Accordingly, the disclosure provisions of SFAS 123 have been omitted. The Company accounts for its stock-based transactions with employees under the provisions of Accounting Principles Board Opinion No. 25, "Accounting for Stock Issued to Employees" ("APB 25"), as permitted by SFAS 123.</w:t>
      </w:r>
    </w:p>
    <w:p>
      <w:pPr>
        <w:spacing w:after="0" w:line="88" w:lineRule="exact"/>
        <w:rPr>
          <w:sz w:val="20"/>
          <w:szCs w:val="20"/>
          <w:color w:val="auto"/>
        </w:rPr>
      </w:pPr>
    </w:p>
    <w:p>
      <w:pPr>
        <w:ind w:right="3179"/>
        <w:spacing w:after="0" w:line="264" w:lineRule="auto"/>
        <w:rPr>
          <w:sz w:val="20"/>
          <w:szCs w:val="20"/>
          <w:color w:val="auto"/>
        </w:rPr>
      </w:pPr>
      <w:r>
        <w:rPr>
          <w:rFonts w:ascii="Courier New" w:cs="Courier New" w:eastAsia="Courier New" w:hAnsi="Courier New"/>
          <w:sz w:val="14"/>
          <w:szCs w:val="14"/>
          <w:color w:val="auto"/>
        </w:rPr>
        <w:t>In August 1996, the Company's Board of Directors authorized the establishment of the 1996 Employee Stock Option Plan (the "1996 Plan"), which received stockholder approval at the Company's 1997 annual shareholders' meeting. Under the provisions of the 1996 Plan, the Company's Board of Directors is authorized to grant Incentive Stock Options ("ISO") to employees of the Company and its subsidiaries and Non-Qualified Stock Options ("NSO") to employees, independent contractors and agents. The plan permits the issuance of options to purchase up to an aggregate of 750,000 shares of the Company's common stock, adjusted to reflect the three-for-two stock split. The minimum price at which any option may be exercised will be the fair market value of the stock on the date of grant; provided, however, that with respect to ISOs granted to an individual owning more than 10% of the Company's outstanding common stock, the minimum exercise price will be 110% of the fair market value of the common stock on the date of grant. All ISOs granted pursuant to the 1996 Plan must be exercised within ten years after the date of grant, except that ISOs granted to individuals owning more than 10% of the Company's outstanding common stock and NSOs must be exercised within five years after the date of grant.</w:t>
      </w:r>
    </w:p>
    <w:p>
      <w:pPr>
        <w:spacing w:after="0" w:line="260"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The following summarizes the status of the 1996 Employee Stock Option Plan at, and for the year ended, 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0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2680" w:type="dxa"/>
            <w:vAlign w:val="bottom"/>
          </w:tcPr>
          <w:p>
            <w:pPr>
              <w:spacing w:after="0"/>
              <w:rPr>
                <w:sz w:val="21"/>
                <w:szCs w:val="21"/>
                <w:color w:val="auto"/>
              </w:rPr>
            </w:pP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117,500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243,000</w:t>
            </w:r>
          </w:p>
        </w:tc>
        <w:tc>
          <w:tcPr>
            <w:tcW w:w="0" w:type="dxa"/>
            <w:vAlign w:val="bottom"/>
          </w:tcPr>
          <w:p>
            <w:pPr>
              <w:spacing w:after="0"/>
              <w:rPr>
                <w:sz w:val="1"/>
                <w:szCs w:val="1"/>
                <w:color w:val="auto"/>
              </w:rPr>
            </w:pPr>
          </w:p>
        </w:tc>
      </w:tr>
      <w:tr>
        <w:trPr>
          <w:trHeight w:val="246"/>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Per Share Price Range</w:t>
            </w: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$11.67 - $21.00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$11.42</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360,500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243,000</w:t>
            </w:r>
          </w:p>
        </w:tc>
        <w:tc>
          <w:tcPr>
            <w:tcW w:w="0" w:type="dxa"/>
            <w:vAlign w:val="bottom"/>
          </w:tcPr>
          <w:p>
            <w:pPr>
              <w:spacing w:after="0"/>
              <w:rPr>
                <w:sz w:val="1"/>
                <w:szCs w:val="1"/>
                <w:color w:val="auto"/>
              </w:rPr>
            </w:pPr>
          </w:p>
        </w:tc>
      </w:tr>
      <w:tr>
        <w:trPr>
          <w:trHeight w:val="170"/>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Per Share Price Range</w:t>
            </w: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$11.42 - $21.00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$11.42</w:t>
            </w:r>
          </w:p>
        </w:tc>
        <w:tc>
          <w:tcPr>
            <w:tcW w:w="0" w:type="dxa"/>
            <w:vAlign w:val="bottom"/>
          </w:tcPr>
          <w:p>
            <w:pPr>
              <w:spacing w:after="0"/>
              <w:rPr>
                <w:sz w:val="1"/>
                <w:szCs w:val="1"/>
                <w:color w:val="auto"/>
              </w:rPr>
            </w:pPr>
          </w:p>
        </w:tc>
      </w:tr>
      <w:tr>
        <w:trPr>
          <w:trHeight w:val="170"/>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Per</w:t>
            </w:r>
          </w:p>
        </w:tc>
        <w:tc>
          <w:tcPr>
            <w:tcW w:w="20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$13.76</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$11.42</w:t>
            </w:r>
          </w:p>
        </w:tc>
        <w:tc>
          <w:tcPr>
            <w:tcW w:w="0" w:type="dxa"/>
            <w:vAlign w:val="bottom"/>
          </w:tcPr>
          <w:p>
            <w:pPr>
              <w:spacing w:after="0"/>
              <w:rPr>
                <w:sz w:val="1"/>
                <w:szCs w:val="1"/>
                <w:color w:val="auto"/>
              </w:rPr>
            </w:pPr>
          </w:p>
        </w:tc>
      </w:tr>
      <w:tr>
        <w:trPr>
          <w:trHeight w:val="170"/>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Share Price</w:t>
            </w:r>
          </w:p>
        </w:tc>
        <w:tc>
          <w:tcPr>
            <w:tcW w:w="20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w:t>
            </w:r>
          </w:p>
        </w:tc>
        <w:tc>
          <w:tcPr>
            <w:tcW w:w="20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8.8 years</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9.4 years</w:t>
            </w:r>
          </w:p>
        </w:tc>
        <w:tc>
          <w:tcPr>
            <w:tcW w:w="0" w:type="dxa"/>
            <w:vAlign w:val="bottom"/>
          </w:tcPr>
          <w:p>
            <w:pPr>
              <w:spacing w:after="0"/>
              <w:rPr>
                <w:sz w:val="1"/>
                <w:szCs w:val="1"/>
                <w:color w:val="auto"/>
              </w:rPr>
            </w:pPr>
          </w:p>
        </w:tc>
      </w:tr>
      <w:tr>
        <w:trPr>
          <w:trHeight w:val="246"/>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Contractual Life</w:t>
            </w:r>
          </w:p>
        </w:tc>
        <w:tc>
          <w:tcPr>
            <w:tcW w:w="20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Available for future grant</w:t>
            </w: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389,500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507,000</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17,516</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None</w:t>
            </w:r>
          </w:p>
        </w:tc>
        <w:tc>
          <w:tcPr>
            <w:tcW w:w="0" w:type="dxa"/>
            <w:vAlign w:val="bottom"/>
          </w:tcPr>
          <w:p>
            <w:pPr>
              <w:spacing w:after="0"/>
              <w:rPr>
                <w:sz w:val="1"/>
                <w:szCs w:val="1"/>
                <w:color w:val="auto"/>
              </w:rPr>
            </w:pPr>
          </w:p>
        </w:tc>
      </w:tr>
      <w:tr>
        <w:trPr>
          <w:trHeight w:val="170"/>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Per Share Price Range</w:t>
            </w: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$11.42</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Per</w:t>
            </w:r>
          </w:p>
        </w:tc>
        <w:tc>
          <w:tcPr>
            <w:tcW w:w="20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$11.42</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Share Price</w:t>
            </w:r>
          </w:p>
        </w:tc>
        <w:tc>
          <w:tcPr>
            <w:tcW w:w="2080" w:type="dxa"/>
            <w:vAlign w:val="bottom"/>
            <w:vMerge w:val="continue"/>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39</w:t>
      </w:r>
    </w:p>
    <w:p>
      <w:pPr>
        <w:sectPr>
          <w:pgSz w:w="11900" w:h="16838" w:orient="portrait"/>
          <w:cols w:equalWidth="0" w:num="1">
            <w:col w:w="10219"/>
          </w:cols>
          <w:pgMar w:left="240" w:top="771" w:right="1440" w:bottom="1440" w:gutter="0" w:footer="0" w:header="0"/>
        </w:sectPr>
      </w:pPr>
    </w:p>
    <w:bookmarkStart w:id="41" w:name="page42"/>
    <w:bookmarkEnd w:id="41"/>
    <w:p>
      <w:pPr>
        <w:ind w:right="100"/>
        <w:spacing w:after="0" w:line="275" w:lineRule="auto"/>
        <w:rPr>
          <w:sz w:val="20"/>
          <w:szCs w:val="20"/>
          <w:color w:val="auto"/>
        </w:rPr>
      </w:pPr>
      <w:r>
        <w:rPr>
          <w:rFonts w:ascii="Courier New" w:cs="Courier New" w:eastAsia="Courier New" w:hAnsi="Courier New"/>
          <w:sz w:val="15"/>
          <w:szCs w:val="15"/>
          <w:color w:val="auto"/>
        </w:rPr>
        <w:t>The Company's 1986 Employee Stock Option Plan expired in January 1996. Options granted, but not yet exercised, survive the 1986 Employee Stock Option Plan until the options expire. The following summarizes the status of the 1986 Employee Stock Option Plan at, and for the year ended, March 31:</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1998</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r>
      <w:tr>
        <w:trPr>
          <w:trHeight w:val="246"/>
        </w:trPr>
        <w:tc>
          <w:tcPr>
            <w:tcW w:w="3560" w:type="dxa"/>
            <w:vAlign w:val="bottom"/>
          </w:tcPr>
          <w:p>
            <w:pPr>
              <w:spacing w:after="0"/>
              <w:rPr>
                <w:sz w:val="21"/>
                <w:szCs w:val="21"/>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35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None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246"/>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Per Share Price Range</w:t>
            </w:r>
          </w:p>
        </w:tc>
        <w:tc>
          <w:tcPr>
            <w:tcW w:w="18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Adjustment for 3:2 stock split</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114,243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None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5,250</w:t>
            </w:r>
          </w:p>
        </w:tc>
      </w:tr>
      <w:tr>
        <w:trPr>
          <w:trHeight w:val="262"/>
        </w:trPr>
        <w:tc>
          <w:tcPr>
            <w:tcW w:w="35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167,634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54,375</w:t>
            </w: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Per Share Price Range</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$6.55 - $8.39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$9.08 - $9.33</w:t>
            </w:r>
          </w:p>
        </w:tc>
      </w:tr>
      <w:tr>
        <w:trPr>
          <w:trHeight w:val="246"/>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Proceeds received by the Company</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$1,158,000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$499,000</w:t>
            </w:r>
          </w:p>
        </w:tc>
      </w:tr>
      <w:tr>
        <w:trPr>
          <w:trHeight w:val="26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175,091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228,482</w:t>
            </w: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Per Share Price Range</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$6.22 - $8.39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$9.33 - $12.58</w:t>
            </w: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Per Share Price</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$10.55</w:t>
            </w:r>
          </w:p>
        </w:tc>
      </w:tr>
      <w:tr>
        <w:trPr>
          <w:trHeight w:val="246"/>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Contractual Life</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 years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6.4 years</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Available for future grant</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None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262"/>
        </w:trPr>
        <w:tc>
          <w:tcPr>
            <w:tcW w:w="356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155,670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202,588</w:t>
            </w: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Per Share Price Range</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$6.22 - $8.39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$9.33 - $10.33</w:t>
            </w:r>
          </w:p>
        </w:tc>
      </w:tr>
      <w:tr>
        <w:trPr>
          <w:trHeight w:val="246"/>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Per Share Price</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$10.29</w:t>
            </w:r>
          </w:p>
        </w:tc>
      </w:tr>
    </w:tbl>
    <w:p>
      <w:pPr>
        <w:spacing w:after="0" w:line="200" w:lineRule="exact"/>
        <w:rPr>
          <w:sz w:val="20"/>
          <w:szCs w:val="20"/>
          <w:color w:val="auto"/>
        </w:rPr>
      </w:pPr>
    </w:p>
    <w:p>
      <w:pPr>
        <w:spacing w:after="0" w:line="232" w:lineRule="exact"/>
        <w:rPr>
          <w:sz w:val="20"/>
          <w:szCs w:val="20"/>
          <w:color w:val="auto"/>
        </w:rPr>
      </w:pPr>
    </w:p>
    <w:p>
      <w:pPr>
        <w:spacing w:after="0" w:line="254" w:lineRule="auto"/>
        <w:rPr>
          <w:sz w:val="20"/>
          <w:szCs w:val="20"/>
          <w:color w:val="auto"/>
        </w:rPr>
      </w:pPr>
      <w:r>
        <w:rPr>
          <w:rFonts w:ascii="Courier New" w:cs="Courier New" w:eastAsia="Courier New" w:hAnsi="Courier New"/>
          <w:sz w:val="15"/>
          <w:szCs w:val="15"/>
          <w:color w:val="auto"/>
        </w:rPr>
        <w:t>In addition to the options shown in the above tables, prior to 1996 the Company issued certain non-qualified options outside of the 1986 and 1996 stock option plans. As of March 31, 1998, such non-qualified stock options entitled the holders thereof to purchase a total of 45,898 shares of the Company's common stock at an exercise price ranging from $6.89 to $8.39 per share. All such options are currently exercisable. As of March 31, 1998, the weighted average per share price and contractual life of these options is $7.56 and 4.2 years, respectively.</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NON-EMPLOYEE DIRECTORS STOCK OPTION PLAN</w:t>
      </w:r>
    </w:p>
    <w:p>
      <w:pPr>
        <w:spacing w:after="0" w:line="169" w:lineRule="exact"/>
        <w:rPr>
          <w:sz w:val="20"/>
          <w:szCs w:val="20"/>
          <w:color w:val="auto"/>
        </w:rPr>
      </w:pPr>
    </w:p>
    <w:p>
      <w:pPr>
        <w:ind w:right="100"/>
        <w:spacing w:after="0" w:line="266" w:lineRule="auto"/>
        <w:rPr>
          <w:sz w:val="20"/>
          <w:szCs w:val="20"/>
          <w:color w:val="auto"/>
        </w:rPr>
      </w:pPr>
      <w:r>
        <w:rPr>
          <w:rFonts w:ascii="Courier New" w:cs="Courier New" w:eastAsia="Courier New" w:hAnsi="Courier New"/>
          <w:sz w:val="15"/>
          <w:szCs w:val="15"/>
          <w:color w:val="auto"/>
        </w:rPr>
        <w:t>In August, 1994, at the annual meeting of the stockholders of the Company, the 1993 Non-Employee Directors Stock Option Plan ("1993 Directors Plan") was adopted. The 1993 Directors Plan was amended in August 1997 by stockholders' vote to increase the number of shares reserved for issuance from 50,000 shares to 100,000 shares.</w:t>
      </w:r>
    </w:p>
    <w:p>
      <w:pPr>
        <w:spacing w:after="0" w:line="75" w:lineRule="exact"/>
        <w:rPr>
          <w:sz w:val="20"/>
          <w:szCs w:val="20"/>
          <w:color w:val="auto"/>
        </w:rPr>
      </w:pPr>
    </w:p>
    <w:p>
      <w:pPr>
        <w:ind w:right="100"/>
        <w:spacing w:after="0" w:line="261" w:lineRule="auto"/>
        <w:rPr>
          <w:sz w:val="20"/>
          <w:szCs w:val="20"/>
          <w:color w:val="auto"/>
        </w:rPr>
      </w:pPr>
      <w:r>
        <w:rPr>
          <w:rFonts w:ascii="Courier New" w:cs="Courier New" w:eastAsia="Courier New" w:hAnsi="Courier New"/>
          <w:sz w:val="15"/>
          <w:szCs w:val="15"/>
          <w:color w:val="auto"/>
        </w:rPr>
        <w:t>Under the 1993 Directors Plan, members of the Board of Directors who are not employees of the Company or any of its subsidiaries or affiliates will receive annual stock options to purchase common stock in the Company pursuant to the following formula. Each non-employee director will receive a non-qualified option to purchase 2,500 shares when such person is first elected to the Board of</w:t>
      </w:r>
    </w:p>
    <w:p>
      <w:pPr>
        <w:spacing w:after="0" w:line="7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1996</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5"/>
          <w:szCs w:val="15"/>
          <w:color w:val="auto"/>
        </w:rPr>
        <w:t>98,091</w:t>
      </w:r>
    </w:p>
    <w:p>
      <w:pPr>
        <w:spacing w:after="0" w:line="26"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4"/>
          <w:szCs w:val="14"/>
          <w:color w:val="auto"/>
        </w:rPr>
        <w:t>$10.33 - $12.58</w:t>
      </w:r>
    </w:p>
    <w:p>
      <w:pPr>
        <w:spacing w:after="0" w:line="154"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5"/>
          <w:szCs w:val="15"/>
          <w:color w:val="auto"/>
        </w:rPr>
        <w:t>86,464</w:t>
      </w:r>
    </w:p>
    <w:p>
      <w:pPr>
        <w:spacing w:after="0" w:line="169"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5"/>
          <w:szCs w:val="15"/>
          <w:color w:val="auto"/>
        </w:rPr>
        <w:t>69,375</w:t>
      </w:r>
    </w:p>
    <w:p>
      <w:pPr>
        <w:spacing w:after="0" w:line="25"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5"/>
          <w:szCs w:val="15"/>
          <w:color w:val="auto"/>
        </w:rPr>
        <w:t>$2.00 - $9.33</w:t>
      </w:r>
    </w:p>
    <w:p>
      <w:pPr>
        <w:jc w:val="right"/>
        <w:ind w:right="1499"/>
        <w:spacing w:after="0"/>
        <w:rPr>
          <w:sz w:val="20"/>
          <w:szCs w:val="20"/>
          <w:color w:val="auto"/>
        </w:rPr>
      </w:pPr>
      <w:r>
        <w:rPr>
          <w:rFonts w:ascii="Courier New" w:cs="Courier New" w:eastAsia="Courier New" w:hAnsi="Courier New"/>
          <w:sz w:val="15"/>
          <w:szCs w:val="15"/>
          <w:color w:val="auto"/>
        </w:rPr>
        <w:t>531,000</w:t>
      </w:r>
    </w:p>
    <w:p>
      <w:pPr>
        <w:spacing w:after="0" w:line="143"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5"/>
          <w:szCs w:val="15"/>
          <w:color w:val="auto"/>
        </w:rPr>
        <w:t>288,107</w:t>
      </w:r>
    </w:p>
    <w:p>
      <w:pPr>
        <w:spacing w:after="0" w:line="25"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5"/>
          <w:szCs w:val="15"/>
          <w:color w:val="auto"/>
        </w:rPr>
        <w:t>$9.08 - $12.58</w:t>
      </w:r>
    </w:p>
    <w:p>
      <w:pPr>
        <w:jc w:val="right"/>
        <w:ind w:right="1499"/>
        <w:spacing w:after="0"/>
        <w:rPr>
          <w:sz w:val="20"/>
          <w:szCs w:val="20"/>
          <w:color w:val="auto"/>
        </w:rPr>
      </w:pPr>
      <w:r>
        <w:rPr>
          <w:rFonts w:ascii="Courier New" w:cs="Courier New" w:eastAsia="Courier New" w:hAnsi="Courier New"/>
          <w:sz w:val="15"/>
          <w:szCs w:val="15"/>
          <w:color w:val="auto"/>
        </w:rPr>
        <w:t>$ 10.29</w:t>
      </w:r>
    </w:p>
    <w:p>
      <w:pPr>
        <w:jc w:val="right"/>
        <w:ind w:right="1499"/>
        <w:spacing w:after="0"/>
        <w:rPr>
          <w:sz w:val="20"/>
          <w:szCs w:val="20"/>
          <w:color w:val="auto"/>
        </w:rPr>
      </w:pPr>
      <w:r>
        <w:rPr>
          <w:rFonts w:ascii="Courier New" w:cs="Courier New" w:eastAsia="Courier New" w:hAnsi="Courier New"/>
          <w:sz w:val="15"/>
          <w:szCs w:val="15"/>
          <w:color w:val="auto"/>
        </w:rPr>
        <w:t>7.3 years</w:t>
      </w:r>
    </w:p>
    <w:p>
      <w:pPr>
        <w:spacing w:after="0" w:line="143"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5"/>
          <w:szCs w:val="15"/>
          <w:color w:val="auto"/>
        </w:rPr>
        <w:t>153,489</w:t>
      </w:r>
    </w:p>
    <w:p>
      <w:pPr>
        <w:spacing w:after="0" w:line="169"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5"/>
          <w:szCs w:val="15"/>
          <w:color w:val="auto"/>
        </w:rPr>
        <w:t>120,707</w:t>
      </w:r>
    </w:p>
    <w:p>
      <w:pPr>
        <w:spacing w:after="0" w:line="25"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5"/>
          <w:szCs w:val="15"/>
          <w:color w:val="auto"/>
        </w:rPr>
        <w:t>$9.33 - $9.83</w:t>
      </w:r>
    </w:p>
    <w:p>
      <w:pPr>
        <w:jc w:val="right"/>
        <w:ind w:right="1499"/>
        <w:spacing w:after="0"/>
        <w:rPr>
          <w:sz w:val="20"/>
          <w:szCs w:val="20"/>
          <w:color w:val="auto"/>
        </w:rPr>
      </w:pPr>
      <w:r>
        <w:rPr>
          <w:rFonts w:ascii="Courier New" w:cs="Courier New" w:eastAsia="Courier New" w:hAnsi="Courier New"/>
          <w:sz w:val="15"/>
          <w:szCs w:val="15"/>
          <w:color w:val="auto"/>
        </w:rPr>
        <w:t>$9.60</w:t>
      </w:r>
    </w:p>
    <w:p>
      <w:pPr>
        <w:sectPr>
          <w:pgSz w:w="11900" w:h="16838" w:orient="portrait"/>
          <w:cols w:equalWidth="0" w:num="2">
            <w:col w:w="6960" w:space="440"/>
            <w:col w:w="2819"/>
          </w:cols>
          <w:pgMar w:left="240" w:top="771" w:right="1440" w:bottom="1440" w:gutter="0" w:footer="0" w:header="0"/>
        </w:sectPr>
      </w:pPr>
    </w:p>
    <w:bookmarkStart w:id="42" w:name="page43"/>
    <w:bookmarkEnd w:id="42"/>
    <w:p>
      <w:pPr>
        <w:ind w:left="10" w:right="3439"/>
        <w:spacing w:after="0" w:line="300" w:lineRule="auto"/>
        <w:rPr>
          <w:sz w:val="20"/>
          <w:szCs w:val="20"/>
          <w:color w:val="auto"/>
        </w:rPr>
      </w:pPr>
      <w:r>
        <w:rPr>
          <w:rFonts w:ascii="Courier New" w:cs="Courier New" w:eastAsia="Courier New" w:hAnsi="Courier New"/>
          <w:sz w:val="14"/>
          <w:szCs w:val="14"/>
          <w:color w:val="auto"/>
        </w:rPr>
        <w:t>Directors and will receive a non-qualified option to purchase 2,500 shares each year that the individual is re-elected. As of March 31, 1998, options to purchase 46,875 shares of the Company's common stock remain outstanding under the 1993 Directors Plan and 39,375 shares are available for future grant.</w:t>
      </w:r>
    </w:p>
    <w:p>
      <w:pPr>
        <w:spacing w:after="0" w:line="55" w:lineRule="exact"/>
        <w:rPr>
          <w:sz w:val="20"/>
          <w:szCs w:val="20"/>
          <w:color w:val="auto"/>
        </w:rPr>
      </w:pPr>
    </w:p>
    <w:p>
      <w:pPr>
        <w:ind w:left="10" w:right="3359"/>
        <w:spacing w:after="0" w:line="322" w:lineRule="auto"/>
        <w:rPr>
          <w:sz w:val="20"/>
          <w:szCs w:val="20"/>
          <w:color w:val="auto"/>
        </w:rPr>
      </w:pPr>
      <w:r>
        <w:rPr>
          <w:rFonts w:ascii="Courier New" w:cs="Courier New" w:eastAsia="Courier New" w:hAnsi="Courier New"/>
          <w:sz w:val="14"/>
          <w:szCs w:val="14"/>
          <w:color w:val="auto"/>
        </w:rPr>
        <w:t>The exercise price for options granted under the Plan may not be less than the fair market value of the common stock, which is defined as the closing bid quotation for the common stock at the end of the day preceding the grant.</w:t>
      </w:r>
    </w:p>
    <w:p>
      <w:pPr>
        <w:spacing w:after="0" w:line="40" w:lineRule="exact"/>
        <w:rPr>
          <w:sz w:val="20"/>
          <w:szCs w:val="20"/>
          <w:color w:val="auto"/>
        </w:rPr>
      </w:pPr>
    </w:p>
    <w:p>
      <w:pPr>
        <w:ind w:left="10" w:right="3259"/>
        <w:spacing w:after="0" w:line="322" w:lineRule="auto"/>
        <w:rPr>
          <w:sz w:val="20"/>
          <w:szCs w:val="20"/>
          <w:color w:val="auto"/>
        </w:rPr>
      </w:pPr>
      <w:r>
        <w:rPr>
          <w:rFonts w:ascii="Courier New" w:cs="Courier New" w:eastAsia="Courier New" w:hAnsi="Courier New"/>
          <w:sz w:val="14"/>
          <w:szCs w:val="14"/>
          <w:color w:val="auto"/>
        </w:rPr>
        <w:t>Options granted under the Plan become fully exercisable one year after the date of grant. All options expire five years after the date of grant. The exercise price must be paid in cash or in common stock, subject to certain restrictions.</w:t>
      </w:r>
    </w:p>
    <w:p>
      <w:pPr>
        <w:spacing w:after="0" w:line="40" w:lineRule="exact"/>
        <w:rPr>
          <w:sz w:val="20"/>
          <w:szCs w:val="20"/>
          <w:color w:val="auto"/>
        </w:rPr>
      </w:pPr>
    </w:p>
    <w:p>
      <w:pPr>
        <w:ind w:left="10" w:right="7319" w:hanging="10"/>
        <w:spacing w:after="0" w:line="478" w:lineRule="auto"/>
        <w:tabs>
          <w:tab w:leader="none" w:pos="36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 COMMITMENTS</w:t>
      </w:r>
    </w:p>
    <w:p>
      <w:pPr>
        <w:spacing w:after="0" w:line="1" w:lineRule="exact"/>
        <w:rPr>
          <w:sz w:val="20"/>
          <w:szCs w:val="20"/>
          <w:color w:val="auto"/>
        </w:rPr>
      </w:pPr>
    </w:p>
    <w:p>
      <w:pPr>
        <w:ind w:left="10" w:right="3439"/>
        <w:spacing w:after="0" w:line="257" w:lineRule="auto"/>
        <w:rPr>
          <w:sz w:val="20"/>
          <w:szCs w:val="20"/>
          <w:color w:val="auto"/>
        </w:rPr>
      </w:pPr>
      <w:r>
        <w:rPr>
          <w:rFonts w:ascii="Courier New" w:cs="Courier New" w:eastAsia="Courier New" w:hAnsi="Courier New"/>
          <w:sz w:val="15"/>
          <w:szCs w:val="15"/>
          <w:color w:val="auto"/>
        </w:rPr>
        <w:t>The Company leases premises in New Orleans, Louisiana and Plant City, Florida from trusts co-managed by the President of the Company under two operating leases with rent aggregating $101,000 per year. The leases expire in August 2001. The Company has an option to purchase the properties at current market value at any time during the lease term. The Company intends to exercise the purchase options on both leases. The Company also leases office space and railroad tank cars from unrelated third parties.</w:t>
      </w:r>
    </w:p>
    <w:p>
      <w:pPr>
        <w:spacing w:after="0" w:line="82" w:lineRule="exact"/>
        <w:rPr>
          <w:sz w:val="20"/>
          <w:szCs w:val="20"/>
          <w:color w:val="auto"/>
        </w:rPr>
      </w:pPr>
    </w:p>
    <w:p>
      <w:pPr>
        <w:ind w:left="10" w:right="3179"/>
        <w:spacing w:after="0" w:line="347" w:lineRule="auto"/>
        <w:rPr>
          <w:sz w:val="20"/>
          <w:szCs w:val="20"/>
          <w:color w:val="auto"/>
        </w:rPr>
      </w:pPr>
      <w:r>
        <w:rPr>
          <w:rFonts w:ascii="Courier New" w:cs="Courier New" w:eastAsia="Courier New" w:hAnsi="Courier New"/>
          <w:sz w:val="15"/>
          <w:szCs w:val="15"/>
          <w:color w:val="auto"/>
        </w:rPr>
        <w:t>At March 31, 1998, the future minimum lease payments under operating leases with an initial non-cancelable term in excess of one year were as follows:</w:t>
      </w:r>
    </w:p>
    <w:p>
      <w:pPr>
        <w:spacing w:after="0" w:line="17"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LEASES</w:t>
            </w:r>
          </w:p>
        </w:tc>
        <w:tc>
          <w:tcPr>
            <w:tcW w:w="0" w:type="dxa"/>
            <w:vAlign w:val="bottom"/>
          </w:tcPr>
          <w:p>
            <w:pPr>
              <w:spacing w:after="0"/>
              <w:rPr>
                <w:sz w:val="1"/>
                <w:szCs w:val="1"/>
                <w:color w:val="auto"/>
              </w:rPr>
            </w:pPr>
          </w:p>
        </w:tc>
      </w:tr>
      <w:tr>
        <w:trPr>
          <w:trHeight w:val="170"/>
        </w:trPr>
        <w:tc>
          <w:tcPr>
            <w:tcW w:w="26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00" w:type="dxa"/>
            <w:vAlign w:val="bottom"/>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$1,357,000</w:t>
            </w:r>
          </w:p>
        </w:tc>
        <w:tc>
          <w:tcPr>
            <w:tcW w:w="0" w:type="dxa"/>
            <w:vAlign w:val="bottom"/>
          </w:tcPr>
          <w:p>
            <w:pPr>
              <w:spacing w:after="0"/>
              <w:rPr>
                <w:sz w:val="1"/>
                <w:szCs w:val="1"/>
                <w:color w:val="auto"/>
              </w:rPr>
            </w:pPr>
          </w:p>
        </w:tc>
      </w:tr>
      <w:tr>
        <w:trPr>
          <w:trHeight w:val="170"/>
        </w:trPr>
        <w:tc>
          <w:tcPr>
            <w:tcW w:w="2600" w:type="dxa"/>
            <w:vAlign w:val="bottom"/>
          </w:tcPr>
          <w:p>
            <w:pPr>
              <w:ind w:left="70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1,186,000</w:t>
            </w:r>
          </w:p>
        </w:tc>
        <w:tc>
          <w:tcPr>
            <w:tcW w:w="0" w:type="dxa"/>
            <w:vAlign w:val="bottom"/>
          </w:tcPr>
          <w:p>
            <w:pPr>
              <w:spacing w:after="0"/>
              <w:rPr>
                <w:sz w:val="1"/>
                <w:szCs w:val="1"/>
                <w:color w:val="auto"/>
              </w:rPr>
            </w:pPr>
          </w:p>
        </w:tc>
      </w:tr>
      <w:tr>
        <w:trPr>
          <w:trHeight w:val="170"/>
        </w:trPr>
        <w:tc>
          <w:tcPr>
            <w:tcW w:w="2600" w:type="dxa"/>
            <w:vAlign w:val="bottom"/>
          </w:tcPr>
          <w:p>
            <w:pPr>
              <w:ind w:left="700"/>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1,046,000</w:t>
            </w:r>
          </w:p>
        </w:tc>
        <w:tc>
          <w:tcPr>
            <w:tcW w:w="0" w:type="dxa"/>
            <w:vAlign w:val="bottom"/>
          </w:tcPr>
          <w:p>
            <w:pPr>
              <w:spacing w:after="0"/>
              <w:rPr>
                <w:sz w:val="1"/>
                <w:szCs w:val="1"/>
                <w:color w:val="auto"/>
              </w:rPr>
            </w:pPr>
          </w:p>
        </w:tc>
      </w:tr>
      <w:tr>
        <w:trPr>
          <w:trHeight w:val="170"/>
        </w:trPr>
        <w:tc>
          <w:tcPr>
            <w:tcW w:w="2600" w:type="dxa"/>
            <w:vAlign w:val="bottom"/>
          </w:tcPr>
          <w:p>
            <w:pPr>
              <w:ind w:left="700"/>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909,000</w:t>
            </w:r>
          </w:p>
        </w:tc>
        <w:tc>
          <w:tcPr>
            <w:tcW w:w="0" w:type="dxa"/>
            <w:vAlign w:val="bottom"/>
          </w:tcPr>
          <w:p>
            <w:pPr>
              <w:spacing w:after="0"/>
              <w:rPr>
                <w:sz w:val="1"/>
                <w:szCs w:val="1"/>
                <w:color w:val="auto"/>
              </w:rPr>
            </w:pPr>
          </w:p>
        </w:tc>
      </w:tr>
      <w:tr>
        <w:trPr>
          <w:trHeight w:val="170"/>
        </w:trPr>
        <w:tc>
          <w:tcPr>
            <w:tcW w:w="2600" w:type="dxa"/>
            <w:vAlign w:val="bottom"/>
          </w:tcPr>
          <w:p>
            <w:pPr>
              <w:ind w:left="700"/>
              <w:spacing w:after="0"/>
              <w:rPr>
                <w:sz w:val="20"/>
                <w:szCs w:val="20"/>
                <w:color w:val="auto"/>
              </w:rPr>
            </w:pPr>
            <w:r>
              <w:rPr>
                <w:rFonts w:ascii="Courier New" w:cs="Courier New" w:eastAsia="Courier New" w:hAnsi="Courier New"/>
                <w:sz w:val="15"/>
                <w:szCs w:val="15"/>
                <w:color w:val="auto"/>
              </w:rPr>
              <w:t>2003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545,000</w:t>
            </w:r>
          </w:p>
        </w:tc>
        <w:tc>
          <w:tcPr>
            <w:tcW w:w="0" w:type="dxa"/>
            <w:vAlign w:val="bottom"/>
          </w:tcPr>
          <w:p>
            <w:pPr>
              <w:spacing w:after="0"/>
              <w:rPr>
                <w:sz w:val="1"/>
                <w:szCs w:val="1"/>
                <w:color w:val="auto"/>
              </w:rPr>
            </w:pPr>
          </w:p>
        </w:tc>
      </w:tr>
      <w:tr>
        <w:trPr>
          <w:trHeight w:val="170"/>
        </w:trPr>
        <w:tc>
          <w:tcPr>
            <w:tcW w:w="2600" w:type="dxa"/>
            <w:vAlign w:val="bottom"/>
          </w:tcPr>
          <w:p>
            <w:pPr>
              <w:ind w:left="700"/>
              <w:spacing w:after="0"/>
              <w:rPr>
                <w:sz w:val="20"/>
                <w:szCs w:val="20"/>
                <w:color w:val="auto"/>
              </w:rPr>
            </w:pPr>
            <w:r>
              <w:rPr>
                <w:rFonts w:ascii="Courier New" w:cs="Courier New" w:eastAsia="Courier New" w:hAnsi="Courier New"/>
                <w:sz w:val="15"/>
                <w:szCs w:val="15"/>
                <w:color w:val="auto"/>
              </w:rPr>
              <w:t>thereafter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409,000</w:t>
            </w:r>
          </w:p>
        </w:tc>
        <w:tc>
          <w:tcPr>
            <w:tcW w:w="0" w:type="dxa"/>
            <w:vAlign w:val="bottom"/>
          </w:tcPr>
          <w:p>
            <w:pPr>
              <w:spacing w:after="0"/>
              <w:rPr>
                <w:sz w:val="1"/>
                <w:szCs w:val="1"/>
                <w:color w:val="auto"/>
              </w:rPr>
            </w:pPr>
          </w:p>
        </w:tc>
      </w:tr>
      <w:tr>
        <w:trPr>
          <w:trHeight w:val="246"/>
        </w:trPr>
        <w:tc>
          <w:tcPr>
            <w:tcW w:w="2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$ 5,452,000</w:t>
            </w:r>
          </w:p>
        </w:tc>
        <w:tc>
          <w:tcPr>
            <w:tcW w:w="0" w:type="dxa"/>
            <w:vAlign w:val="bottom"/>
          </w:tcPr>
          <w:p>
            <w:pPr>
              <w:spacing w:after="0"/>
              <w:rPr>
                <w:sz w:val="1"/>
                <w:szCs w:val="1"/>
                <w:color w:val="auto"/>
              </w:rPr>
            </w:pPr>
          </w:p>
        </w:tc>
      </w:tr>
      <w:tr>
        <w:trPr>
          <w:trHeight w:val="246"/>
        </w:trPr>
        <w:tc>
          <w:tcPr>
            <w:tcW w:w="2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10" w:right="3439"/>
        <w:spacing w:after="0" w:line="293" w:lineRule="auto"/>
        <w:rPr>
          <w:sz w:val="20"/>
          <w:szCs w:val="20"/>
          <w:color w:val="auto"/>
        </w:rPr>
      </w:pPr>
      <w:r>
        <w:rPr>
          <w:rFonts w:ascii="Courier New" w:cs="Courier New" w:eastAsia="Courier New" w:hAnsi="Courier New"/>
          <w:sz w:val="15"/>
          <w:szCs w:val="15"/>
          <w:color w:val="auto"/>
        </w:rPr>
        <w:t>Rental expense under operating leases with an initial non-cancellable term in excess of one year was $1,106,000, $843,000, and $722,000 for the years ended March 31, 1998, 1997 and 1996, respectively.</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CAPITAL EXPENDITURES</w:t>
      </w:r>
    </w:p>
    <w:p>
      <w:pPr>
        <w:spacing w:after="0" w:line="169" w:lineRule="exact"/>
        <w:rPr>
          <w:sz w:val="20"/>
          <w:szCs w:val="20"/>
          <w:color w:val="auto"/>
        </w:rPr>
      </w:pPr>
    </w:p>
    <w:p>
      <w:pPr>
        <w:ind w:left="10" w:right="3179"/>
        <w:spacing w:after="0" w:line="275" w:lineRule="auto"/>
        <w:rPr>
          <w:sz w:val="20"/>
          <w:szCs w:val="20"/>
          <w:color w:val="auto"/>
        </w:rPr>
      </w:pPr>
      <w:r>
        <w:rPr>
          <w:rFonts w:ascii="Courier New" w:cs="Courier New" w:eastAsia="Courier New" w:hAnsi="Courier New"/>
          <w:sz w:val="15"/>
          <w:szCs w:val="15"/>
          <w:color w:val="auto"/>
        </w:rPr>
        <w:t>During fiscal year 1999, the Company anticipates spending approximately $3,000,000 for the upgrade of plant, machinery and equipment. The Company intends to spend an estimated $1,000,000 over the next several years to clean up contamination which was present at one of the Company's sites when it</w:t>
      </w:r>
    </w:p>
    <w:p>
      <w:pPr>
        <w:spacing w:after="0" w:line="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41</w:t>
      </w:r>
    </w:p>
    <w:p>
      <w:pPr>
        <w:sectPr>
          <w:pgSz w:w="11900" w:h="16838" w:orient="portrait"/>
          <w:cols w:equalWidth="0" w:num="1">
            <w:col w:w="10229"/>
          </w:cols>
          <w:pgMar w:left="230" w:top="771" w:right="1440" w:bottom="1440" w:gutter="0" w:footer="0" w:header="0"/>
        </w:sectPr>
      </w:pPr>
    </w:p>
    <w:bookmarkStart w:id="43" w:name="page44"/>
    <w:bookmarkEnd w:id="43"/>
    <w:p>
      <w:pPr>
        <w:ind w:right="3359"/>
        <w:spacing w:after="0" w:line="347" w:lineRule="auto"/>
        <w:rPr>
          <w:sz w:val="20"/>
          <w:szCs w:val="20"/>
          <w:color w:val="auto"/>
        </w:rPr>
      </w:pPr>
      <w:r>
        <w:rPr>
          <w:rFonts w:ascii="Courier New" w:cs="Courier New" w:eastAsia="Courier New" w:hAnsi="Courier New"/>
          <w:sz w:val="15"/>
          <w:szCs w:val="15"/>
          <w:color w:val="auto"/>
        </w:rPr>
        <w:t>was acquired by the Company. The clean up costs will be capitalized as part of the cost of the site, up to the fair market value of the site.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SURETY BONDS</w:t>
      </w:r>
    </w:p>
    <w:p>
      <w:pPr>
        <w:spacing w:after="0" w:line="16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In the normal course of business, the Company is required to post bid, performance and garnishment bonds. The majority of the bonds issued relate to the Company's aviation fueling business. As of March 31, 1998, the Company had $5,429,000 in outstanding bonds.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6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Financial instruments which potentially subject the Company to credit risk consist primarily of trade accounts receivable. The Company extends credit on an unsecured basis to many of its aviation and marine customers, some of which have a line of credit in excess of $2,000,000. The Company's management recognizes that extending credit and setting appropriate reserves for accounts receivable is largely a subjective decision based on knowledge of the customer. Active management of this risk is essential to the Company's success. A strong capital position and liquidity provide the financial flexibility necessary to respond to customer needs. The Company's management meets regularly to evaluate credit exposure in the aggregate, and by individual credit. This group is also responsible for setting and maintaining credit standards and ensuring the overall quality of the credit portfolio.</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AND INSURANCE</w:t>
      </w:r>
    </w:p>
    <w:p>
      <w:pPr>
        <w:spacing w:after="0" w:line="169" w:lineRule="exact"/>
        <w:rPr>
          <w:sz w:val="20"/>
          <w:szCs w:val="20"/>
          <w:color w:val="auto"/>
        </w:rPr>
      </w:pPr>
    </w:p>
    <w:p>
      <w:pPr>
        <w:ind w:right="3179"/>
        <w:spacing w:after="0" w:line="248" w:lineRule="auto"/>
        <w:rPr>
          <w:sz w:val="20"/>
          <w:szCs w:val="20"/>
          <w:color w:val="auto"/>
        </w:rPr>
      </w:pPr>
      <w:r>
        <w:rPr>
          <w:rFonts w:ascii="Courier New" w:cs="Courier New" w:eastAsia="Courier New" w:hAnsi="Courier New"/>
          <w:sz w:val="15"/>
          <w:szCs w:val="15"/>
          <w:color w:val="auto"/>
        </w:rPr>
        <w:t>The Company, through the use of subcontractors and its own operations, transports, stores or processes flammable aviation, marine and residual fuel subjecting it to possible claims by employees, customers, regulators and others who may be injured. In addition, the Company may be held liable for the clean-up costs of spills or releases of materials from its facilities or vehicles, or for damages to natural resources arising out of such events. The Company follows what it believes to be prudent procedures to protect its employees and customers and to prevent spills or releases of these materials. The Company's domestic and international fueling activities also subject it to the risks of significant potential liability under federal and state statutes, common law and contractual indemnification agreements. The Company has general and automobile liability insurance coverage, including the statutory Motor Carrier Act/MCS 90 endorsement for sudden and accidental pollution.</w:t>
      </w:r>
    </w:p>
    <w:p>
      <w:pPr>
        <w:spacing w:after="0" w:line="91"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In the aviation and marine fuel segments, the Company utilizes subcontractors which provide various services to customers, including intoplane fueling at airports, fueling of vessels in port and at sea, and transportation and storage of fuel and fuel products. Although the Company generally requires its subcontractors to carry liability insurance, not all subcontractors carry adequate insurance. The Company's liability insurance policy does not cover the acts or omissions of its subcontractors. If the Company is held responsible for any liability caused by its subcontractors, and such liability is not adequately covered by the subcontractor's insurance and is of sufficient magnitude, the Company's financial position and results of operations will be adversely affected.</w:t>
      </w:r>
    </w:p>
    <w:p>
      <w:pPr>
        <w:spacing w:after="0" w:line="87"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The Company has exited several environmental businesses which handled hazardous waste. This waste was transported to various disposal facilities and/or treated by the Company. The Company may be held liable as a potentially responsible party for the clean-up of such disposal facilities in certain cases pursuant to current federal and state laws and regulations.</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42</w:t>
      </w:r>
    </w:p>
    <w:p>
      <w:pPr>
        <w:sectPr>
          <w:pgSz w:w="11900" w:h="16838" w:orient="portrait"/>
          <w:cols w:equalWidth="0" w:num="1">
            <w:col w:w="10219"/>
          </w:cols>
          <w:pgMar w:left="240" w:top="771" w:right="1440" w:bottom="1440" w:gutter="0" w:footer="0" w:header="0"/>
        </w:sectPr>
      </w:pPr>
    </w:p>
    <w:bookmarkStart w:id="44" w:name="page45"/>
    <w:bookmarkEnd w:id="44"/>
    <w:p>
      <w:pPr>
        <w:ind w:right="3179"/>
        <w:spacing w:after="0" w:line="266" w:lineRule="auto"/>
        <w:rPr>
          <w:sz w:val="20"/>
          <w:szCs w:val="20"/>
          <w:color w:val="auto"/>
        </w:rPr>
      </w:pPr>
      <w:r>
        <w:rPr>
          <w:rFonts w:ascii="Courier New" w:cs="Courier New" w:eastAsia="Courier New" w:hAnsi="Courier New"/>
          <w:sz w:val="15"/>
          <w:szCs w:val="15"/>
          <w:color w:val="auto"/>
        </w:rPr>
        <w:t>The Company continuously reviews the adequacy of its insurance coverage. However, the Company lacks coverage for various risks. A claim arising out of the Company's activities, if successful and of sufficient magnitude, will have a material adverse effect on the Company's financial position and results of operations.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MATTERS</w:t>
      </w:r>
    </w:p>
    <w:p>
      <w:pPr>
        <w:spacing w:after="0" w:line="169" w:lineRule="exact"/>
        <w:rPr>
          <w:sz w:val="20"/>
          <w:szCs w:val="20"/>
          <w:color w:val="auto"/>
        </w:rPr>
      </w:pPr>
    </w:p>
    <w:p>
      <w:pPr>
        <w:ind w:right="3259"/>
        <w:spacing w:after="0" w:line="300" w:lineRule="auto"/>
        <w:rPr>
          <w:sz w:val="20"/>
          <w:szCs w:val="20"/>
          <w:color w:val="auto"/>
        </w:rPr>
      </w:pPr>
      <w:r>
        <w:rPr>
          <w:rFonts w:ascii="Courier New" w:cs="Courier New" w:eastAsia="Courier New" w:hAnsi="Courier New"/>
          <w:sz w:val="14"/>
          <w:szCs w:val="14"/>
          <w:color w:val="auto"/>
        </w:rPr>
        <w:t>The Company is involved in litigation and administrative proceedings primarily arising in the normal course of its business. In the opinion of management, the Company's liability, if any, under any pending litigation or administrative proceedings, will not materially affect its financial condition or operations.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COMMITMENTS AND OFF-BALANCE SHEET TRANSACTIONS</w:t>
      </w:r>
    </w:p>
    <w:p>
      <w:pPr>
        <w:spacing w:after="0" w:line="1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Recognizing favorable market conditions or for competitive reasons, the Company may enter into short term fuel purchase commitments for the physical delivery of product in the United States. The Company simultaneously may hedge the physical delivery through a commodity based derivative instrument, to minimize the effects of commodity price fluctuations. As of March 31, 1998, the Company did not have any outstanding purchase commitments.</w:t>
      </w:r>
    </w:p>
    <w:p>
      <w:pPr>
        <w:spacing w:after="0" w:line="78" w:lineRule="exact"/>
        <w:rPr>
          <w:sz w:val="20"/>
          <w:szCs w:val="20"/>
          <w:color w:val="auto"/>
        </w:rPr>
      </w:pPr>
    </w:p>
    <w:p>
      <w:pPr>
        <w:ind w:right="3179"/>
        <w:spacing w:after="0" w:line="267" w:lineRule="auto"/>
        <w:rPr>
          <w:sz w:val="20"/>
          <w:szCs w:val="20"/>
          <w:color w:val="auto"/>
        </w:rPr>
      </w:pPr>
      <w:r>
        <w:rPr>
          <w:rFonts w:ascii="Courier New" w:cs="Courier New" w:eastAsia="Courier New" w:hAnsi="Courier New"/>
          <w:sz w:val="14"/>
          <w:szCs w:val="14"/>
          <w:color w:val="auto"/>
        </w:rPr>
        <w:t>The Company offers its customers swaps and caps as part of its fuel management services. Typically, the Company simultaneously enters into the commodity based derivative instruments with its customer and a counterparty. The counterparties are major oil companies and derivative trading firms. Accordingly, the Company does not anticipate non-performance by such conterparties. Pursuant to these transactions, the Company is not affected by market price fluctuations since the contracts have the same terms and conditions except for the fee or spread earned by the Company. Performance risk under these contracts is considered a credit risk. This risk is minimized by dealing with customers meeting additional credit criteria. As of March 31, 1998, the Company had outstanding swap contracts for 22,500 metric tons and 20,000 barrels, expiring December 31, 1998 and May 31, 1998, respectively, and $87,000 in deferred cap fees. Gains on these contracts are recognized at the completion of each month.</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69" w:lineRule="exact"/>
        <w:rPr>
          <w:sz w:val="20"/>
          <w:szCs w:val="20"/>
          <w:color w:val="auto"/>
        </w:rPr>
      </w:pPr>
    </w:p>
    <w:p>
      <w:pPr>
        <w:ind w:right="3179"/>
        <w:spacing w:after="0" w:line="246" w:lineRule="auto"/>
        <w:rPr>
          <w:sz w:val="20"/>
          <w:szCs w:val="20"/>
          <w:color w:val="auto"/>
        </w:rPr>
      </w:pPr>
      <w:r>
        <w:rPr>
          <w:rFonts w:ascii="Courier New" w:cs="Courier New" w:eastAsia="Courier New" w:hAnsi="Courier New"/>
          <w:sz w:val="15"/>
          <w:szCs w:val="15"/>
          <w:color w:val="auto"/>
        </w:rPr>
        <w:t>The Company's amended and restated employment agreements with its Chairman of the Board and President expire on March 31, 2002. Each agreement provides for a fixed salary and an annual bonus equal to 5% of the Company's income before income taxes in excess of $2,000,000. In addition, the payment of any portion of the bonus causing the executive's compensation to exceed $1,000,000 during any fiscal year will be deferred and accrue interest at the Prime rate, until a fiscal year during the employment term in which the executive earns less than $1,000,000; provided, however, that in the event of the executive's death, the termination of the executive for any reason, or the expiration of the employment agreement, any excess amount, including any interest earned thereon, shall be paid to the executive within ten (10) days of such death, termination or expiration. As of March 31, 1998 and 1997, $1,121,000 and $473,000, respectively, including accrued interest, was deferred under the agreements. The agreements also provide that, if the Company terminates the employment of the executive for reasons other than death, disability, or cause, or, if the executive terminates employment</w:t>
      </w:r>
    </w:p>
    <w:p>
      <w:pPr>
        <w:spacing w:after="0" w:line="9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43</w:t>
      </w:r>
    </w:p>
    <w:p>
      <w:pPr>
        <w:sectPr>
          <w:pgSz w:w="11900" w:h="16838" w:orient="portrait"/>
          <w:cols w:equalWidth="0" w:num="1">
            <w:col w:w="10219"/>
          </w:cols>
          <w:pgMar w:left="240" w:top="771" w:right="1440" w:bottom="1440" w:gutter="0" w:footer="0" w:header="0"/>
        </w:sectPr>
      </w:pPr>
    </w:p>
    <w:bookmarkStart w:id="45" w:name="page46"/>
    <w:bookmarkEnd w:id="45"/>
    <w:p>
      <w:pPr>
        <w:ind w:right="3359"/>
        <w:spacing w:after="0" w:line="275" w:lineRule="auto"/>
        <w:rPr>
          <w:sz w:val="20"/>
          <w:szCs w:val="20"/>
          <w:color w:val="auto"/>
        </w:rPr>
      </w:pPr>
      <w:r>
        <w:rPr>
          <w:rFonts w:ascii="Courier New" w:cs="Courier New" w:eastAsia="Courier New" w:hAnsi="Courier New"/>
          <w:sz w:val="15"/>
          <w:szCs w:val="15"/>
          <w:color w:val="auto"/>
        </w:rPr>
        <w:t>with the Company for good reason, including under certain circumstances, a change in control of the Company, the Company will pay the executive compensation of up to three times his average salary and bonus during the five year period preceding his termination.</w:t>
      </w:r>
    </w:p>
    <w:p>
      <w:pPr>
        <w:spacing w:after="0" w:line="69" w:lineRule="exact"/>
        <w:rPr>
          <w:sz w:val="20"/>
          <w:szCs w:val="20"/>
          <w:color w:val="auto"/>
        </w:rPr>
      </w:pPr>
    </w:p>
    <w:p>
      <w:pPr>
        <w:ind w:right="3359"/>
        <w:spacing w:after="0" w:line="278" w:lineRule="auto"/>
        <w:rPr>
          <w:sz w:val="20"/>
          <w:szCs w:val="20"/>
          <w:color w:val="auto"/>
        </w:rPr>
      </w:pPr>
      <w:r>
        <w:rPr>
          <w:rFonts w:ascii="Courier New" w:cs="Courier New" w:eastAsia="Courier New" w:hAnsi="Courier New"/>
          <w:sz w:val="14"/>
          <w:szCs w:val="14"/>
          <w:color w:val="auto"/>
        </w:rPr>
        <w:t>The Company and its subsidiaries have also entered into employment, consulting and non-competition agreements with certain of their executive officers, and previous and current employees. The agreements provide for minimum salary levels, as well as bonuses which are payable if specified management goals are attained. During the years ended March 31, 1998, 1997 and 1996, approximately $10,411,000, $9,136,000 and $7,632,000, respectively, was expensed under the terms of the above described agreements.</w:t>
      </w:r>
    </w:p>
    <w:p>
      <w:pPr>
        <w:spacing w:after="0" w:line="70"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The future minimum commitments under employment agreements, excluding bonuses, as of March 31, 1998 are as follows:</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$6,214,000</w:t>
            </w:r>
          </w:p>
        </w:tc>
      </w:t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4,861,000</w:t>
            </w:r>
          </w:p>
        </w:tc>
      </w:t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3,058,000</w:t>
            </w:r>
          </w:p>
        </w:tc>
      </w:t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1,569,000</w:t>
            </w:r>
          </w:p>
        </w:tc>
      </w:t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839,000</w:t>
            </w:r>
          </w:p>
        </w:tc>
      </w:t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454,000</w:t>
            </w:r>
          </w:p>
        </w:tc>
      </w:tr>
      <w:tr>
        <w:trPr>
          <w:trHeight w:val="170"/>
        </w:trPr>
        <w:tc>
          <w:tcPr>
            <w:tcW w:w="10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0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$16,995,000</w:t>
            </w:r>
          </w:p>
        </w:tc>
      </w:tr>
      <w:tr>
        <w:trPr>
          <w:trHeight w:val="246"/>
        </w:trPr>
        <w:tc>
          <w:tcPr>
            <w:tcW w:w="10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PLANS</w:t>
      </w:r>
    </w:p>
    <w:p>
      <w:pPr>
        <w:spacing w:after="0" w:line="169"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4"/>
          <w:szCs w:val="14"/>
          <w:color w:val="auto"/>
        </w:rPr>
        <w:t>The Company's Deferred Compensation Plan ("Plan") was suspended effective August 1, 1997 by the Plan Committee. This plan provided incentive compensation to certain key personnel whose performance contributed to the profitability and growth of the existing Trans-Tec group of companies. The Plan is unfunded and is not a qualified plan under the Internal Revenue Code. Under the Plan, participants were awarded units equal to 20% of the Trans-Tec group's annual net income, excluding the incentive compensation expense, and earn interest on their deferred amounts. The Plan allows for distributions of vested amounts over a five year period, subject to certain requirements, during and after employment with the Company. Participants become fully vested over a five year period. Fully vested participants must wait two years from the year of contribution to be eligible for the distribution of deferred account balances. Through July 31, 1997, the Company expensed $234,000 for deferred compensation under the Plan. As of March 31, 1998, the Company's liability under the plan was $1,657,000.</w:t>
      </w:r>
    </w:p>
    <w:p>
      <w:pPr>
        <w:spacing w:after="0" w:line="82"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Plan is administered by a Plan Committee appointed by the Board of Directors of Trans-Tec Services, Inc. The Plan Committee has the authority to suspend or terminate the plan, as well as the responsibility to allocate the amount of incentive compensation among participants, during each plan year. The Plan's fiscal year corresponds to the Company's fiscal year.</w:t>
      </w:r>
    </w:p>
    <w:p>
      <w:pPr>
        <w:spacing w:after="0" w:line="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5"/>
          <w:szCs w:val="15"/>
          <w:color w:val="auto"/>
        </w:rPr>
        <w:t>The Company maintains a 401(k) defined contribution plan which covers all employees who meet minimum requirements and elect to participate. Participants may contribute up to 15% of their compensation, subject to certain limitations. During fiscal year 1998, the Company made matching contributions of 25% of the participants' contributions up to 4% of the participant's compensation. Annual contributions are made at the Company's sole discretion. During the fiscal years ended March</w:t>
      </w:r>
    </w:p>
    <w:p>
      <w:pPr>
        <w:spacing w:after="0" w:line="8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44</w:t>
      </w:r>
    </w:p>
    <w:p>
      <w:pPr>
        <w:sectPr>
          <w:pgSz w:w="11900" w:h="16838" w:orient="portrait"/>
          <w:cols w:equalWidth="0" w:num="1">
            <w:col w:w="10219"/>
          </w:cols>
          <w:pgMar w:left="240" w:top="771" w:right="1440" w:bottom="1440" w:gutter="0" w:footer="0" w:header="0"/>
        </w:sectPr>
      </w:pPr>
    </w:p>
    <w:bookmarkStart w:id="46" w:name="page47"/>
    <w:bookmarkEnd w:id="46"/>
    <w:p>
      <w:pPr>
        <w:ind w:right="4239"/>
        <w:spacing w:after="0" w:line="347" w:lineRule="auto"/>
        <w:rPr>
          <w:sz w:val="20"/>
          <w:szCs w:val="20"/>
          <w:color w:val="auto"/>
        </w:rPr>
      </w:pPr>
      <w:r>
        <w:rPr>
          <w:rFonts w:ascii="Courier New" w:cs="Courier New" w:eastAsia="Courier New" w:hAnsi="Courier New"/>
          <w:sz w:val="15"/>
          <w:szCs w:val="15"/>
          <w:color w:val="auto"/>
        </w:rPr>
        <w:t>31, 1998, 1997 and 1996, approximately $96,000, $82,000 and $52,000, respectively, was expensed as Company contributions.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w:t>
      </w:r>
    </w:p>
    <w:p>
      <w:pPr>
        <w:spacing w:after="0" w:line="169" w:lineRule="exact"/>
        <w:rPr>
          <w:sz w:val="20"/>
          <w:szCs w:val="20"/>
          <w:color w:val="auto"/>
        </w:rPr>
      </w:pPr>
    </w:p>
    <w:p>
      <w:pPr>
        <w:ind w:right="3259"/>
        <w:spacing w:after="0" w:line="283" w:lineRule="auto"/>
        <w:rPr>
          <w:sz w:val="20"/>
          <w:szCs w:val="20"/>
          <w:color w:val="auto"/>
        </w:rPr>
      </w:pPr>
      <w:r>
        <w:rPr>
          <w:rFonts w:ascii="Courier New" w:cs="Courier New" w:eastAsia="Courier New" w:hAnsi="Courier New"/>
          <w:sz w:val="14"/>
          <w:szCs w:val="14"/>
          <w:color w:val="auto"/>
        </w:rPr>
        <w:t>The Company has completed a risk assessment of the ability of its information systems to operate in light of the "year 2000 issue." Based on the assessment, the Company has developed an action plan, which primarily consists of replacing existing non-compliant systems with new systems. The Company believes it is feasible to acquire such new systems before the year 2000 and that the cost of such systems are within its capital cost budget and financing capabilities.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AVIATION JOINT VENTURE</w:t>
      </w:r>
    </w:p>
    <w:p>
      <w:pPr>
        <w:spacing w:after="0" w:line="169"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5"/>
          <w:szCs w:val="15"/>
          <w:color w:val="auto"/>
        </w:rPr>
        <w:t>In August 1994, the Company began operation of a joint venture with Petrosur, an Ecuador corporation. The joint venture was organized to distribute jet fuel in Ecuador pursuant to a contract with the nationally owned oil company and the airport authority. The contract with the government entities may be terminated at any time. The joint venture arrangement has a term of five years and will automatically renew for a similar term unless one of the partners objects at least ninety days prior to the end of the term.</w:t>
      </w:r>
    </w:p>
    <w:p>
      <w:pPr>
        <w:spacing w:after="0" w:line="82"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The Company's current ownership interest in the joint venture is 50%. Accordingly, the Company uses the equity method of accounting to record its proportionate share of joint venture earnings. The amount of the investment in and advances to the joint venture totaled $2,271,000 and $1,681,000 at March 31, 1998 and 1997, respectively. Of these amounts, $1,171,000 and $1,681,000 are included in Prepaid expenses and other current assets as of March 31, 1998 and 1997, respectively, and $1,100,000 is included in Other assets as of March 31, 1998.</w:t>
      </w:r>
    </w:p>
    <w:p>
      <w:pPr>
        <w:spacing w:after="0" w:line="8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45</w:t>
      </w:r>
    </w:p>
    <w:p>
      <w:pPr>
        <w:sectPr>
          <w:pgSz w:w="11900" w:h="16838" w:orient="portrait"/>
          <w:cols w:equalWidth="0" w:num="1">
            <w:col w:w="10219"/>
          </w:cols>
          <w:pgMar w:left="240" w:top="771" w:right="1440" w:bottom="1440" w:gutter="0" w:footer="0" w:header="0"/>
        </w:sectPr>
      </w:pPr>
    </w:p>
    <w:bookmarkStart w:id="47" w:name="page48"/>
    <w:bookmarkEnd w:id="47"/>
    <w:p>
      <w:pPr>
        <w:ind w:left="10" w:right="4859" w:hanging="10"/>
        <w:spacing w:after="0" w:line="478" w:lineRule="auto"/>
        <w:tabs>
          <w:tab w:leader="none" w:pos="36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SEGMENTS, FOREIGN OPERATIONS AND MAJOR CUSTOMERS BUSINESS SEGMENTS</w:t>
      </w:r>
    </w:p>
    <w:p>
      <w:pPr>
        <w:spacing w:after="0" w:line="1" w:lineRule="exact"/>
        <w:rPr>
          <w:sz w:val="20"/>
          <w:szCs w:val="20"/>
          <w:color w:val="auto"/>
        </w:rPr>
      </w:pPr>
    </w:p>
    <w:p>
      <w:pPr>
        <w:ind w:left="10" w:right="3439"/>
        <w:spacing w:after="0" w:line="293" w:lineRule="auto"/>
        <w:rPr>
          <w:sz w:val="20"/>
          <w:szCs w:val="20"/>
          <w:color w:val="auto"/>
        </w:rPr>
      </w:pPr>
      <w:r>
        <w:rPr>
          <w:rFonts w:ascii="Courier New" w:cs="Courier New" w:eastAsia="Courier New" w:hAnsi="Courier New"/>
          <w:sz w:val="15"/>
          <w:szCs w:val="15"/>
          <w:color w:val="auto"/>
        </w:rPr>
        <w:t>The Company operates in three business segments: aviation fueling, marine fueling and oil recycling. Information concerning the Company's operations by business segment is as follows:</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0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FOR THE FISCAL YEAR ENDED MARCH 31,</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436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0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$ 383,010,000</w:t>
            </w:r>
          </w:p>
        </w:tc>
        <w:tc>
          <w:tcPr>
            <w:tcW w:w="150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$ 381,236,000</w:t>
            </w:r>
          </w:p>
        </w:tc>
        <w:tc>
          <w:tcPr>
            <w:tcW w:w="136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$ 302,101,000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Aviation fueling</w:t>
            </w:r>
          </w:p>
        </w:tc>
        <w:tc>
          <w:tcPr>
            <w:tcW w:w="150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Marine fueling</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393,607,000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368,470,000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321,216,000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Oil recycling</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25,146,000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22,912,000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18,993,000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Intersegment eliminations</w:t>
            </w:r>
          </w:p>
        </w:tc>
        <w:tc>
          <w:tcPr>
            <w:tcW w:w="150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c>
          <w:tcPr>
            <w:tcW w:w="0" w:type="dxa"/>
            <w:vAlign w:val="bottom"/>
          </w:tcPr>
          <w:p>
            <w:pPr>
              <w:spacing w:after="0"/>
              <w:rPr>
                <w:sz w:val="1"/>
                <w:szCs w:val="1"/>
                <w:color w:val="auto"/>
              </w:rPr>
            </w:pPr>
          </w:p>
        </w:tc>
      </w:tr>
      <w:tr>
        <w:trPr>
          <w:trHeight w:val="170"/>
        </w:trPr>
        <w:tc>
          <w:tcPr>
            <w:tcW w:w="436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Consolidated revenue</w:t>
            </w:r>
          </w:p>
        </w:tc>
        <w:tc>
          <w:tcPr>
            <w:tcW w:w="150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60" w:type="dxa"/>
            <w:vAlign w:val="bottom"/>
            <w:vMerge w:val="continue"/>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$ 801,763,000</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$ 772,618,000</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$ 642,299,000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12,558,000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10,620,000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12,858,000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Aviation fueling</w:t>
            </w:r>
          </w:p>
        </w:tc>
        <w:tc>
          <w:tcPr>
            <w:tcW w:w="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Marine fueling</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7,403,000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5,013,000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3,425,000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Oil recycling</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4,155,000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5,020,000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3,976,000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(5,589,000)</w:t>
            </w:r>
          </w:p>
        </w:tc>
        <w:tc>
          <w:tcPr>
            <w:tcW w:w="26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(5,027,000)</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(5,313,000)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ind w:left="520"/>
              <w:spacing w:after="0"/>
              <w:rPr>
                <w:sz w:val="20"/>
                <w:szCs w:val="20"/>
                <w:color w:val="auto"/>
              </w:rPr>
            </w:pPr>
            <w:r>
              <w:rPr>
                <w:rFonts w:ascii="Courier New" w:cs="Courier New" w:eastAsia="Courier New" w:hAnsi="Courier New"/>
                <w:sz w:val="15"/>
                <w:szCs w:val="15"/>
                <w:color w:val="auto"/>
              </w:rPr>
              <w:t>Consolidated income from operations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18,527,000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15,626,000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14,946,000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57,867,000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54,129,000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42,345,000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Aviation fueling</w:t>
            </w:r>
          </w:p>
        </w:tc>
        <w:tc>
          <w:tcPr>
            <w:tcW w:w="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Marine fueling</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53,819,000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43,013,000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39,948,000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Oil recycling</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19,055,000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17,574,000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15,567,000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12,518,000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8,423,000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14,114,000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ind w:left="520"/>
              <w:spacing w:after="0"/>
              <w:rPr>
                <w:sz w:val="20"/>
                <w:szCs w:val="20"/>
                <w:color w:val="auto"/>
              </w:rPr>
            </w:pPr>
            <w:r>
              <w:rPr>
                <w:rFonts w:ascii="Courier New" w:cs="Courier New" w:eastAsia="Courier New" w:hAnsi="Courier New"/>
                <w:sz w:val="15"/>
                <w:szCs w:val="15"/>
                <w:color w:val="auto"/>
              </w:rPr>
              <w:t>Consolidated identifiable assets</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$ 143,259,000</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$ 123,139,000</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$ 111,974,000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218,000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369,000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66,000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Aviation fueling</w:t>
            </w:r>
          </w:p>
        </w:tc>
        <w:tc>
          <w:tcPr>
            <w:tcW w:w="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Marine fueling</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424,000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Oil recycling</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1,793,000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2,426,000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623,000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864,000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294,000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ind w:left="520"/>
              <w:spacing w:after="0"/>
              <w:rPr>
                <w:sz w:val="20"/>
                <w:szCs w:val="20"/>
                <w:color w:val="auto"/>
              </w:rPr>
            </w:pPr>
            <w:r>
              <w:rPr>
                <w:rFonts w:ascii="Courier New" w:cs="Courier New" w:eastAsia="Courier New" w:hAnsi="Courier New"/>
                <w:sz w:val="15"/>
                <w:szCs w:val="15"/>
                <w:color w:val="auto"/>
              </w:rPr>
              <w:t>Consolidated capital expenditures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3,484,000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3,199,000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1,407,000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312,000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189,000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116,000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Aviation fueling</w:t>
            </w:r>
          </w:p>
        </w:tc>
        <w:tc>
          <w:tcPr>
            <w:tcW w:w="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Marine fueling</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708,000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599,000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535,000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Oil recycling</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1,021,000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916,000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819,000</w:t>
            </w:r>
          </w:p>
        </w:tc>
        <w:tc>
          <w:tcPr>
            <w:tcW w:w="0" w:type="dxa"/>
            <w:vAlign w:val="bottom"/>
          </w:tcPr>
          <w:p>
            <w:pPr>
              <w:spacing w:after="0"/>
              <w:rPr>
                <w:sz w:val="1"/>
                <w:szCs w:val="1"/>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377,000</w:t>
            </w:r>
          </w:p>
        </w:tc>
        <w:tc>
          <w:tcPr>
            <w:tcW w:w="26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234,000</w:t>
            </w:r>
          </w:p>
        </w:tc>
        <w:tc>
          <w:tcPr>
            <w:tcW w:w="2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ind w:left="520"/>
              <w:spacing w:after="0"/>
              <w:rPr>
                <w:sz w:val="20"/>
                <w:szCs w:val="20"/>
                <w:color w:val="auto"/>
              </w:rPr>
            </w:pPr>
            <w:r>
              <w:rPr>
                <w:rFonts w:ascii="Courier New" w:cs="Courier New" w:eastAsia="Courier New" w:hAnsi="Courier New"/>
                <w:sz w:val="15"/>
                <w:szCs w:val="15"/>
                <w:color w:val="auto"/>
              </w:rPr>
              <w:t>Consolidated depreciation and amortization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2,418,000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1,938,000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1,656,000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46</w:t>
      </w:r>
    </w:p>
    <w:p>
      <w:pPr>
        <w:sectPr>
          <w:pgSz w:w="11900" w:h="16838" w:orient="portrait"/>
          <w:cols w:equalWidth="0" w:num="1">
            <w:col w:w="10229"/>
          </w:cols>
          <w:pgMar w:left="230" w:top="771"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FOREIGN OPERATIONS</w:t>
      </w:r>
    </w:p>
    <w:p>
      <w:pPr>
        <w:spacing w:after="0" w:line="1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A summary of financial data for foreign operations is shown below as of, and for the fiscal years ended, March 31, 1998, 1997 and 1996. Non-U.S. operations of the Company and its subsidiaries are conducted primarily from offices in the United Kingdom, Singapore, Mexico, South Africa, South Korea, Denmark and Costa Rica. Income from operations is before the allocation of corporate general and administrative expenses and income taxes.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246"/>
        </w:trPr>
        <w:tc>
          <w:tcPr>
            <w:tcW w:w="2640" w:type="dxa"/>
            <w:vAlign w:val="bottom"/>
          </w:tcPr>
          <w:p>
            <w:pPr>
              <w:spacing w:after="0"/>
              <w:rPr>
                <w:sz w:val="21"/>
                <w:szCs w:val="21"/>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Revenue</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$419,701,000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$287,589,000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$184,768,000</w:t>
            </w:r>
          </w:p>
        </w:tc>
      </w:tr>
      <w:tr>
        <w:trPr>
          <w:trHeight w:val="246"/>
        </w:trPr>
        <w:tc>
          <w:tcPr>
            <w:tcW w:w="2640" w:type="dxa"/>
            <w:vAlign w:val="bottom"/>
          </w:tcPr>
          <w:p>
            <w:pPr>
              <w:spacing w:after="0"/>
              <w:rPr>
                <w:sz w:val="21"/>
                <w:szCs w:val="21"/>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Income from operations</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$ 10,774,000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7,753,000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2,555,000</w:t>
            </w:r>
          </w:p>
        </w:tc>
      </w:tr>
      <w:tr>
        <w:trPr>
          <w:trHeight w:val="246"/>
        </w:trPr>
        <w:tc>
          <w:tcPr>
            <w:tcW w:w="2640" w:type="dxa"/>
            <w:vAlign w:val="bottom"/>
          </w:tcPr>
          <w:p>
            <w:pPr>
              <w:spacing w:after="0"/>
              <w:rPr>
                <w:sz w:val="21"/>
                <w:szCs w:val="21"/>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Identifiable assets</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$ 43,524,000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$ 37,313,000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$ 13,506,000</w:t>
            </w:r>
          </w:p>
        </w:tc>
      </w:tr>
      <w:tr>
        <w:trPr>
          <w:trHeight w:val="246"/>
        </w:trPr>
        <w:tc>
          <w:tcPr>
            <w:tcW w:w="2640" w:type="dxa"/>
            <w:vAlign w:val="bottom"/>
          </w:tcPr>
          <w:p>
            <w:pPr>
              <w:spacing w:after="0"/>
              <w:rPr>
                <w:sz w:val="21"/>
                <w:szCs w:val="21"/>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MAJOR CUSTOMERS</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93"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No customer accounted for more than 10% of total consolidated revenue for the years ended March 31, 1998, 1997 and 1996.</w:t>
      </w:r>
    </w:p>
    <w:p>
      <w:pPr>
        <w:spacing w:after="0" w:line="17" w:lineRule="exact"/>
        <w:rPr>
          <w:sz w:val="20"/>
          <w:szCs w:val="20"/>
          <w:color w:val="auto"/>
        </w:rPr>
      </w:pPr>
    </w:p>
    <w:p>
      <w:pPr>
        <w:ind w:left="80"/>
        <w:spacing w:after="0"/>
        <w:tabs>
          <w:tab w:leader="none" w:pos="580" w:val="left"/>
        </w:tabs>
        <w:rPr>
          <w:sz w:val="20"/>
          <w:szCs w:val="20"/>
          <w:color w:val="auto"/>
        </w:rPr>
      </w:pPr>
      <w:r>
        <w:rPr>
          <w:rFonts w:ascii="Courier New" w:cs="Courier New" w:eastAsia="Courier New" w:hAnsi="Courier New"/>
          <w:sz w:val="15"/>
          <w:szCs w:val="15"/>
          <w:color w:val="auto"/>
        </w:rPr>
        <w:t>(8)</w:t>
        <w:tab/>
        <w:t>QUARTERLY INFORMATION (UNAUDITED)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FOR THE 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54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JUNE 30,</w:t>
            </w: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SEPTEMBER 30,</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DECEMBER 31,</w:t>
            </w:r>
          </w:p>
        </w:tc>
        <w:tc>
          <w:tcPr>
            <w:tcW w:w="26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4"/>
              </w:rPr>
              <w:t>1997</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$186,307,000</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$205,792,000</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$208,879,000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$200,785,000</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$ 11,074,000</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$ 12,233,000</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$ 12,455,000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$ 14,633,000</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3,803,000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4,125,000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4,148,000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3,777,000</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20" w:type="dxa"/>
            <w:vAlign w:val="bottom"/>
            <w:gridSpan w:val="4"/>
          </w:tcPr>
          <w:p>
            <w:pPr>
              <w:jc w:val="right"/>
              <w:ind w:right="427"/>
              <w:spacing w:after="0"/>
              <w:rPr>
                <w:sz w:val="20"/>
                <w:szCs w:val="20"/>
                <w:color w:val="auto"/>
              </w:rPr>
            </w:pPr>
            <w:r>
              <w:rPr>
                <w:rFonts w:ascii="Courier New" w:cs="Courier New" w:eastAsia="Courier New" w:hAnsi="Courier New"/>
                <w:sz w:val="15"/>
                <w:szCs w:val="15"/>
                <w:color w:val="auto"/>
              </w:rPr>
              <w:t>FOR THE THREE MONTHS ENDED</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54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JUNE 30,</w:t>
            </w: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SEPTEMBER 30,</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DECEMBER 31,</w:t>
            </w:r>
          </w:p>
        </w:tc>
        <w:tc>
          <w:tcPr>
            <w:tcW w:w="26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4"/>
              </w:rPr>
              <w:t>1996</w:t>
            </w:r>
          </w:p>
        </w:tc>
        <w:tc>
          <w:tcPr>
            <w:tcW w:w="4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0"/>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Revenue</w:t>
            </w:r>
          </w:p>
        </w:tc>
        <w:tc>
          <w:tcPr>
            <w:tcW w:w="1360" w:type="dxa"/>
            <w:vAlign w:val="bottom"/>
            <w:gridSpan w:val="2"/>
            <w:vMerge w:val="restart"/>
          </w:tcPr>
          <w:p>
            <w:pPr>
              <w:jc w:val="right"/>
              <w:ind w:right="47"/>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w:t>
            </w:r>
            <w:r>
              <w:rPr>
                <w:rFonts w:ascii="Courier New" w:cs="Courier New" w:eastAsia="Courier New" w:hAnsi="Courier New"/>
                <w:sz w:val="11"/>
                <w:szCs w:val="11"/>
                <w:color w:val="auto"/>
                <w:w w:val="71"/>
              </w:rPr>
              <w:t>170,694,000</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$180,349,000</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$207,665,000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$213,910,000</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$ 11,632,000</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$ 11,626,000</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$ 11,716,000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$ 11,653,000</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3,104,000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3,253,000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3,395,000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3,513,000</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0.25</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47</w:t>
      </w:r>
    </w:p>
    <w:p>
      <w:pPr>
        <w:sectPr>
          <w:pgSz w:w="11900" w:h="16838" w:orient="portrait"/>
          <w:cols w:equalWidth="0" w:num="1">
            <w:col w:w="10219"/>
          </w:cols>
          <w:pgMar w:left="240" w:top="771" w:right="1440" w:bottom="1440" w:gutter="0" w:footer="0" w:header="0"/>
        </w:sectPr>
      </w:pPr>
    </w:p>
    <w:bookmarkStart w:id="49" w:name="page50"/>
    <w:bookmarkEnd w:id="49"/>
    <w:p>
      <w:pPr>
        <w:ind w:left="3090"/>
        <w:spacing w:after="0"/>
        <w:rPr>
          <w:sz w:val="20"/>
          <w:szCs w:val="20"/>
          <w:color w:val="auto"/>
        </w:rPr>
      </w:pPr>
      <w:r>
        <w:rPr>
          <w:rFonts w:ascii="Courier New" w:cs="Courier New" w:eastAsia="Courier New" w:hAnsi="Courier New"/>
          <w:sz w:val="15"/>
          <w:szCs w:val="15"/>
          <w:color w:val="auto"/>
        </w:rPr>
        <w:t>SCHEDULE II</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5720" w:type="dxa"/>
            <w:vAlign w:val="bottom"/>
            <w:gridSpan w:val="5"/>
          </w:tcPr>
          <w:p>
            <w:pPr>
              <w:ind w:left="1400"/>
              <w:spacing w:after="0"/>
              <w:rPr>
                <w:sz w:val="20"/>
                <w:szCs w:val="20"/>
                <w:color w:val="auto"/>
              </w:rPr>
            </w:pPr>
            <w:r>
              <w:rPr>
                <w:rFonts w:ascii="Courier New" w:cs="Courier New" w:eastAsia="Courier New" w:hAnsi="Courier New"/>
                <w:sz w:val="15"/>
                <w:szCs w:val="15"/>
                <w:color w:val="auto"/>
                <w:w w:val="99"/>
              </w:rPr>
              <w:t>WORLD FUEL SERVICES CORPORATION AND SUBSIDIARIES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5720" w:type="dxa"/>
            <w:vAlign w:val="bottom"/>
            <w:gridSpan w:val="5"/>
          </w:tcPr>
          <w:p>
            <w:pPr>
              <w:ind w:left="2100"/>
              <w:spacing w:after="0"/>
              <w:rPr>
                <w:sz w:val="20"/>
                <w:szCs w:val="20"/>
                <w:color w:val="auto"/>
              </w:rPr>
            </w:pPr>
            <w:r>
              <w:rPr>
                <w:rFonts w:ascii="Courier New" w:cs="Courier New" w:eastAsia="Courier New" w:hAnsi="Courier New"/>
                <w:sz w:val="15"/>
                <w:szCs w:val="15"/>
                <w:color w:val="auto"/>
              </w:rPr>
              <w:t>VALUATION AND QUALIFYING ACCOUNTS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ADDITIONS</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20" w:type="dxa"/>
            <w:vAlign w:val="bottom"/>
            <w:gridSpan w:val="6"/>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BALANCE AT</w:t>
            </w:r>
          </w:p>
        </w:tc>
        <w:tc>
          <w:tcPr>
            <w:tcW w:w="13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ACQUISITION</w:t>
            </w:r>
          </w:p>
        </w:tc>
        <w:tc>
          <w:tcPr>
            <w:tcW w:w="180" w:type="dxa"/>
            <w:vAlign w:val="bottom"/>
          </w:tcPr>
          <w:p>
            <w:pPr>
              <w:spacing w:after="0"/>
              <w:rPr>
                <w:sz w:val="22"/>
                <w:szCs w:val="22"/>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CHARGED TO</w:t>
            </w:r>
          </w:p>
        </w:tc>
        <w:tc>
          <w:tcPr>
            <w:tcW w:w="220" w:type="dxa"/>
            <w:vAlign w:val="bottom"/>
          </w:tcPr>
          <w:p>
            <w:pPr>
              <w:spacing w:after="0"/>
              <w:rPr>
                <w:sz w:val="22"/>
                <w:szCs w:val="22"/>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CHARGED TO</w:t>
            </w: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BALANCE AT</w:t>
            </w:r>
          </w:p>
        </w:tc>
        <w:tc>
          <w:tcPr>
            <w:tcW w:w="0" w:type="dxa"/>
            <w:vAlign w:val="bottom"/>
          </w:tcPr>
          <w:p>
            <w:pPr>
              <w:spacing w:after="0"/>
              <w:rPr>
                <w:sz w:val="1"/>
                <w:szCs w:val="1"/>
                <w:color w:val="auto"/>
              </w:rPr>
            </w:pPr>
          </w:p>
        </w:tc>
      </w:tr>
      <w:tr>
        <w:trPr>
          <w:trHeight w:val="170"/>
        </w:trPr>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BEGINNING</w:t>
            </w: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COSTS AND</w:t>
            </w:r>
          </w:p>
        </w:tc>
        <w:tc>
          <w:tcPr>
            <w:tcW w:w="220" w:type="dxa"/>
            <w:vAlign w:val="bottom"/>
          </w:tcPr>
          <w:p>
            <w:pPr>
              <w:spacing w:after="0"/>
              <w:rPr>
                <w:sz w:val="14"/>
                <w:szCs w:val="14"/>
                <w:color w:val="auto"/>
              </w:rPr>
            </w:pPr>
          </w:p>
        </w:tc>
        <w:tc>
          <w:tcPr>
            <w:tcW w:w="13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OTHER</w:t>
            </w:r>
          </w:p>
        </w:tc>
        <w:tc>
          <w:tcPr>
            <w:tcW w:w="156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DEDUCTIONS (2)</w:t>
            </w:r>
          </w:p>
        </w:tc>
        <w:tc>
          <w:tcPr>
            <w:tcW w:w="260" w:type="dxa"/>
            <w:vAlign w:val="bottom"/>
          </w:tcPr>
          <w:p>
            <w:pPr>
              <w:spacing w:after="0"/>
              <w:rPr>
                <w:sz w:val="14"/>
                <w:szCs w:val="14"/>
                <w:color w:val="auto"/>
              </w:rPr>
            </w:pPr>
          </w:p>
        </w:tc>
        <w:tc>
          <w:tcPr>
            <w:tcW w:w="10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END</w:t>
            </w:r>
          </w:p>
        </w:tc>
        <w:tc>
          <w:tcPr>
            <w:tcW w:w="0" w:type="dxa"/>
            <w:vAlign w:val="bottom"/>
          </w:tcPr>
          <w:p>
            <w:pPr>
              <w:spacing w:after="0"/>
              <w:rPr>
                <w:sz w:val="1"/>
                <w:szCs w:val="1"/>
                <w:color w:val="auto"/>
              </w:rPr>
            </w:pPr>
          </w:p>
        </w:tc>
      </w:tr>
      <w:tr>
        <w:trPr>
          <w:trHeight w:val="170"/>
        </w:trPr>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OF PERIOD</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 BUSINESS</w:t>
            </w:r>
          </w:p>
        </w:tc>
        <w:tc>
          <w:tcPr>
            <w:tcW w:w="18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ACCOUNTS (1)</w:t>
            </w:r>
          </w:p>
        </w:tc>
        <w:tc>
          <w:tcPr>
            <w:tcW w:w="15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OF PERIOD</w:t>
            </w: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YEAR ENDED MARCH 31, 1998</w:t>
            </w: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4,360,000</w:t>
            </w: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118,000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1,417,000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919,000</w:t>
            </w: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2,220,000</w:t>
            </w:r>
          </w:p>
        </w:tc>
        <w:tc>
          <w:tcPr>
            <w:tcW w:w="2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4,594,000</w:t>
            </w:r>
          </w:p>
        </w:tc>
        <w:tc>
          <w:tcPr>
            <w:tcW w:w="0" w:type="dxa"/>
            <w:vAlign w:val="bottom"/>
          </w:tcPr>
          <w:p>
            <w:pPr>
              <w:spacing w:after="0"/>
              <w:rPr>
                <w:sz w:val="1"/>
                <w:szCs w:val="1"/>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Courier New" w:cs="Courier New" w:eastAsia="Courier New" w:hAnsi="Courier New"/>
                <w:sz w:val="15"/>
                <w:szCs w:val="15"/>
                <w:color w:val="auto"/>
              </w:rPr>
              <w:t>YEAR ENDED MARCH 31, 1997</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4,363,000</w:t>
            </w: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5,107,000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415,000</w:t>
            </w: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5,525,000</w:t>
            </w:r>
          </w:p>
        </w:tc>
        <w:tc>
          <w:tcPr>
            <w:tcW w:w="2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4,360,000</w:t>
            </w:r>
          </w:p>
        </w:tc>
        <w:tc>
          <w:tcPr>
            <w:tcW w:w="0" w:type="dxa"/>
            <w:vAlign w:val="bottom"/>
          </w:tcPr>
          <w:p>
            <w:pPr>
              <w:spacing w:after="0"/>
              <w:rPr>
                <w:sz w:val="1"/>
                <w:szCs w:val="1"/>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Courier New" w:cs="Courier New" w:eastAsia="Courier New" w:hAnsi="Courier New"/>
                <w:sz w:val="15"/>
                <w:szCs w:val="15"/>
                <w:color w:val="auto"/>
              </w:rPr>
              <w:t>YEAR ENDED MARCH 31, 1996</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4,566,000</w:t>
            </w: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2,291,000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785,000</w:t>
            </w: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3,279,000</w:t>
            </w:r>
          </w:p>
        </w:tc>
        <w:tc>
          <w:tcPr>
            <w:tcW w:w="2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4,363,000</w:t>
            </w:r>
          </w:p>
        </w:tc>
        <w:tc>
          <w:tcPr>
            <w:tcW w:w="0" w:type="dxa"/>
            <w:vAlign w:val="bottom"/>
          </w:tcPr>
          <w:p>
            <w:pPr>
              <w:spacing w:after="0"/>
              <w:rPr>
                <w:sz w:val="1"/>
                <w:szCs w:val="1"/>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ind w:left="890" w:hanging="890"/>
        <w:spacing w:after="0"/>
        <w:tabs>
          <w:tab w:leader="none" w:pos="8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Recoveries of bad debts and reclassifications.</w:t>
      </w:r>
    </w:p>
    <w:p>
      <w:pPr>
        <w:spacing w:after="0" w:line="143"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determined to be uncollectible.</w:t>
      </w:r>
    </w:p>
    <w:p>
      <w:pPr>
        <w:spacing w:after="0" w:line="33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48</w:t>
      </w:r>
    </w:p>
    <w:p>
      <w:pPr>
        <w:sectPr>
          <w:pgSz w:w="11900" w:h="16838" w:orient="portrait"/>
          <w:cols w:equalWidth="0" w:num="1">
            <w:col w:w="11530"/>
          </w:cols>
          <w:pgMar w:left="230" w:top="940" w:right="1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6"/>
        </w:trPr>
        <w:tc>
          <w:tcPr>
            <w:tcW w:w="1040" w:type="dxa"/>
            <w:vAlign w:val="bottom"/>
          </w:tcPr>
          <w:p>
            <w:pPr>
              <w:spacing w:after="0"/>
              <w:rPr>
                <w:sz w:val="21"/>
                <w:szCs w:val="21"/>
                <w:color w:val="auto"/>
              </w:rPr>
            </w:pPr>
          </w:p>
        </w:tc>
        <w:tc>
          <w:tcPr>
            <w:tcW w:w="4940" w:type="dxa"/>
            <w:vAlign w:val="bottom"/>
          </w:tcPr>
          <w:p>
            <w:pPr>
              <w:ind w:left="1860"/>
              <w:spacing w:after="0"/>
              <w:rPr>
                <w:sz w:val="20"/>
                <w:szCs w:val="20"/>
                <w:color w:val="auto"/>
              </w:rPr>
            </w:pPr>
            <w:r>
              <w:rPr>
                <w:rFonts w:ascii="Courier New" w:cs="Courier New" w:eastAsia="Courier New" w:hAnsi="Courier New"/>
                <w:sz w:val="15"/>
                <w:szCs w:val="15"/>
                <w:color w:val="auto"/>
              </w:rPr>
              <w:t>EXHIBIT INDEX</w:t>
            </w:r>
          </w:p>
        </w:tc>
      </w:tr>
      <w:tr>
        <w:trPr>
          <w:trHeight w:val="262"/>
        </w:trPr>
        <w:tc>
          <w:tcPr>
            <w:tcW w:w="10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DESCRIPTION</w:t>
            </w:r>
          </w:p>
        </w:tc>
      </w:tr>
      <w:tr>
        <w:trPr>
          <w:trHeight w:val="246"/>
        </w:trPr>
        <w:tc>
          <w:tcPr>
            <w:tcW w:w="1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262"/>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w w:val="97"/>
              </w:rPr>
              <w:t>Amendment to Employment Agreement with Jerrold Blair,</w:t>
            </w:r>
          </w:p>
        </w:tc>
      </w:tr>
      <w:tr>
        <w:trPr>
          <w:trHeight w:val="246"/>
        </w:trPr>
        <w:tc>
          <w:tcPr>
            <w:tcW w:w="1040" w:type="dxa"/>
            <w:vAlign w:val="bottom"/>
          </w:tcPr>
          <w:p>
            <w:pPr>
              <w:spacing w:after="0"/>
              <w:rPr>
                <w:sz w:val="21"/>
                <w:szCs w:val="21"/>
                <w:color w:val="auto"/>
              </w:rPr>
            </w:pPr>
          </w:p>
        </w:tc>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dated April 29, 1997</w:t>
            </w:r>
          </w:p>
        </w:tc>
      </w:tr>
      <w:tr>
        <w:trPr>
          <w:trHeight w:val="262"/>
        </w:trPr>
        <w:tc>
          <w:tcPr>
            <w:tcW w:w="104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w w:val="99"/>
              </w:rPr>
              <w:t>Amendment to Employment Agreement with Ralph Weiser,</w:t>
            </w:r>
          </w:p>
        </w:tc>
      </w:tr>
      <w:tr>
        <w:trPr>
          <w:trHeight w:val="246"/>
        </w:trPr>
        <w:tc>
          <w:tcPr>
            <w:tcW w:w="1040" w:type="dxa"/>
            <w:vAlign w:val="bottom"/>
          </w:tcPr>
          <w:p>
            <w:pPr>
              <w:spacing w:after="0"/>
              <w:rPr>
                <w:sz w:val="21"/>
                <w:szCs w:val="21"/>
                <w:color w:val="auto"/>
              </w:rPr>
            </w:pPr>
          </w:p>
        </w:tc>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dated April 29, 1997</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4940" w:type="dxa"/>
            <w:vAlign w:val="bottom"/>
          </w:tcPr>
          <w:p>
            <w:pPr>
              <w:ind w:left="280"/>
              <w:spacing w:after="0"/>
              <w:rPr>
                <w:sz w:val="20"/>
                <w:szCs w:val="20"/>
                <w:color w:val="auto"/>
              </w:rPr>
            </w:pPr>
            <w:r>
              <w:rPr>
                <w:rFonts w:ascii="Courier New" w:cs="Courier New" w:eastAsia="Courier New" w:hAnsi="Courier New"/>
                <w:sz w:val="15"/>
                <w:szCs w:val="15"/>
                <w:color w:val="auto"/>
              </w:rPr>
              <w:t>Financial Data Schedule</w:t>
            </w:r>
          </w:p>
        </w:tc>
      </w:tr>
    </w:tbl>
    <w:p>
      <w:pPr>
        <w:sectPr>
          <w:pgSz w:w="11900" w:h="16838" w:orient="portrait"/>
          <w:cols w:equalWidth="0" w:num="1">
            <w:col w:w="10219"/>
          </w:cols>
          <w:pgMar w:left="240" w:top="601" w:right="1440" w:bottom="1440" w:gutter="0" w:footer="0" w:header="0"/>
        </w:sectPr>
      </w:pPr>
    </w:p>
    <w:bookmarkStart w:id="51" w:name="page52"/>
    <w:bookmarkEnd w:id="51"/>
    <w:p>
      <w:pPr>
        <w:jc w:val="right"/>
        <w:ind w:right="3179"/>
        <w:spacing w:after="0"/>
        <w:rPr>
          <w:sz w:val="20"/>
          <w:szCs w:val="20"/>
          <w:color w:val="auto"/>
        </w:rPr>
      </w:pPr>
      <w:r>
        <w:rPr>
          <w:rFonts w:ascii="Courier New" w:cs="Courier New" w:eastAsia="Courier New" w:hAnsi="Courier New"/>
          <w:sz w:val="15"/>
          <w:szCs w:val="15"/>
          <w:color w:val="auto"/>
        </w:rPr>
        <w:t>EXHIBIT 10.B(1)</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[LOGO]</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April 29, 1997</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Mr. Jerrold Blair</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World Fuel Services Corporation</w:t>
      </w:r>
    </w:p>
    <w:p>
      <w:pPr>
        <w:ind w:left="10"/>
        <w:spacing w:after="0"/>
        <w:rPr>
          <w:sz w:val="20"/>
          <w:szCs w:val="20"/>
          <w:color w:val="auto"/>
        </w:rPr>
      </w:pPr>
      <w:r>
        <w:rPr>
          <w:rFonts w:ascii="Courier New" w:cs="Courier New" w:eastAsia="Courier New" w:hAnsi="Courier New"/>
          <w:sz w:val="15"/>
          <w:szCs w:val="15"/>
          <w:color w:val="auto"/>
        </w:rPr>
        <w:t>700 S. Royal Poinciana Boulevard</w:t>
      </w:r>
    </w:p>
    <w:p>
      <w:pPr>
        <w:ind w:left="10"/>
        <w:spacing w:after="0"/>
        <w:rPr>
          <w:sz w:val="20"/>
          <w:szCs w:val="20"/>
          <w:color w:val="auto"/>
        </w:rPr>
      </w:pPr>
      <w:r>
        <w:rPr>
          <w:rFonts w:ascii="Courier New" w:cs="Courier New" w:eastAsia="Courier New" w:hAnsi="Courier New"/>
          <w:sz w:val="15"/>
          <w:szCs w:val="15"/>
          <w:color w:val="auto"/>
        </w:rPr>
        <w:t>Suite 800</w:t>
      </w:r>
    </w:p>
    <w:p>
      <w:pPr>
        <w:ind w:left="10"/>
        <w:spacing w:after="0"/>
        <w:rPr>
          <w:sz w:val="20"/>
          <w:szCs w:val="20"/>
          <w:color w:val="auto"/>
        </w:rPr>
      </w:pPr>
      <w:r>
        <w:rPr>
          <w:rFonts w:ascii="Courier New" w:cs="Courier New" w:eastAsia="Courier New" w:hAnsi="Courier New"/>
          <w:sz w:val="15"/>
          <w:szCs w:val="15"/>
          <w:color w:val="auto"/>
        </w:rPr>
        <w:t>Miami Springs, FL 33166</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Jerry:</w:t>
      </w:r>
    </w:p>
    <w:p>
      <w:pPr>
        <w:spacing w:after="0" w:line="169"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5"/>
          <w:szCs w:val="15"/>
          <w:color w:val="auto"/>
        </w:rPr>
        <w:t>Pursuant to the minutes of the meeting of the Compensation Committee of April 29, 1997, this letter is intended to extend your employment agreement (the "Agreement") dated March 31, 1996 with World Fuel Services Corporation (the "Company"). According to the terms of the Agreement, the Company has agreed to employ you until March 31, 2001, and you have agreed not to compete with the Company, on the terms and conditions set forth in the Agreement. In this regard, for good and valuable consideration, the Company agrees as follows:</w:t>
      </w:r>
    </w:p>
    <w:p>
      <w:pPr>
        <w:spacing w:after="0" w:line="82" w:lineRule="exact"/>
        <w:rPr>
          <w:sz w:val="20"/>
          <w:szCs w:val="20"/>
          <w:color w:val="auto"/>
        </w:rPr>
      </w:pPr>
    </w:p>
    <w:p>
      <w:pPr>
        <w:ind w:left="450" w:right="3259" w:hanging="450"/>
        <w:spacing w:after="0" w:line="384" w:lineRule="auto"/>
        <w:tabs>
          <w:tab w:leader="none" w:pos="4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agreed to extend the term of Executive's employment with the Company for one additional year, so that it now expires on March 31, 2002.</w:t>
      </w:r>
    </w:p>
    <w:p>
      <w:pPr>
        <w:spacing w:after="0" w:line="1" w:lineRule="exact"/>
        <w:rPr>
          <w:sz w:val="20"/>
          <w:szCs w:val="20"/>
          <w:color w:val="auto"/>
        </w:rPr>
      </w:pPr>
    </w:p>
    <w:p>
      <w:pPr>
        <w:ind w:left="10" w:right="3179"/>
        <w:spacing w:after="0" w:line="275" w:lineRule="auto"/>
        <w:rPr>
          <w:sz w:val="20"/>
          <w:szCs w:val="20"/>
          <w:color w:val="auto"/>
        </w:rPr>
      </w:pPr>
      <w:r>
        <w:rPr>
          <w:rFonts w:ascii="Courier New" w:cs="Courier New" w:eastAsia="Courier New" w:hAnsi="Courier New"/>
          <w:sz w:val="15"/>
          <w:szCs w:val="15"/>
          <w:color w:val="auto"/>
        </w:rPr>
        <w:t>Except for the modifications of the agreement set forth above, all of the terms, provisions and conditions set forth in the Agreement, including without limitations the Covenant Against Unfair competition set forth in Section 6 of the Agreement, shall remain in full force and effect.</w:t>
      </w:r>
    </w:p>
    <w:p>
      <w:pPr>
        <w:spacing w:after="0" w:line="2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Sincerely yours,</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 /s/ JOHN R. BENBOW</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10"/>
        <w:spacing w:after="0"/>
        <w:rPr>
          <w:sz w:val="20"/>
          <w:szCs w:val="20"/>
          <w:color w:val="auto"/>
        </w:rPr>
      </w:pPr>
      <w:r>
        <w:rPr>
          <w:rFonts w:ascii="Courier New" w:cs="Courier New" w:eastAsia="Courier New" w:hAnsi="Courier New"/>
          <w:sz w:val="15"/>
          <w:szCs w:val="15"/>
          <w:color w:val="auto"/>
        </w:rPr>
        <w:t>Chairman of the Compensation Committee</w:t>
      </w:r>
    </w:p>
    <w:p>
      <w:pPr>
        <w:sectPr>
          <w:pgSz w:w="11900" w:h="16838" w:orient="portrait"/>
          <w:cols w:equalWidth="0" w:num="1">
            <w:col w:w="10229"/>
          </w:cols>
          <w:pgMar w:left="230" w:top="285" w:right="1440" w:bottom="1440" w:gutter="0" w:footer="0" w:header="0"/>
        </w:sectPr>
      </w:pP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WITNESSES: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80" w:lineRule="exact"/>
        <w:rPr>
          <w:sz w:val="20"/>
          <w:szCs w:val="20"/>
          <w:color w:val="auto"/>
        </w:rPr>
      </w:pPr>
    </w:p>
    <w:p>
      <w:pPr>
        <w:sectPr>
          <w:pgSz w:w="11900" w:h="16838" w:orient="portrait"/>
          <w:cols w:equalWidth="0" w:num="2">
            <w:col w:w="3330" w:space="720"/>
            <w:col w:w="6179"/>
          </w:cols>
          <w:pgMar w:left="230" w:top="285"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By: /s/ JANET D. RUSAKOV</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JERROLD BLAIR</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sectPr>
          <w:pgSz w:w="11900" w:h="16838" w:orient="portrait"/>
          <w:cols w:equalWidth="0" w:num="2">
            <w:col w:w="3330" w:space="720"/>
            <w:col w:w="6179"/>
          </w:cols>
          <w:pgMar w:left="230" w:top="285"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By: /s/ SONIA ASENCIO</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[LETTERHEAD]</w:t>
      </w:r>
    </w:p>
    <w:p>
      <w:pPr>
        <w:sectPr>
          <w:pgSz w:w="11900" w:h="16838" w:orient="portrait"/>
          <w:cols w:equalWidth="0" w:num="1">
            <w:col w:w="10229"/>
          </w:cols>
          <w:pgMar w:left="230" w:top="285" w:right="1440" w:bottom="1440" w:gutter="0" w:footer="0" w:header="0"/>
          <w:type w:val="continuous"/>
        </w:sectPr>
      </w:pPr>
    </w:p>
    <w:bookmarkStart w:id="52" w:name="page53"/>
    <w:bookmarkEnd w:id="52"/>
    <w:p>
      <w:pPr>
        <w:jc w:val="right"/>
        <w:ind w:right="3179"/>
        <w:spacing w:after="0"/>
        <w:rPr>
          <w:sz w:val="20"/>
          <w:szCs w:val="20"/>
          <w:color w:val="auto"/>
        </w:rPr>
      </w:pPr>
      <w:r>
        <w:rPr>
          <w:rFonts w:ascii="Courier New" w:cs="Courier New" w:eastAsia="Courier New" w:hAnsi="Courier New"/>
          <w:sz w:val="15"/>
          <w:szCs w:val="15"/>
          <w:color w:val="auto"/>
        </w:rPr>
        <w:t>EXHIBIT 10.B(2)</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[LOGO]</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April 29, 1997</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Mr. Ralph Weiser</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World Fuel Services Corporation</w:t>
      </w:r>
    </w:p>
    <w:p>
      <w:pPr>
        <w:ind w:left="10"/>
        <w:spacing w:after="0"/>
        <w:rPr>
          <w:sz w:val="20"/>
          <w:szCs w:val="20"/>
          <w:color w:val="auto"/>
        </w:rPr>
      </w:pPr>
      <w:r>
        <w:rPr>
          <w:rFonts w:ascii="Courier New" w:cs="Courier New" w:eastAsia="Courier New" w:hAnsi="Courier New"/>
          <w:sz w:val="15"/>
          <w:szCs w:val="15"/>
          <w:color w:val="auto"/>
        </w:rPr>
        <w:t>700 S. Royal Poinciana Boulevard</w:t>
      </w:r>
    </w:p>
    <w:p>
      <w:pPr>
        <w:ind w:left="10"/>
        <w:spacing w:after="0"/>
        <w:rPr>
          <w:sz w:val="20"/>
          <w:szCs w:val="20"/>
          <w:color w:val="auto"/>
        </w:rPr>
      </w:pPr>
      <w:r>
        <w:rPr>
          <w:rFonts w:ascii="Courier New" w:cs="Courier New" w:eastAsia="Courier New" w:hAnsi="Courier New"/>
          <w:sz w:val="15"/>
          <w:szCs w:val="15"/>
          <w:color w:val="auto"/>
        </w:rPr>
        <w:t>Suite 800</w:t>
      </w:r>
    </w:p>
    <w:p>
      <w:pPr>
        <w:ind w:left="10"/>
        <w:spacing w:after="0"/>
        <w:rPr>
          <w:sz w:val="20"/>
          <w:szCs w:val="20"/>
          <w:color w:val="auto"/>
        </w:rPr>
      </w:pPr>
      <w:r>
        <w:rPr>
          <w:rFonts w:ascii="Courier New" w:cs="Courier New" w:eastAsia="Courier New" w:hAnsi="Courier New"/>
          <w:sz w:val="15"/>
          <w:szCs w:val="15"/>
          <w:color w:val="auto"/>
        </w:rPr>
        <w:t>Miami Springs, FL 33166</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Ralph:</w:t>
      </w:r>
    </w:p>
    <w:p>
      <w:pPr>
        <w:spacing w:after="0" w:line="169"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5"/>
          <w:szCs w:val="15"/>
          <w:color w:val="auto"/>
        </w:rPr>
        <w:t>Pursuant to the minutes of the meeting of the Compensation Committee of April 29, 1997, this letter is intended to extend your employment agreement (the "Agreement") dated March 31, 1996 with World Fuel Services Corporation (the "Company"). According to the terms of the Agreement, the Company has agreed to employ you until March 31, 2001, and you have agreed not to compete with the Company, on the terms and conditions set forth in the Agreement. In this regard, for good and valuable consideration, the Company agrees as follows:</w:t>
      </w:r>
    </w:p>
    <w:p>
      <w:pPr>
        <w:spacing w:after="0" w:line="82" w:lineRule="exact"/>
        <w:rPr>
          <w:sz w:val="20"/>
          <w:szCs w:val="20"/>
          <w:color w:val="auto"/>
        </w:rPr>
      </w:pPr>
    </w:p>
    <w:p>
      <w:pPr>
        <w:ind w:left="450" w:right="3259" w:hanging="450"/>
        <w:spacing w:after="0" w:line="384" w:lineRule="auto"/>
        <w:tabs>
          <w:tab w:leader="none" w:pos="4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agreed to extend the term of Executive's employment with the Company for one additional year, so that it now expires on March 31, 2002.</w:t>
      </w:r>
    </w:p>
    <w:p>
      <w:pPr>
        <w:spacing w:after="0" w:line="1" w:lineRule="exact"/>
        <w:rPr>
          <w:sz w:val="20"/>
          <w:szCs w:val="20"/>
          <w:color w:val="auto"/>
        </w:rPr>
      </w:pPr>
    </w:p>
    <w:p>
      <w:pPr>
        <w:ind w:left="10" w:right="3179"/>
        <w:spacing w:after="0" w:line="275" w:lineRule="auto"/>
        <w:rPr>
          <w:sz w:val="20"/>
          <w:szCs w:val="20"/>
          <w:color w:val="auto"/>
        </w:rPr>
      </w:pPr>
      <w:r>
        <w:rPr>
          <w:rFonts w:ascii="Courier New" w:cs="Courier New" w:eastAsia="Courier New" w:hAnsi="Courier New"/>
          <w:sz w:val="15"/>
          <w:szCs w:val="15"/>
          <w:color w:val="auto"/>
        </w:rPr>
        <w:t>Except for the modifications of the agreement set forth above, all of the terms, provisions and conditions set forth in the Agreement, including without limitations the Covenant Against Unfair competition set forth in Section 6 of the Agreement, shall remain in full force and effect.</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Sincerely yours,</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 /s/ JOHN R. BENBOW</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10"/>
        <w:spacing w:after="0"/>
        <w:rPr>
          <w:sz w:val="20"/>
          <w:szCs w:val="20"/>
          <w:color w:val="auto"/>
        </w:rPr>
      </w:pPr>
      <w:r>
        <w:rPr>
          <w:rFonts w:ascii="Courier New" w:cs="Courier New" w:eastAsia="Courier New" w:hAnsi="Courier New"/>
          <w:sz w:val="15"/>
          <w:szCs w:val="15"/>
          <w:color w:val="auto"/>
        </w:rPr>
        <w:t>Chairman of the Compensation Committee</w:t>
      </w:r>
    </w:p>
    <w:p>
      <w:pPr>
        <w:sectPr>
          <w:pgSz w:w="11900" w:h="16838" w:orient="portrait"/>
          <w:cols w:equalWidth="0" w:num="1">
            <w:col w:w="10229"/>
          </w:cols>
          <w:pgMar w:left="230" w:top="115" w:right="1440" w:bottom="1440" w:gutter="0" w:footer="0" w:header="0"/>
        </w:sectPr>
      </w:pP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WITNESSES: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80" w:lineRule="exact"/>
        <w:rPr>
          <w:sz w:val="20"/>
          <w:szCs w:val="20"/>
          <w:color w:val="auto"/>
        </w:rPr>
      </w:pPr>
    </w:p>
    <w:p>
      <w:pPr>
        <w:sectPr>
          <w:pgSz w:w="11900" w:h="16838" w:orient="portrait"/>
          <w:cols w:equalWidth="0" w:num="2">
            <w:col w:w="3510" w:space="720"/>
            <w:col w:w="5999"/>
          </w:cols>
          <w:pgMar w:left="230" w:top="115"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By: /s/ SONIA ASENCIO</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RALPH WEISER</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510" w:space="720"/>
            <w:col w:w="5999"/>
          </w:cols>
          <w:pgMar w:left="230" w:top="115" w:right="1440" w:bottom="1440" w:gutter="0" w:footer="0" w:header="0"/>
          <w:type w:val="continuous"/>
        </w:sectPr>
      </w:pPr>
    </w:p>
    <w:p>
      <w:pPr>
        <w:spacing w:after="0" w:line="12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 /s/ JANET D. RUSAKOV</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[LETTERHEAD]</w:t>
      </w:r>
    </w:p>
    <w:p>
      <w:pPr>
        <w:sectPr>
          <w:pgSz w:w="11900" w:h="16838" w:orient="portrait"/>
          <w:cols w:equalWidth="0" w:num="1">
            <w:col w:w="10229"/>
          </w:cols>
          <w:pgMar w:left="230" w:top="115" w:right="1440" w:bottom="1440" w:gutter="0" w:footer="0" w:header="0"/>
          <w:type w:val="continuous"/>
        </w:sectPr>
      </w:pPr>
    </w:p>
    <w:bookmarkStart w:id="53" w:name="page54"/>
    <w:bookmarkEnd w:id="53"/>
    <w:p>
      <w:pPr>
        <w:ind w:left="1670"/>
        <w:spacing w:after="0"/>
        <w:rPr>
          <w:sz w:val="20"/>
          <w:szCs w:val="20"/>
          <w:color w:val="auto"/>
        </w:rPr>
      </w:pPr>
      <w:r>
        <w:rPr>
          <w:rFonts w:ascii="Courier New" w:cs="Courier New" w:eastAsia="Courier New" w:hAnsi="Courier New"/>
          <w:sz w:val="15"/>
          <w:szCs w:val="15"/>
          <w:color w:val="auto"/>
        </w:rPr>
        <w:t>Exhibit 21 - Subsidiaries of the Registrant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Advance Petroleum, Inc., a Florida corporation (1)</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Advance Aviation Services, Inc., a Florida corporation (10)</w:t>
      </w:r>
    </w:p>
    <w:p>
      <w:pPr>
        <w:ind w:left="10"/>
        <w:spacing w:after="0"/>
        <w:rPr>
          <w:sz w:val="20"/>
          <w:szCs w:val="20"/>
          <w:color w:val="auto"/>
        </w:rPr>
      </w:pPr>
      <w:r>
        <w:rPr>
          <w:rFonts w:ascii="Courier New" w:cs="Courier New" w:eastAsia="Courier New" w:hAnsi="Courier New"/>
          <w:sz w:val="15"/>
          <w:szCs w:val="15"/>
          <w:color w:val="auto"/>
        </w:rPr>
        <w:t>AirData Limited, a United Kingdom corporation (2)</w:t>
      </w:r>
    </w:p>
    <w:p>
      <w:pPr>
        <w:ind w:left="10"/>
        <w:spacing w:after="0"/>
        <w:rPr>
          <w:sz w:val="20"/>
          <w:szCs w:val="20"/>
          <w:color w:val="auto"/>
        </w:rPr>
      </w:pPr>
      <w:r>
        <w:rPr>
          <w:rFonts w:ascii="Courier New" w:cs="Courier New" w:eastAsia="Courier New" w:hAnsi="Courier New"/>
          <w:sz w:val="15"/>
          <w:szCs w:val="15"/>
          <w:color w:val="auto"/>
        </w:rPr>
        <w:t>Air Terminaling, Inc., a Florida corporation (10)</w:t>
      </w:r>
    </w:p>
    <w:p>
      <w:pPr>
        <w:ind w:left="10"/>
        <w:spacing w:after="0"/>
        <w:rPr>
          <w:sz w:val="20"/>
          <w:szCs w:val="20"/>
          <w:color w:val="auto"/>
        </w:rPr>
      </w:pPr>
      <w:r>
        <w:rPr>
          <w:rFonts w:ascii="Courier New" w:cs="Courier New" w:eastAsia="Courier New" w:hAnsi="Courier New"/>
          <w:sz w:val="15"/>
          <w:szCs w:val="15"/>
          <w:color w:val="auto"/>
        </w:rPr>
        <w:t>Baseops Europe Ltd., a United Kingdom corporation (3)</w:t>
      </w:r>
    </w:p>
    <w:p>
      <w:pPr>
        <w:ind w:left="10"/>
        <w:spacing w:after="0"/>
        <w:rPr>
          <w:sz w:val="20"/>
          <w:szCs w:val="20"/>
          <w:color w:val="auto"/>
        </w:rPr>
      </w:pPr>
      <w:r>
        <w:rPr>
          <w:rFonts w:ascii="Courier New" w:cs="Courier New" w:eastAsia="Courier New" w:hAnsi="Courier New"/>
          <w:sz w:val="15"/>
          <w:szCs w:val="15"/>
          <w:color w:val="auto"/>
        </w:rPr>
        <w:t>Baseops International, Inc., a Texas corporation</w:t>
      </w:r>
    </w:p>
    <w:p>
      <w:pPr>
        <w:ind w:left="10"/>
        <w:spacing w:after="0"/>
        <w:rPr>
          <w:sz w:val="20"/>
          <w:szCs w:val="20"/>
          <w:color w:val="auto"/>
        </w:rPr>
      </w:pPr>
      <w:r>
        <w:rPr>
          <w:rFonts w:ascii="Courier New" w:cs="Courier New" w:eastAsia="Courier New" w:hAnsi="Courier New"/>
          <w:sz w:val="15"/>
          <w:szCs w:val="15"/>
          <w:color w:val="auto"/>
        </w:rPr>
        <w:t>Casa Petro S.A., a Costa Rica corporation</w:t>
      </w:r>
    </w:p>
    <w:p>
      <w:pPr>
        <w:ind w:left="10"/>
        <w:spacing w:after="0"/>
        <w:rPr>
          <w:sz w:val="20"/>
          <w:szCs w:val="20"/>
          <w:color w:val="auto"/>
        </w:rPr>
      </w:pPr>
      <w:r>
        <w:rPr>
          <w:rFonts w:ascii="Courier New" w:cs="Courier New" w:eastAsia="Courier New" w:hAnsi="Courier New"/>
          <w:sz w:val="15"/>
          <w:szCs w:val="15"/>
          <w:color w:val="auto"/>
        </w:rPr>
        <w:t>Cherokee Group, Inc., a Florida corporation</w:t>
      </w:r>
    </w:p>
    <w:p>
      <w:pPr>
        <w:ind w:left="10"/>
        <w:spacing w:after="0"/>
        <w:rPr>
          <w:sz w:val="20"/>
          <w:szCs w:val="20"/>
          <w:color w:val="auto"/>
        </w:rPr>
      </w:pPr>
      <w:r>
        <w:rPr>
          <w:rFonts w:ascii="Courier New" w:cs="Courier New" w:eastAsia="Courier New" w:hAnsi="Courier New"/>
          <w:sz w:val="15"/>
          <w:szCs w:val="15"/>
          <w:color w:val="auto"/>
        </w:rPr>
        <w:t>International Environmental Services, Inc., a Florida corporation</w:t>
      </w:r>
    </w:p>
    <w:p>
      <w:pPr>
        <w:ind w:left="10"/>
        <w:spacing w:after="0"/>
        <w:rPr>
          <w:sz w:val="20"/>
          <w:szCs w:val="20"/>
          <w:color w:val="auto"/>
        </w:rPr>
      </w:pPr>
      <w:r>
        <w:rPr>
          <w:rFonts w:ascii="Courier New" w:cs="Courier New" w:eastAsia="Courier New" w:hAnsi="Courier New"/>
          <w:sz w:val="15"/>
          <w:szCs w:val="15"/>
          <w:color w:val="auto"/>
        </w:rPr>
        <w:t>International Petroleum Corporation, a Florida corporation (4)</w:t>
      </w:r>
    </w:p>
    <w:p>
      <w:pPr>
        <w:ind w:left="10"/>
        <w:spacing w:after="0"/>
        <w:rPr>
          <w:sz w:val="20"/>
          <w:szCs w:val="20"/>
          <w:color w:val="auto"/>
        </w:rPr>
      </w:pPr>
      <w:r>
        <w:rPr>
          <w:rFonts w:ascii="Courier New" w:cs="Courier New" w:eastAsia="Courier New" w:hAnsi="Courier New"/>
          <w:sz w:val="15"/>
          <w:szCs w:val="15"/>
          <w:color w:val="auto"/>
        </w:rPr>
        <w:t>International Petroleum Corporation of LA, a Louisiana corporation (4)</w:t>
      </w:r>
    </w:p>
    <w:p>
      <w:pPr>
        <w:ind w:left="10"/>
        <w:spacing w:after="0"/>
        <w:rPr>
          <w:sz w:val="20"/>
          <w:szCs w:val="20"/>
          <w:color w:val="auto"/>
        </w:rPr>
      </w:pPr>
      <w:r>
        <w:rPr>
          <w:rFonts w:ascii="Courier New" w:cs="Courier New" w:eastAsia="Courier New" w:hAnsi="Courier New"/>
          <w:sz w:val="15"/>
          <w:szCs w:val="15"/>
          <w:color w:val="auto"/>
        </w:rPr>
        <w:t>International Petroleum Corporation of Lafayette, a Louisiana corporation</w:t>
      </w:r>
    </w:p>
    <w:p>
      <w:pPr>
        <w:ind w:left="10"/>
        <w:spacing w:after="0"/>
        <w:rPr>
          <w:sz w:val="20"/>
          <w:szCs w:val="20"/>
          <w:color w:val="auto"/>
        </w:rPr>
      </w:pPr>
      <w:r>
        <w:rPr>
          <w:rFonts w:ascii="Courier New" w:cs="Courier New" w:eastAsia="Courier New" w:hAnsi="Courier New"/>
          <w:sz w:val="15"/>
          <w:szCs w:val="15"/>
          <w:color w:val="auto"/>
        </w:rPr>
        <w:t>International Petroleum Corporation of Maryland, a Maryland corporation (4)</w:t>
      </w:r>
    </w:p>
    <w:p>
      <w:pPr>
        <w:ind w:left="10"/>
        <w:spacing w:after="0"/>
        <w:rPr>
          <w:sz w:val="20"/>
          <w:szCs w:val="20"/>
          <w:color w:val="auto"/>
        </w:rPr>
      </w:pPr>
      <w:r>
        <w:rPr>
          <w:rFonts w:ascii="Courier New" w:cs="Courier New" w:eastAsia="Courier New" w:hAnsi="Courier New"/>
          <w:sz w:val="15"/>
          <w:szCs w:val="15"/>
          <w:color w:val="auto"/>
        </w:rPr>
        <w:t>International Petroleum Corp. of Delaware, a Delaware corporation (4)</w:t>
      </w:r>
    </w:p>
    <w:p>
      <w:pPr>
        <w:ind w:left="10"/>
        <w:spacing w:after="0"/>
        <w:rPr>
          <w:sz w:val="20"/>
          <w:szCs w:val="20"/>
          <w:color w:val="auto"/>
        </w:rPr>
      </w:pPr>
      <w:r>
        <w:rPr>
          <w:rFonts w:ascii="Courier New" w:cs="Courier New" w:eastAsia="Courier New" w:hAnsi="Courier New"/>
          <w:sz w:val="15"/>
          <w:szCs w:val="15"/>
          <w:color w:val="auto"/>
        </w:rPr>
        <w:t>International Petroleum Corp. of Georgia, a Georgia corporation (10)</w:t>
      </w:r>
    </w:p>
    <w:p>
      <w:pPr>
        <w:ind w:left="10"/>
        <w:spacing w:after="0"/>
        <w:rPr>
          <w:sz w:val="20"/>
          <w:szCs w:val="20"/>
          <w:color w:val="auto"/>
        </w:rPr>
      </w:pPr>
      <w:r>
        <w:rPr>
          <w:rFonts w:ascii="Courier New" w:cs="Courier New" w:eastAsia="Courier New" w:hAnsi="Courier New"/>
          <w:sz w:val="15"/>
          <w:szCs w:val="15"/>
          <w:color w:val="auto"/>
        </w:rPr>
        <w:t>International Petroleum Corp. of Pennsylvania, a Pennsylvania corporation (10)</w:t>
      </w:r>
    </w:p>
    <w:p>
      <w:pPr>
        <w:ind w:left="10"/>
        <w:spacing w:after="0"/>
        <w:rPr>
          <w:sz w:val="20"/>
          <w:szCs w:val="20"/>
          <w:color w:val="auto"/>
        </w:rPr>
      </w:pPr>
      <w:r>
        <w:rPr>
          <w:rFonts w:ascii="Courier New" w:cs="Courier New" w:eastAsia="Courier New" w:hAnsi="Courier New"/>
          <w:sz w:val="15"/>
          <w:szCs w:val="15"/>
          <w:color w:val="auto"/>
        </w:rPr>
        <w:t>Pacific Horizon Petroleum Corporation, a Delaware corporation</w:t>
      </w:r>
    </w:p>
    <w:p>
      <w:pPr>
        <w:ind w:left="10"/>
        <w:spacing w:after="0"/>
        <w:rPr>
          <w:sz w:val="20"/>
          <w:szCs w:val="20"/>
          <w:color w:val="auto"/>
        </w:rPr>
      </w:pPr>
      <w:r>
        <w:rPr>
          <w:rFonts w:ascii="Courier New" w:cs="Courier New" w:eastAsia="Courier New" w:hAnsi="Courier New"/>
          <w:sz w:val="15"/>
          <w:szCs w:val="15"/>
          <w:color w:val="auto"/>
        </w:rPr>
        <w:t>PetroServicios de Costa Rica S.A., a Costa Rica corporation (5)</w:t>
      </w:r>
    </w:p>
    <w:p>
      <w:pPr>
        <w:ind w:left="10"/>
        <w:spacing w:after="0"/>
        <w:rPr>
          <w:sz w:val="20"/>
          <w:szCs w:val="20"/>
          <w:color w:val="auto"/>
        </w:rPr>
      </w:pPr>
      <w:r>
        <w:rPr>
          <w:rFonts w:ascii="Courier New" w:cs="Courier New" w:eastAsia="Courier New" w:hAnsi="Courier New"/>
          <w:sz w:val="15"/>
          <w:szCs w:val="15"/>
          <w:color w:val="auto"/>
        </w:rPr>
        <w:t>PetroServicios de Mexico S.A. de C.V., a Mexico corporation (6)</w:t>
      </w:r>
    </w:p>
    <w:p>
      <w:pPr>
        <w:ind w:left="10"/>
        <w:spacing w:after="0"/>
        <w:rPr>
          <w:sz w:val="20"/>
          <w:szCs w:val="20"/>
          <w:color w:val="auto"/>
        </w:rPr>
      </w:pPr>
      <w:r>
        <w:rPr>
          <w:rFonts w:ascii="Courier New" w:cs="Courier New" w:eastAsia="Courier New" w:hAnsi="Courier New"/>
          <w:sz w:val="15"/>
          <w:szCs w:val="15"/>
          <w:color w:val="auto"/>
        </w:rPr>
        <w:t>PetroServicios WFS del Peru, S.A., a Peru corporation (9)(10)</w:t>
      </w:r>
    </w:p>
    <w:p>
      <w:pPr>
        <w:ind w:left="10"/>
        <w:spacing w:after="0"/>
        <w:rPr>
          <w:sz w:val="20"/>
          <w:szCs w:val="20"/>
          <w:color w:val="auto"/>
        </w:rPr>
      </w:pPr>
      <w:r>
        <w:rPr>
          <w:rFonts w:ascii="Courier New" w:cs="Courier New" w:eastAsia="Courier New" w:hAnsi="Courier New"/>
          <w:sz w:val="15"/>
          <w:szCs w:val="15"/>
          <w:color w:val="auto"/>
        </w:rPr>
        <w:t>Resource Recovery Atlantic, Inc., a Delaware corporation (7)(10)</w:t>
      </w:r>
    </w:p>
    <w:p>
      <w:pPr>
        <w:ind w:left="10"/>
        <w:spacing w:after="0"/>
        <w:rPr>
          <w:sz w:val="20"/>
          <w:szCs w:val="20"/>
          <w:color w:val="auto"/>
        </w:rPr>
      </w:pPr>
      <w:r>
        <w:rPr>
          <w:rFonts w:ascii="Courier New" w:cs="Courier New" w:eastAsia="Courier New" w:hAnsi="Courier New"/>
          <w:sz w:val="15"/>
          <w:szCs w:val="15"/>
          <w:color w:val="auto"/>
        </w:rPr>
        <w:t>Resource Recovery Mid South, Inc., a Virginia corporation (7)(10)</w:t>
      </w:r>
    </w:p>
    <w:p>
      <w:pPr>
        <w:ind w:left="10"/>
        <w:spacing w:after="0"/>
        <w:rPr>
          <w:sz w:val="20"/>
          <w:szCs w:val="20"/>
          <w:color w:val="auto"/>
        </w:rPr>
      </w:pPr>
      <w:r>
        <w:rPr>
          <w:rFonts w:ascii="Courier New" w:cs="Courier New" w:eastAsia="Courier New" w:hAnsi="Courier New"/>
          <w:sz w:val="15"/>
          <w:szCs w:val="15"/>
          <w:color w:val="auto"/>
        </w:rPr>
        <w:t>Resource Recovery of America, Inc., a Florida corporation (10)</w:t>
      </w:r>
    </w:p>
    <w:p>
      <w:pPr>
        <w:ind w:left="10"/>
        <w:spacing w:after="0"/>
        <w:rPr>
          <w:sz w:val="20"/>
          <w:szCs w:val="20"/>
          <w:color w:val="auto"/>
        </w:rPr>
      </w:pPr>
      <w:r>
        <w:rPr>
          <w:rFonts w:ascii="Courier New" w:cs="Courier New" w:eastAsia="Courier New" w:hAnsi="Courier New"/>
          <w:sz w:val="15"/>
          <w:szCs w:val="15"/>
          <w:color w:val="auto"/>
        </w:rPr>
        <w:t>Servicios Auxiliares de Mexico S.A. de C.V., a Mexico corporation (6)</w:t>
      </w:r>
    </w:p>
    <w:p>
      <w:pPr>
        <w:ind w:left="10"/>
        <w:spacing w:after="0"/>
        <w:rPr>
          <w:sz w:val="20"/>
          <w:szCs w:val="20"/>
          <w:color w:val="auto"/>
        </w:rPr>
      </w:pPr>
      <w:r>
        <w:rPr>
          <w:rFonts w:ascii="Courier New" w:cs="Courier New" w:eastAsia="Courier New" w:hAnsi="Courier New"/>
          <w:sz w:val="15"/>
          <w:szCs w:val="15"/>
          <w:color w:val="auto"/>
        </w:rPr>
        <w:t>Trans-Tec Argentina S.A., an Argentina corporation (10)</w:t>
      </w:r>
    </w:p>
    <w:p>
      <w:pPr>
        <w:ind w:left="10"/>
        <w:spacing w:after="0"/>
        <w:rPr>
          <w:sz w:val="20"/>
          <w:szCs w:val="20"/>
          <w:color w:val="auto"/>
        </w:rPr>
      </w:pPr>
      <w:r>
        <w:rPr>
          <w:rFonts w:ascii="Courier New" w:cs="Courier New" w:eastAsia="Courier New" w:hAnsi="Courier New"/>
          <w:sz w:val="15"/>
          <w:szCs w:val="15"/>
          <w:color w:val="auto"/>
        </w:rPr>
        <w:t>Trans-Tec International S.A., a Costa Rica corporation</w:t>
      </w:r>
    </w:p>
    <w:p>
      <w:pPr>
        <w:ind w:left="10"/>
        <w:spacing w:after="0"/>
        <w:rPr>
          <w:sz w:val="20"/>
          <w:szCs w:val="20"/>
          <w:color w:val="auto"/>
        </w:rPr>
      </w:pPr>
      <w:r>
        <w:rPr>
          <w:rFonts w:ascii="Courier New" w:cs="Courier New" w:eastAsia="Courier New" w:hAnsi="Courier New"/>
          <w:sz w:val="15"/>
          <w:szCs w:val="15"/>
          <w:color w:val="auto"/>
        </w:rPr>
        <w:t>Trans-Tec Services, Inc., a Delaware corporation</w:t>
      </w:r>
    </w:p>
    <w:p>
      <w:pPr>
        <w:ind w:left="10"/>
        <w:spacing w:after="0"/>
        <w:rPr>
          <w:sz w:val="20"/>
          <w:szCs w:val="20"/>
          <w:color w:val="auto"/>
        </w:rPr>
      </w:pPr>
      <w:r>
        <w:rPr>
          <w:rFonts w:ascii="Courier New" w:cs="Courier New" w:eastAsia="Courier New" w:hAnsi="Courier New"/>
          <w:sz w:val="15"/>
          <w:szCs w:val="15"/>
          <w:color w:val="auto"/>
        </w:rPr>
        <w:t>Trans-Tec Services (UK) Ltd., a United Kingdom corporation</w:t>
      </w:r>
    </w:p>
    <w:p>
      <w:pPr>
        <w:ind w:left="10"/>
        <w:spacing w:after="0"/>
        <w:rPr>
          <w:sz w:val="20"/>
          <w:szCs w:val="20"/>
          <w:color w:val="auto"/>
        </w:rPr>
      </w:pPr>
      <w:r>
        <w:rPr>
          <w:rFonts w:ascii="Courier New" w:cs="Courier New" w:eastAsia="Courier New" w:hAnsi="Courier New"/>
          <w:sz w:val="15"/>
          <w:szCs w:val="15"/>
          <w:color w:val="auto"/>
        </w:rPr>
        <w:t>Trans-Tec Services (Singapore) PTE. Ltd., a Singapore corporation (8)</w:t>
      </w:r>
    </w:p>
    <w:p>
      <w:pPr>
        <w:ind w:left="10"/>
        <w:spacing w:after="0"/>
        <w:rPr>
          <w:sz w:val="20"/>
          <w:szCs w:val="20"/>
          <w:color w:val="auto"/>
        </w:rPr>
      </w:pPr>
      <w:r>
        <w:rPr>
          <w:rFonts w:ascii="Courier New" w:cs="Courier New" w:eastAsia="Courier New" w:hAnsi="Courier New"/>
          <w:sz w:val="15"/>
          <w:szCs w:val="15"/>
          <w:color w:val="auto"/>
        </w:rPr>
        <w:t>World Fuel International S.A., a Costa Rica corporation</w:t>
      </w:r>
    </w:p>
    <w:p>
      <w:pPr>
        <w:ind w:left="10"/>
        <w:spacing w:after="0"/>
        <w:rPr>
          <w:sz w:val="20"/>
          <w:szCs w:val="20"/>
          <w:color w:val="auto"/>
        </w:rPr>
      </w:pPr>
      <w:r>
        <w:rPr>
          <w:rFonts w:ascii="Courier New" w:cs="Courier New" w:eastAsia="Courier New" w:hAnsi="Courier New"/>
          <w:sz w:val="15"/>
          <w:szCs w:val="15"/>
          <w:color w:val="auto"/>
        </w:rPr>
        <w:t>World Fuel Miami, Inc., a Florida corporation (10)</w:t>
      </w:r>
    </w:p>
    <w:p>
      <w:pPr>
        <w:ind w:left="10"/>
        <w:spacing w:after="0"/>
        <w:rPr>
          <w:sz w:val="20"/>
          <w:szCs w:val="20"/>
          <w:color w:val="auto"/>
        </w:rPr>
      </w:pPr>
      <w:r>
        <w:rPr>
          <w:rFonts w:ascii="Courier New" w:cs="Courier New" w:eastAsia="Courier New" w:hAnsi="Courier New"/>
          <w:sz w:val="15"/>
          <w:szCs w:val="15"/>
          <w:color w:val="auto"/>
        </w:rPr>
        <w:t>World Fuel Services, Inc., a Texas corporation</w:t>
      </w:r>
    </w:p>
    <w:p>
      <w:pPr>
        <w:ind w:left="10"/>
        <w:spacing w:after="0"/>
        <w:rPr>
          <w:sz w:val="20"/>
          <w:szCs w:val="20"/>
          <w:color w:val="auto"/>
        </w:rPr>
      </w:pPr>
      <w:r>
        <w:rPr>
          <w:rFonts w:ascii="Courier New" w:cs="Courier New" w:eastAsia="Courier New" w:hAnsi="Courier New"/>
          <w:sz w:val="15"/>
          <w:szCs w:val="15"/>
          <w:color w:val="auto"/>
        </w:rPr>
        <w:t>World Fuel Services, Ltd., a United Kingdom corporation</w:t>
      </w:r>
    </w:p>
    <w:p>
      <w:pPr>
        <w:ind w:left="10"/>
        <w:spacing w:after="0"/>
        <w:rPr>
          <w:sz w:val="20"/>
          <w:szCs w:val="20"/>
          <w:color w:val="auto"/>
        </w:rPr>
      </w:pPr>
      <w:r>
        <w:rPr>
          <w:rFonts w:ascii="Courier New" w:cs="Courier New" w:eastAsia="Courier New" w:hAnsi="Courier New"/>
          <w:sz w:val="15"/>
          <w:szCs w:val="15"/>
          <w:color w:val="auto"/>
        </w:rPr>
        <w:t>World Fuel Services (Singapore) PTE. Ltd., a Singapore corporation</w:t>
      </w:r>
    </w:p>
    <w:p>
      <w:pPr>
        <w:ind w:left="10"/>
        <w:spacing w:after="0"/>
        <w:rPr>
          <w:sz w:val="20"/>
          <w:szCs w:val="20"/>
          <w:color w:val="auto"/>
        </w:rPr>
      </w:pPr>
      <w:r>
        <w:rPr>
          <w:rFonts w:ascii="Courier New" w:cs="Courier New" w:eastAsia="Courier New" w:hAnsi="Courier New"/>
          <w:sz w:val="15"/>
          <w:szCs w:val="15"/>
          <w:color w:val="auto"/>
        </w:rPr>
        <w:t>World Fuel Services of Chile S.A., a Chile corporation (6)(10)</w:t>
      </w:r>
    </w:p>
    <w:p>
      <w:pPr>
        <w:ind w:left="10"/>
        <w:spacing w:after="0"/>
        <w:rPr>
          <w:sz w:val="20"/>
          <w:szCs w:val="20"/>
          <w:color w:val="auto"/>
        </w:rPr>
      </w:pPr>
      <w:r>
        <w:rPr>
          <w:rFonts w:ascii="Courier New" w:cs="Courier New" w:eastAsia="Courier New" w:hAnsi="Courier New"/>
          <w:sz w:val="15"/>
          <w:szCs w:val="15"/>
          <w:color w:val="auto"/>
        </w:rPr>
        <w:t>World Fuel Services del Peru, S.A., a Peru corporation (9)(10)</w:t>
      </w:r>
    </w:p>
    <w:p>
      <w:pPr>
        <w:spacing w:after="0" w:line="143" w:lineRule="exact"/>
        <w:rPr>
          <w:sz w:val="20"/>
          <w:szCs w:val="20"/>
          <w:color w:val="auto"/>
        </w:rPr>
      </w:pPr>
    </w:p>
    <w:p>
      <w:pPr>
        <w:ind w:left="350" w:hanging="350"/>
        <w:spacing w:after="0"/>
        <w:tabs>
          <w:tab w:leader="none" w:pos="3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 Petroleum, Inc., operates under the name "World Fuel Services of FL.</w:t>
      </w:r>
    </w:p>
    <w:p>
      <w:pPr>
        <w:spacing w:after="0" w:line="36"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a wholly-owned subsidiary of Baseops Europe Ltd.</w:t>
      </w:r>
    </w:p>
    <w:p>
      <w:pPr>
        <w:ind w:left="350" w:hanging="350"/>
        <w:spacing w:after="0"/>
        <w:tabs>
          <w:tab w:leader="none" w:pos="3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corporation is a wholly-owned subsidiary of Baseops International, Inc.</w:t>
      </w:r>
    </w:p>
    <w:p>
      <w:pPr>
        <w:spacing w:after="0" w:line="10" w:lineRule="exact"/>
        <w:rPr>
          <w:rFonts w:ascii="Courier New" w:cs="Courier New" w:eastAsia="Courier New" w:hAnsi="Courier New"/>
          <w:sz w:val="14"/>
          <w:szCs w:val="14"/>
          <w:color w:val="auto"/>
        </w:rPr>
      </w:pPr>
    </w:p>
    <w:p>
      <w:pPr>
        <w:ind w:left="350" w:right="4319" w:hanging="350"/>
        <w:spacing w:after="0" w:line="239"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collect and purchase used oil under the name "International Oil Service."</w:t>
      </w:r>
    </w:p>
    <w:p>
      <w:pPr>
        <w:ind w:left="350" w:right="3699" w:hanging="350"/>
        <w:spacing w:after="0" w:line="239"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owned 55% by Casa Petro S.A. and 45% by World Fuel Services Corporation.</w:t>
      </w:r>
    </w:p>
    <w:p>
      <w:pPr>
        <w:ind w:left="350" w:right="3259" w:hanging="350"/>
        <w:spacing w:after="0" w:line="239"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owned 50% by Advance Aviation Services, Inc. and 50% by Air Terminaling, Inc.</w:t>
      </w:r>
    </w:p>
    <w:p>
      <w:pPr>
        <w:ind w:left="350" w:right="3539" w:hanging="350"/>
        <w:spacing w:after="0" w:line="239"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are wholly-owned subsidiaries of Resource Recovery of America, Inc.</w:t>
      </w:r>
    </w:p>
    <w:p>
      <w:pPr>
        <w:ind w:left="350" w:right="3539" w:hanging="350"/>
        <w:spacing w:after="0" w:line="239"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a wholly-owned subsidiary of Trans-Tec Services (UK) Ltd.</w:t>
      </w:r>
    </w:p>
    <w:p>
      <w:pPr>
        <w:ind w:left="350" w:right="3359" w:hanging="350"/>
        <w:spacing w:after="0" w:line="239"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are owned 99% by World Fuel Services Corporation and 1% by Advance Aviation Services, Inc.</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 Inactive.</w:t>
      </w:r>
    </w:p>
    <w:p>
      <w:pPr>
        <w:sectPr>
          <w:pgSz w:w="11900" w:h="16838" w:orient="portrait"/>
          <w:cols w:equalWidth="0" w:num="1">
            <w:col w:w="10229"/>
          </w:cols>
          <w:pgMar w:left="230" w:top="285" w:right="1440" w:bottom="1440" w:gutter="0" w:footer="0" w:header="0"/>
        </w:sectPr>
      </w:pPr>
    </w:p>
    <w:bookmarkStart w:id="54" w:name="page55"/>
    <w:bookmarkEnd w:id="54"/>
    <w:p>
      <w:pPr>
        <w:ind w:left="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right="3239"/>
        <w:spacing w:after="0" w:line="293" w:lineRule="auto"/>
        <w:rPr>
          <w:sz w:val="20"/>
          <w:szCs w:val="20"/>
          <w:color w:val="auto"/>
        </w:rPr>
      </w:pPr>
      <w:r>
        <w:rPr>
          <w:rFonts w:ascii="Courier New" w:cs="Courier New" w:eastAsia="Courier New" w:hAnsi="Courier New"/>
          <w:sz w:val="15"/>
          <w:szCs w:val="15"/>
          <w:color w:val="auto"/>
        </w:rPr>
        <w:t>THIS SCHEDULE CONTAINS SUMMARY FINANCIAL INFORMATION EXTRACTED FROM THE COMPANY'S MARCH 31, 1998 AUDITED FINANCIAL STATEMENTS FILED ON FORM 10-K AND IS QUALIFIED IN ITS ENTIRETY BY REFERENCE TO SUCH FINANCIAL STATEMENTS.</w:t>
      </w:r>
    </w:p>
    <w:p>
      <w:pPr>
        <w:spacing w:after="0" w:line="39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spacing w:after="0" w:line="2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MAR-31-1998</w:t>
      </w:r>
    </w:p>
    <w:p>
      <w:pPr>
        <w:ind w:left="2520"/>
        <w:spacing w:after="0"/>
        <w:rPr>
          <w:sz w:val="20"/>
          <w:szCs w:val="20"/>
          <w:color w:val="auto"/>
        </w:rPr>
      </w:pPr>
      <w:r>
        <w:rPr>
          <w:rFonts w:ascii="Courier New" w:cs="Courier New" w:eastAsia="Courier New" w:hAnsi="Courier New"/>
          <w:sz w:val="15"/>
          <w:szCs w:val="15"/>
          <w:color w:val="auto"/>
        </w:rPr>
        <w:t>APR-01-1997</w:t>
      </w:r>
    </w:p>
    <w:p>
      <w:pPr>
        <w:ind w:left="2700"/>
        <w:spacing w:after="0"/>
        <w:rPr>
          <w:sz w:val="20"/>
          <w:szCs w:val="20"/>
          <w:color w:val="auto"/>
        </w:rPr>
      </w:pPr>
      <w:r>
        <w:rPr>
          <w:rFonts w:ascii="Courier New" w:cs="Courier New" w:eastAsia="Courier New" w:hAnsi="Courier New"/>
          <w:sz w:val="15"/>
          <w:szCs w:val="15"/>
          <w:color w:val="auto"/>
        </w:rPr>
        <w:t>MAR-31-1998</w:t>
      </w:r>
    </w:p>
    <w:p>
      <w:pPr>
        <w:ind w:left="3320"/>
        <w:spacing w:after="0"/>
        <w:rPr>
          <w:sz w:val="20"/>
          <w:szCs w:val="20"/>
          <w:color w:val="auto"/>
        </w:rPr>
      </w:pPr>
      <w:r>
        <w:rPr>
          <w:rFonts w:ascii="Courier New" w:cs="Courier New" w:eastAsia="Courier New" w:hAnsi="Courier New"/>
          <w:sz w:val="15"/>
          <w:szCs w:val="15"/>
          <w:color w:val="auto"/>
        </w:rPr>
        <w:t>14,459,000</w:t>
      </w:r>
    </w:p>
    <w:p>
      <w:pPr>
        <w:ind w:left="3580"/>
        <w:spacing w:after="0"/>
        <w:rPr>
          <w:sz w:val="20"/>
          <w:szCs w:val="20"/>
          <w:color w:val="auto"/>
        </w:rPr>
      </w:pPr>
      <w:r>
        <w:rPr>
          <w:rFonts w:ascii="Courier New" w:cs="Courier New" w:eastAsia="Courier New" w:hAnsi="Courier New"/>
          <w:sz w:val="15"/>
          <w:szCs w:val="15"/>
          <w:color w:val="auto"/>
        </w:rPr>
        <w:t>0</w:t>
      </w:r>
    </w:p>
    <w:p>
      <w:pPr>
        <w:ind w:left="2700"/>
        <w:spacing w:after="0"/>
        <w:rPr>
          <w:sz w:val="20"/>
          <w:szCs w:val="20"/>
          <w:color w:val="auto"/>
        </w:rPr>
      </w:pPr>
      <w:r>
        <w:rPr>
          <w:rFonts w:ascii="Courier New" w:cs="Courier New" w:eastAsia="Courier New" w:hAnsi="Courier New"/>
          <w:sz w:val="15"/>
          <w:szCs w:val="15"/>
          <w:color w:val="auto"/>
        </w:rPr>
        <w:t>86,242,000</w:t>
      </w:r>
    </w:p>
    <w:p>
      <w:pPr>
        <w:ind w:left="2880"/>
        <w:spacing w:after="0"/>
        <w:rPr>
          <w:sz w:val="20"/>
          <w:szCs w:val="20"/>
          <w:color w:val="auto"/>
        </w:rPr>
      </w:pPr>
      <w:r>
        <w:rPr>
          <w:rFonts w:ascii="Courier New" w:cs="Courier New" w:eastAsia="Courier New" w:hAnsi="Courier New"/>
          <w:sz w:val="15"/>
          <w:szCs w:val="15"/>
          <w:color w:val="auto"/>
        </w:rPr>
        <w:t>4,594,000</w:t>
      </w:r>
    </w:p>
    <w:p>
      <w:pPr>
        <w:ind w:left="2960"/>
        <w:spacing w:after="0"/>
        <w:rPr>
          <w:sz w:val="20"/>
          <w:szCs w:val="20"/>
          <w:color w:val="auto"/>
        </w:rPr>
      </w:pPr>
      <w:r>
        <w:rPr>
          <w:rFonts w:ascii="Courier New" w:cs="Courier New" w:eastAsia="Courier New" w:hAnsi="Courier New"/>
          <w:sz w:val="15"/>
          <w:szCs w:val="15"/>
          <w:color w:val="auto"/>
        </w:rPr>
        <w:t>5,504,000</w:t>
      </w:r>
    </w:p>
    <w:p>
      <w:pPr>
        <w:ind w:left="2360"/>
        <w:spacing w:after="0"/>
        <w:rPr>
          <w:sz w:val="20"/>
          <w:szCs w:val="20"/>
          <w:color w:val="auto"/>
        </w:rPr>
      </w:pPr>
      <w:r>
        <w:rPr>
          <w:rFonts w:ascii="Courier New" w:cs="Courier New" w:eastAsia="Courier New" w:hAnsi="Courier New"/>
          <w:sz w:val="15"/>
          <w:szCs w:val="15"/>
          <w:color w:val="auto"/>
        </w:rPr>
        <w:t>107,548,000</w:t>
      </w:r>
    </w:p>
    <w:p>
      <w:pPr>
        <w:ind w:left="3320"/>
        <w:spacing w:after="0"/>
        <w:rPr>
          <w:sz w:val="20"/>
          <w:szCs w:val="20"/>
          <w:color w:val="auto"/>
        </w:rPr>
      </w:pPr>
      <w:r>
        <w:rPr>
          <w:rFonts w:ascii="Courier New" w:cs="Courier New" w:eastAsia="Courier New" w:hAnsi="Courier New"/>
          <w:sz w:val="15"/>
          <w:szCs w:val="15"/>
          <w:color w:val="auto"/>
        </w:rPr>
        <w:t>27,126,000</w:t>
      </w:r>
    </w:p>
    <w:p>
      <w:pPr>
        <w:ind w:left="2700"/>
        <w:spacing w:after="0"/>
        <w:rPr>
          <w:sz w:val="20"/>
          <w:szCs w:val="20"/>
          <w:color w:val="auto"/>
        </w:rPr>
      </w:pPr>
      <w:r>
        <w:rPr>
          <w:rFonts w:ascii="Courier New" w:cs="Courier New" w:eastAsia="Courier New" w:hAnsi="Courier New"/>
          <w:sz w:val="15"/>
          <w:szCs w:val="15"/>
          <w:color w:val="auto"/>
        </w:rPr>
        <w:t>9,065,000</w:t>
      </w:r>
    </w:p>
    <w:p>
      <w:pPr>
        <w:ind w:left="2520"/>
        <w:spacing w:after="0"/>
        <w:rPr>
          <w:sz w:val="20"/>
          <w:szCs w:val="20"/>
          <w:color w:val="auto"/>
        </w:rPr>
      </w:pPr>
      <w:r>
        <w:rPr>
          <w:rFonts w:ascii="Courier New" w:cs="Courier New" w:eastAsia="Courier New" w:hAnsi="Courier New"/>
          <w:sz w:val="15"/>
          <w:szCs w:val="15"/>
          <w:color w:val="auto"/>
        </w:rPr>
        <w:t>143,259,000</w:t>
      </w:r>
    </w:p>
    <w:p>
      <w:pPr>
        <w:ind w:left="2000"/>
        <w:spacing w:after="0"/>
        <w:rPr>
          <w:sz w:val="20"/>
          <w:szCs w:val="20"/>
          <w:color w:val="auto"/>
        </w:rPr>
      </w:pPr>
      <w:r>
        <w:rPr>
          <w:rFonts w:ascii="Courier New" w:cs="Courier New" w:eastAsia="Courier New" w:hAnsi="Courier New"/>
          <w:sz w:val="15"/>
          <w:szCs w:val="15"/>
          <w:color w:val="auto"/>
        </w:rPr>
        <w:t>47,447,000</w:t>
      </w:r>
    </w:p>
    <w:p>
      <w:pPr>
        <w:ind w:left="4020"/>
        <w:spacing w:after="0"/>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400"/>
        <w:spacing w:after="0"/>
        <w:rPr>
          <w:sz w:val="20"/>
          <w:szCs w:val="20"/>
          <w:color w:val="auto"/>
        </w:rPr>
      </w:pPr>
      <w:r>
        <w:rPr>
          <w:rFonts w:ascii="Courier New" w:cs="Courier New" w:eastAsia="Courier New" w:hAnsi="Courier New"/>
          <w:sz w:val="15"/>
          <w:szCs w:val="15"/>
          <w:color w:val="auto"/>
        </w:rPr>
        <w:t>125,000</w:t>
      </w:r>
    </w:p>
    <w:p>
      <w:pPr>
        <w:ind w:left="2960"/>
        <w:spacing w:after="0"/>
        <w:rPr>
          <w:sz w:val="20"/>
          <w:szCs w:val="20"/>
          <w:color w:val="auto"/>
        </w:rPr>
      </w:pPr>
      <w:r>
        <w:rPr>
          <w:rFonts w:ascii="Courier New" w:cs="Courier New" w:eastAsia="Courier New" w:hAnsi="Courier New"/>
          <w:sz w:val="15"/>
          <w:szCs w:val="15"/>
          <w:color w:val="auto"/>
        </w:rPr>
        <w:t>91,786,000</w:t>
      </w:r>
    </w:p>
    <w:p>
      <w:pPr>
        <w:ind w:left="1300"/>
        <w:spacing w:after="0"/>
        <w:rPr>
          <w:sz w:val="20"/>
          <w:szCs w:val="20"/>
          <w:color w:val="auto"/>
        </w:rPr>
      </w:pPr>
      <w:r>
        <w:rPr>
          <w:rFonts w:ascii="Courier New" w:cs="Courier New" w:eastAsia="Courier New" w:hAnsi="Courier New"/>
          <w:sz w:val="15"/>
          <w:szCs w:val="15"/>
          <w:color w:val="auto"/>
        </w:rPr>
        <w:t>143,259,000</w:t>
      </w:r>
    </w:p>
    <w:p>
      <w:pPr>
        <w:ind w:left="3140"/>
        <w:spacing w:after="0"/>
        <w:rPr>
          <w:sz w:val="20"/>
          <w:szCs w:val="20"/>
          <w:color w:val="auto"/>
        </w:rPr>
      </w:pPr>
      <w:r>
        <w:rPr>
          <w:rFonts w:ascii="Courier New" w:cs="Courier New" w:eastAsia="Courier New" w:hAnsi="Courier New"/>
          <w:sz w:val="15"/>
          <w:szCs w:val="15"/>
          <w:color w:val="auto"/>
        </w:rPr>
        <w:t>801,763,000</w:t>
      </w:r>
    </w:p>
    <w:p>
      <w:pPr>
        <w:ind w:left="2360"/>
        <w:spacing w:after="0"/>
        <w:rPr>
          <w:sz w:val="20"/>
          <w:szCs w:val="20"/>
          <w:color w:val="auto"/>
        </w:rPr>
      </w:pPr>
      <w:r>
        <w:rPr>
          <w:rFonts w:ascii="Courier New" w:cs="Courier New" w:eastAsia="Courier New" w:hAnsi="Courier New"/>
          <w:sz w:val="15"/>
          <w:szCs w:val="15"/>
          <w:color w:val="auto"/>
        </w:rPr>
        <w:t>801,763,000</w:t>
      </w:r>
    </w:p>
    <w:p>
      <w:pPr>
        <w:ind w:left="3320"/>
        <w:spacing w:after="0"/>
        <w:rPr>
          <w:sz w:val="20"/>
          <w:szCs w:val="20"/>
          <w:color w:val="auto"/>
        </w:rPr>
      </w:pPr>
      <w:r>
        <w:rPr>
          <w:rFonts w:ascii="Courier New" w:cs="Courier New" w:eastAsia="Courier New" w:hAnsi="Courier New"/>
          <w:sz w:val="15"/>
          <w:szCs w:val="15"/>
          <w:color w:val="auto"/>
        </w:rPr>
        <w:t>751,368,000</w:t>
      </w:r>
    </w:p>
    <w:p>
      <w:pPr>
        <w:ind w:left="2620"/>
        <w:spacing w:after="0"/>
        <w:rPr>
          <w:sz w:val="20"/>
          <w:szCs w:val="20"/>
          <w:color w:val="auto"/>
        </w:rPr>
      </w:pPr>
      <w:r>
        <w:rPr>
          <w:rFonts w:ascii="Courier New" w:cs="Courier New" w:eastAsia="Courier New" w:hAnsi="Courier New"/>
          <w:sz w:val="15"/>
          <w:szCs w:val="15"/>
          <w:color w:val="auto"/>
        </w:rPr>
        <w:t>751,368,000</w:t>
      </w:r>
    </w:p>
    <w:p>
      <w:pPr>
        <w:ind w:left="3240"/>
        <w:spacing w:after="0"/>
        <w:rPr>
          <w:sz w:val="20"/>
          <w:szCs w:val="20"/>
          <w:color w:val="auto"/>
        </w:rPr>
      </w:pPr>
      <w:r>
        <w:rPr>
          <w:rFonts w:ascii="Courier New" w:cs="Courier New" w:eastAsia="Courier New" w:hAnsi="Courier New"/>
          <w:sz w:val="15"/>
          <w:szCs w:val="15"/>
          <w:color w:val="auto"/>
        </w:rPr>
        <w:t>0</w:t>
      </w:r>
    </w:p>
    <w:p>
      <w:pPr>
        <w:ind w:left="2520"/>
        <w:spacing w:after="0"/>
        <w:rPr>
          <w:sz w:val="20"/>
          <w:szCs w:val="20"/>
          <w:color w:val="auto"/>
        </w:rPr>
      </w:pPr>
      <w:r>
        <w:rPr>
          <w:rFonts w:ascii="Courier New" w:cs="Courier New" w:eastAsia="Courier New" w:hAnsi="Courier New"/>
          <w:sz w:val="15"/>
          <w:szCs w:val="15"/>
          <w:color w:val="auto"/>
        </w:rPr>
        <w:t>1,417,000</w:t>
      </w:r>
    </w:p>
    <w:p>
      <w:pPr>
        <w:ind w:left="2520"/>
        <w:spacing w:after="0"/>
        <w:rPr>
          <w:sz w:val="20"/>
          <w:szCs w:val="20"/>
          <w:color w:val="auto"/>
        </w:rPr>
      </w:pPr>
      <w:r>
        <w:rPr>
          <w:rFonts w:ascii="Courier New" w:cs="Courier New" w:eastAsia="Courier New" w:hAnsi="Courier New"/>
          <w:sz w:val="15"/>
          <w:szCs w:val="15"/>
          <w:color w:val="auto"/>
        </w:rPr>
        <w:t>284,000</w:t>
      </w:r>
    </w:p>
    <w:p>
      <w:pPr>
        <w:ind w:left="2520"/>
        <w:spacing w:after="0"/>
        <w:rPr>
          <w:sz w:val="20"/>
          <w:szCs w:val="20"/>
          <w:color w:val="auto"/>
        </w:rPr>
      </w:pPr>
      <w:r>
        <w:rPr>
          <w:rFonts w:ascii="Courier New" w:cs="Courier New" w:eastAsia="Courier New" w:hAnsi="Courier New"/>
          <w:sz w:val="15"/>
          <w:szCs w:val="15"/>
          <w:color w:val="auto"/>
        </w:rPr>
        <w:t>20,746,000</w:t>
      </w:r>
    </w:p>
    <w:p>
      <w:pPr>
        <w:ind w:left="2880"/>
        <w:spacing w:after="0"/>
        <w:rPr>
          <w:sz w:val="20"/>
          <w:szCs w:val="20"/>
          <w:color w:val="auto"/>
        </w:rPr>
      </w:pPr>
      <w:r>
        <w:rPr>
          <w:rFonts w:ascii="Courier New" w:cs="Courier New" w:eastAsia="Courier New" w:hAnsi="Courier New"/>
          <w:sz w:val="15"/>
          <w:szCs w:val="15"/>
          <w:color w:val="auto"/>
        </w:rPr>
        <w:t>4,893,000</w:t>
      </w:r>
    </w:p>
    <w:p>
      <w:pPr>
        <w:ind w:left="2180"/>
        <w:spacing w:after="0"/>
        <w:rPr>
          <w:sz w:val="20"/>
          <w:szCs w:val="20"/>
          <w:color w:val="auto"/>
        </w:rPr>
      </w:pPr>
      <w:r>
        <w:rPr>
          <w:rFonts w:ascii="Courier New" w:cs="Courier New" w:eastAsia="Courier New" w:hAnsi="Courier New"/>
          <w:sz w:val="15"/>
          <w:szCs w:val="15"/>
          <w:color w:val="auto"/>
        </w:rPr>
        <w:t>15,853,000</w:t>
      </w:r>
    </w:p>
    <w:p>
      <w:pPr>
        <w:ind w:left="3400"/>
        <w:spacing w:after="0"/>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15,853,000</w:t>
      </w:r>
    </w:p>
    <w:p>
      <w:pPr>
        <w:ind w:left="3240"/>
        <w:spacing w:after="0"/>
        <w:rPr>
          <w:sz w:val="20"/>
          <w:szCs w:val="20"/>
          <w:color w:val="auto"/>
        </w:rPr>
      </w:pPr>
      <w:r>
        <w:rPr>
          <w:rFonts w:ascii="Courier New" w:cs="Courier New" w:eastAsia="Courier New" w:hAnsi="Courier New"/>
          <w:sz w:val="15"/>
          <w:szCs w:val="15"/>
          <w:color w:val="auto"/>
        </w:rPr>
        <w:t>1.30</w:t>
      </w:r>
    </w:p>
    <w:p>
      <w:pPr>
        <w:ind w:left="3240"/>
        <w:spacing w:after="0"/>
        <w:rPr>
          <w:sz w:val="20"/>
          <w:szCs w:val="20"/>
          <w:color w:val="auto"/>
        </w:rPr>
      </w:pPr>
      <w:r>
        <w:rPr>
          <w:rFonts w:ascii="Courier New" w:cs="Courier New" w:eastAsia="Courier New" w:hAnsi="Courier New"/>
          <w:sz w:val="15"/>
          <w:szCs w:val="15"/>
          <w:color w:val="auto"/>
        </w:rPr>
        <w:t>1.27</w:t>
      </w:r>
    </w:p>
    <w:sectPr>
      <w:pgSz w:w="11900" w:h="16838" w:orient="portrait"/>
      <w:cols w:equalWidth="0" w:num="1">
        <w:col w:w="10199"/>
      </w:cols>
      <w:pgMar w:left="26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3"/>
    </w:lvl>
    <w:lvl w:ilvl="2">
      <w:lvlJc w:val="left"/>
      <w:lvlText w:val="(%3)"/>
      <w:numFmt w:val="decimal"/>
      <w:start w:val="3"/>
    </w:lvl>
    <w:lvl w:ilvl="3">
      <w:lvlJc w:val="left"/>
      <w:lvlText w:val="(%4)"/>
      <w:numFmt w:val="lowerLetter"/>
      <w:start w:val="1"/>
    </w:lvl>
  </w:abstractNum>
  <w:abstractNum w:abstractNumId="3">
    <w:nsid w:val="1F16E9E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4">
    <w:nsid w:val="1190CDE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
    <w:nsid w:val="66EF438D"/>
    <w:multiLevelType w:val="hybridMultilevel"/>
    <w:lvl w:ilvl="0">
      <w:lvlJc w:val="left"/>
      <w:lvlText w:val="(%1)"/>
      <w:numFmt w:val="decimal"/>
      <w:start w:val="21"/>
    </w:lvl>
  </w:abstractNum>
  <w:abstractNum w:abstractNumId="6">
    <w:nsid w:val="140E0F76"/>
    <w:multiLevelType w:val="hybridMultilevel"/>
    <w:lvl w:ilvl="0">
      <w:lvlJc w:val="left"/>
      <w:lvlText w:val="%1"/>
      <w:numFmt w:val="lowerLetter"/>
      <w:start w:val="1"/>
    </w:lvl>
    <w:lvl w:ilvl="1">
      <w:lvlJc w:val="left"/>
      <w:lvlText w:val="(%2)"/>
      <w:numFmt w:val="decimal"/>
      <w:start w:val="27"/>
    </w:lvl>
  </w:abstractNum>
  <w:abstractNum w:abstractNumId="7">
    <w:nsid w:val="3352255A"/>
    <w:multiLevelType w:val="hybridMultilevel"/>
    <w:lvl w:ilvl="0">
      <w:lvlJc w:val="left"/>
      <w:lvlText w:val="(%1)"/>
      <w:numFmt w:val="lowerLetter"/>
      <w:start w:val="2"/>
    </w:lvl>
    <w:lvl w:ilvl="1">
      <w:lvlJc w:val="left"/>
      <w:lvlText w:val="%2"/>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decimal"/>
      <w:start w:val="7"/>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2"/>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2019-12-13T16:07:46Z</dcterms:created>
  <dcterms:modified xsi:type="dcterms:W3CDTF">2019-12-13T16:07:46Z</dcterms:modified>
</cp:coreProperties>
</file>