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37"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208" w:lineRule="exact"/>
        <w:rPr>
          <w:sz w:val="24"/>
          <w:szCs w:val="24"/>
          <w:color w:val="auto"/>
        </w:rPr>
      </w:pPr>
    </w:p>
    <w:p>
      <w:pPr>
        <w:jc w:val="center"/>
        <w:ind w:left="640"/>
        <w:spacing w:after="0"/>
        <w:rPr>
          <w:sz w:val="20"/>
          <w:szCs w:val="20"/>
          <w:color w:val="auto"/>
        </w:rPr>
      </w:pPr>
      <w:r>
        <w:rPr>
          <w:rFonts w:ascii="Arial" w:cs="Arial" w:eastAsia="Arial" w:hAnsi="Arial"/>
          <w:sz w:val="16"/>
          <w:szCs w:val="16"/>
          <w:color w:val="auto"/>
        </w:rPr>
        <w:t>For the fiscal year ended December 31, 2024</w:t>
      </w:r>
    </w:p>
    <w:p>
      <w:pPr>
        <w:spacing w:after="0" w:line="127" w:lineRule="exact"/>
        <w:rPr>
          <w:sz w:val="24"/>
          <w:szCs w:val="24"/>
          <w:color w:val="auto"/>
        </w:rPr>
      </w:pPr>
    </w:p>
    <w:p>
      <w:pPr>
        <w:jc w:val="center"/>
        <w:ind w:left="640"/>
        <w:spacing w:after="0"/>
        <w:rPr>
          <w:sz w:val="20"/>
          <w:szCs w:val="20"/>
          <w:color w:val="auto"/>
        </w:rPr>
      </w:pPr>
      <w:r>
        <w:rPr>
          <w:rFonts w:ascii="Arial" w:cs="Arial" w:eastAsia="Arial" w:hAnsi="Arial"/>
          <w:sz w:val="16"/>
          <w:szCs w:val="16"/>
          <w:color w:val="auto"/>
        </w:rPr>
        <w:t>OR</w:t>
      </w:r>
    </w:p>
    <w:p>
      <w:pPr>
        <w:spacing w:after="0" w:line="154"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21"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For the transition period from __________ to ___________</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86360</wp:posOffset>
            </wp:positionV>
            <wp:extent cx="123444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WORLD KINECT CORPORATION</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left="300"/>
        <w:spacing w:after="0"/>
        <w:rPr>
          <w:sz w:val="20"/>
          <w:szCs w:val="20"/>
          <w:color w:val="auto"/>
        </w:rPr>
      </w:pPr>
      <w:r>
        <w:rPr>
          <w:rFonts w:ascii="Arial" w:cs="Arial" w:eastAsia="Arial" w:hAnsi="Arial"/>
          <w:sz w:val="18"/>
          <w:szCs w:val="18"/>
          <w:b w:val="1"/>
          <w:bCs w:val="1"/>
          <w:color w:val="auto"/>
        </w:rPr>
        <w:t>Florida</w:t>
      </w:r>
    </w:p>
    <w:p>
      <w:pPr>
        <w:spacing w:after="0" w:line="40" w:lineRule="exact"/>
        <w:rPr>
          <w:sz w:val="24"/>
          <w:szCs w:val="24"/>
          <w:color w:val="auto"/>
        </w:rPr>
      </w:pPr>
    </w:p>
    <w:p>
      <w:pPr>
        <w:jc w:val="both"/>
        <w:ind w:left="300" w:firstLine="45"/>
        <w:spacing w:after="0" w:line="247" w:lineRule="auto"/>
        <w:rPr>
          <w:sz w:val="20"/>
          <w:szCs w:val="20"/>
          <w:color w:val="auto"/>
        </w:rPr>
      </w:pPr>
      <w:r>
        <w:rPr>
          <w:rFonts w:ascii="Arial" w:cs="Arial" w:eastAsia="Arial" w:hAnsi="Arial"/>
          <w:sz w:val="17"/>
          <w:szCs w:val="17"/>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760"/>
        <w:spacing w:after="0"/>
        <w:rPr>
          <w:sz w:val="20"/>
          <w:szCs w:val="20"/>
          <w:color w:val="auto"/>
        </w:rPr>
      </w:pPr>
      <w:r>
        <w:rPr>
          <w:rFonts w:ascii="Arial" w:cs="Arial" w:eastAsia="Arial" w:hAnsi="Arial"/>
          <w:sz w:val="18"/>
          <w:szCs w:val="18"/>
          <w:u w:val="single" w:color="auto"/>
          <w:color w:val="auto"/>
        </w:rPr>
        <w:t>Title of each class</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Common Stock,</w:t>
      </w:r>
    </w:p>
    <w:p>
      <w:pPr>
        <w:ind w:left="840"/>
        <w:spacing w:after="0"/>
        <w:rPr>
          <w:sz w:val="20"/>
          <w:szCs w:val="20"/>
          <w:color w:val="auto"/>
        </w:rPr>
      </w:pPr>
      <w:r>
        <w:rPr>
          <w:rFonts w:ascii="Arial" w:cs="Arial" w:eastAsia="Arial" w:hAnsi="Arial"/>
          <w:sz w:val="18"/>
          <w:szCs w:val="18"/>
          <w:b w:val="1"/>
          <w:bCs w:val="1"/>
          <w:color w:val="auto"/>
        </w:rPr>
        <w:t>$0.01 par value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ind w:left="620"/>
        <w:spacing w:after="0"/>
        <w:rPr>
          <w:sz w:val="20"/>
          <w:szCs w:val="20"/>
          <w:color w:val="auto"/>
        </w:rPr>
      </w:pPr>
      <w:r>
        <w:rPr>
          <w:rFonts w:ascii="Arial" w:cs="Arial" w:eastAsia="Arial" w:hAnsi="Arial"/>
          <w:sz w:val="14"/>
          <w:szCs w:val="14"/>
          <w:color w:val="auto"/>
        </w:rPr>
        <w:t>(Exact name of registrant as specified in its charter)</w:t>
      </w:r>
    </w:p>
    <w:p>
      <w:pPr>
        <w:spacing w:after="0" w:line="153" w:lineRule="exact"/>
        <w:rPr>
          <w:sz w:val="24"/>
          <w:szCs w:val="24"/>
          <w:color w:val="auto"/>
        </w:rPr>
      </w:pPr>
    </w:p>
    <w:p>
      <w:pPr>
        <w:ind w:left="380"/>
        <w:spacing w:after="0"/>
        <w:tabs>
          <w:tab w:leader="none" w:pos="2400" w:val="left"/>
          <w:tab w:leader="none" w:pos="3140" w:val="left"/>
          <w:tab w:leader="none" w:pos="4020" w:val="left"/>
        </w:tabs>
        <w:rPr>
          <w:sz w:val="20"/>
          <w:szCs w:val="20"/>
          <w:color w:val="auto"/>
        </w:rPr>
      </w:pPr>
      <w:r>
        <w:rPr>
          <w:rFonts w:ascii="Arial" w:cs="Arial" w:eastAsia="Arial" w:hAnsi="Arial"/>
          <w:sz w:val="18"/>
          <w:szCs w:val="18"/>
          <w:b w:val="1"/>
          <w:bCs w:val="1"/>
          <w:color w:val="auto"/>
        </w:rPr>
        <w:t>9800 N.W. 41st Street,</w:t>
        <w:tab/>
        <w:t>Miami,</w:t>
        <w:tab/>
        <w:t>Florida</w:t>
      </w:r>
      <w:r>
        <w:rPr>
          <w:sz w:val="20"/>
          <w:szCs w:val="20"/>
          <w:color w:val="auto"/>
        </w:rPr>
        <w:tab/>
      </w:r>
      <w:r>
        <w:rPr>
          <w:rFonts w:ascii="Arial" w:cs="Arial" w:eastAsia="Arial" w:hAnsi="Arial"/>
          <w:sz w:val="17"/>
          <w:szCs w:val="17"/>
          <w:b w:val="1"/>
          <w:bCs w:val="1"/>
          <w:color w:val="auto"/>
        </w:rPr>
        <w:t>33178</w:t>
      </w:r>
    </w:p>
    <w:p>
      <w:pPr>
        <w:spacing w:after="0" w:line="11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(Address of Principal Executive Offices) (Zip Code)</w:t>
      </w:r>
    </w:p>
    <w:p>
      <w:pPr>
        <w:spacing w:after="0" w:line="117" w:lineRule="exact"/>
        <w:rPr>
          <w:sz w:val="24"/>
          <w:szCs w:val="24"/>
          <w:color w:val="auto"/>
        </w:rPr>
      </w:pPr>
    </w:p>
    <w:p>
      <w:pPr>
        <w:ind w:left="160"/>
        <w:spacing w:after="0"/>
        <w:rPr>
          <w:sz w:val="20"/>
          <w:szCs w:val="20"/>
          <w:color w:val="auto"/>
        </w:rPr>
      </w:pPr>
      <w:r>
        <w:rPr>
          <w:rFonts w:ascii="Arial" w:cs="Arial" w:eastAsia="Arial" w:hAnsi="Arial"/>
          <w:sz w:val="18"/>
          <w:szCs w:val="18"/>
          <w:u w:val="single" w:color="auto"/>
          <w:color w:val="auto"/>
        </w:rPr>
        <w:t>Registrant’s telephone number, including area code:</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305  )  428-8000</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18"/>
          <w:szCs w:val="18"/>
          <w:u w:val="single" w:color="auto"/>
          <w:color w:val="auto"/>
        </w:rPr>
        <w:t>Trading Symbol (s)</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WKC</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59-2459427</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(I.R.S. Employer</w:t>
      </w:r>
    </w:p>
    <w:p>
      <w:pPr>
        <w:ind w:left="64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40"/>
        <w:spacing w:after="0"/>
        <w:rPr>
          <w:sz w:val="20"/>
          <w:szCs w:val="20"/>
          <w:color w:val="auto"/>
        </w:rPr>
      </w:pPr>
      <w:r>
        <w:rPr>
          <w:rFonts w:ascii="Arial" w:cs="Arial" w:eastAsia="Arial" w:hAnsi="Arial"/>
          <w:sz w:val="18"/>
          <w:szCs w:val="18"/>
          <w:u w:val="single" w:color="auto"/>
          <w:color w:val="auto"/>
        </w:rPr>
        <w:t>Name of each exchange on which registered</w:t>
      </w:r>
    </w:p>
    <w:p>
      <w:pPr>
        <w:spacing w:after="0" w:line="99"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New York Stock Exchange</w:t>
      </w:r>
    </w:p>
    <w:p>
      <w:pPr>
        <w:spacing w:after="0" w:line="468" w:lineRule="exact"/>
        <w:rPr>
          <w:sz w:val="24"/>
          <w:szCs w:val="24"/>
          <w:color w:val="auto"/>
        </w:rPr>
      </w:pPr>
    </w:p>
    <w:p>
      <w:pPr>
        <w:sectPr>
          <w:pgSz w:w="11900" w:h="16838" w:orient="portrait"/>
          <w:cols w:equalWidth="0" w:num="3">
            <w:col w:w="2640" w:space="720"/>
            <w:col w:w="4540" w:space="500"/>
            <w:col w:w="2840"/>
          </w:cols>
          <w:pgMar w:left="320" w:top="229" w:right="339" w:bottom="1440" w:gutter="0" w:footer="0" w:header="0"/>
          <w:type w:val="continuous"/>
        </w:sectPr>
      </w:pPr>
    </w:p>
    <w:p>
      <w:pPr>
        <w:ind w:right="780"/>
        <w:spacing w:after="0" w:line="31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2024, the last business day of the registrant’s most recently completed second fiscal quarter, the aggregate market value of the voting and non-voting common equity held by non-affiliates computed by reference to the market price at which the common equity was last sold was $1.482 billion.</w:t>
      </w:r>
    </w:p>
    <w:p>
      <w:pPr>
        <w:spacing w:after="0" w:line="63" w:lineRule="exact"/>
        <w:rPr>
          <w:sz w:val="20"/>
          <w:szCs w:val="20"/>
          <w:color w:val="auto"/>
        </w:rPr>
      </w:pPr>
    </w:p>
    <w:p>
      <w:pPr>
        <w:ind w:right="500"/>
        <w:spacing w:after="0" w:line="375" w:lineRule="auto"/>
        <w:rPr>
          <w:sz w:val="20"/>
          <w:szCs w:val="20"/>
          <w:color w:val="auto"/>
        </w:rPr>
      </w:pPr>
      <w:r>
        <w:rPr>
          <w:rFonts w:ascii="Arial" w:cs="Arial" w:eastAsia="Arial" w:hAnsi="Arial"/>
          <w:sz w:val="18"/>
          <w:szCs w:val="18"/>
          <w:color w:val="auto"/>
        </w:rPr>
        <w:t xml:space="preserve">As of February 21, 2025, the registrant had approximately 56,749,400 shares of outstanding common stock, par value $0.01 per share. </w:t>
      </w:r>
      <w:r>
        <w:rPr>
          <w:rFonts w:ascii="Arial" w:cs="Arial" w:eastAsia="Arial" w:hAnsi="Arial"/>
          <w:sz w:val="18"/>
          <w:szCs w:val="18"/>
          <w:b w:val="1"/>
          <w:bCs w:val="1"/>
          <w:color w:val="auto"/>
        </w:rPr>
        <w:t>Documents Incorporated By Reference</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Portions of the registrant’s proxy statement relating to its 2025 Annual Meeting of Shareholders, to be filed with the Securities and Exchange Commission pursuant to Regulation 14A under the Securities Exchange Act of 1934, are incorporated by reference to the extent set forth in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96"/>
              </w:rPr>
              <w:t>PART I.</w:t>
            </w:r>
          </w:p>
        </w:tc>
        <w:tc>
          <w:tcPr>
            <w:tcW w:w="260" w:type="dxa"/>
            <w:vAlign w:val="bottom"/>
            <w:gridSpan w:val="3"/>
            <w:vMerge w:val="restart"/>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190"/>
        </w:trPr>
        <w:tc>
          <w:tcPr>
            <w:tcW w:w="640" w:type="dxa"/>
            <w:vAlign w:val="bottom"/>
            <w:tcBorders>
              <w:bottom w:val="single" w:sz="8" w:color="0000FF"/>
            </w:tcBorders>
            <w:gridSpan w:val="2"/>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Business</w:t>
            </w:r>
          </w:p>
        </w:tc>
        <w:tc>
          <w:tcPr>
            <w:tcW w:w="8500" w:type="dxa"/>
            <w:vAlign w:val="bottom"/>
            <w:gridSpan w:val="22"/>
          </w:tcPr>
          <w:p>
            <w:pPr>
              <w:spacing w:after="0"/>
              <w:rPr>
                <w:sz w:val="18"/>
                <w:szCs w:val="18"/>
                <w:color w:val="auto"/>
              </w:rPr>
            </w:pPr>
          </w:p>
        </w:tc>
        <w:tc>
          <w:tcPr>
            <w:tcW w:w="780" w:type="dxa"/>
            <w:vAlign w:val="bottom"/>
          </w:tcPr>
          <w:p>
            <w:pPr>
              <w:jc w:val="center"/>
              <w:ind w:left="270"/>
              <w:spacing w:after="0"/>
              <w:rPr>
                <w:sz w:val="20"/>
                <w:szCs w:val="20"/>
                <w:color w:val="auto"/>
              </w:rPr>
            </w:pPr>
            <w:r>
              <w:rPr>
                <w:rFonts w:ascii="Arial" w:cs="Arial" w:eastAsia="Arial" w:hAnsi="Arial"/>
                <w:sz w:val="18"/>
                <w:szCs w:val="18"/>
                <w:color w:val="0000FF"/>
                <w:w w:val="99"/>
              </w:rPr>
              <w:t>1</w:t>
            </w:r>
          </w:p>
        </w:tc>
        <w:tc>
          <w:tcPr>
            <w:tcW w:w="0" w:type="dxa"/>
            <w:vAlign w:val="bottom"/>
          </w:tcPr>
          <w:p>
            <w:pPr>
              <w:spacing w:after="0"/>
              <w:rPr>
                <w:sz w:val="1"/>
                <w:szCs w:val="1"/>
                <w:color w:val="auto"/>
              </w:rPr>
            </w:pPr>
          </w:p>
        </w:tc>
      </w:tr>
      <w:tr>
        <w:trPr>
          <w:trHeight w:val="210"/>
        </w:trPr>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center"/>
              <w:ind w:left="270"/>
              <w:spacing w:after="0"/>
              <w:rPr>
                <w:sz w:val="20"/>
                <w:szCs w:val="20"/>
                <w:color w:val="auto"/>
              </w:rPr>
            </w:pPr>
            <w:r>
              <w:rPr>
                <w:rFonts w:ascii="Arial" w:cs="Arial" w:eastAsia="Arial" w:hAnsi="Arial"/>
                <w:sz w:val="18"/>
                <w:szCs w:val="18"/>
                <w:color w:val="0000FF"/>
                <w:w w:val="99"/>
              </w:rPr>
              <w:t>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1B.</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Unresolved Staff Comments</w:t>
            </w:r>
          </w:p>
        </w:tc>
        <w:tc>
          <w:tcPr>
            <w:tcW w:w="6980" w:type="dxa"/>
            <w:vAlign w:val="bottom"/>
            <w:gridSpan w:val="12"/>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09"/>
        </w:trPr>
        <w:tc>
          <w:tcPr>
            <w:tcW w:w="900" w:type="dxa"/>
            <w:vAlign w:val="bottom"/>
            <w:gridSpan w:val="5"/>
          </w:tcPr>
          <w:p>
            <w:pPr>
              <w:spacing w:after="0"/>
              <w:rPr>
                <w:sz w:val="20"/>
                <w:szCs w:val="20"/>
                <w:color w:val="auto"/>
              </w:rPr>
            </w:pPr>
            <w:r>
              <w:rPr>
                <w:rFonts w:ascii="Arial" w:cs="Arial" w:eastAsia="Arial" w:hAnsi="Arial"/>
                <w:sz w:val="18"/>
                <w:szCs w:val="18"/>
                <w:color w:val="0000FF"/>
              </w:rPr>
              <w:t>Item 1C.</w:t>
            </w:r>
          </w:p>
        </w:tc>
        <w:tc>
          <w:tcPr>
            <w:tcW w:w="9380" w:type="dxa"/>
            <w:vAlign w:val="bottom"/>
            <w:gridSpan w:val="24"/>
          </w:tcPr>
          <w:p>
            <w:pPr>
              <w:ind w:left="140"/>
              <w:spacing w:after="0"/>
              <w:rPr>
                <w:sz w:val="20"/>
                <w:szCs w:val="20"/>
                <w:color w:val="auto"/>
              </w:rPr>
            </w:pPr>
            <w:r>
              <w:rPr>
                <w:rFonts w:ascii="Arial" w:cs="Arial" w:eastAsia="Arial" w:hAnsi="Arial"/>
                <w:sz w:val="18"/>
                <w:szCs w:val="18"/>
                <w:color w:val="0000FF"/>
              </w:rPr>
              <w:t>Cybersecurity</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10"/>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20" w:type="dxa"/>
            <w:vAlign w:val="bottom"/>
            <w:tcBorders>
              <w:top w:val="single" w:sz="8" w:color="0000FF"/>
            </w:tcBorders>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Properties</w:t>
            </w:r>
          </w:p>
        </w:tc>
        <w:tc>
          <w:tcPr>
            <w:tcW w:w="8140" w:type="dxa"/>
            <w:vAlign w:val="bottom"/>
            <w:gridSpan w:val="18"/>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2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Legal Proceedings</w:t>
            </w:r>
          </w:p>
        </w:tc>
        <w:tc>
          <w:tcPr>
            <w:tcW w:w="7740" w:type="dxa"/>
            <w:vAlign w:val="bottom"/>
            <w:gridSpan w:val="16"/>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21</w:t>
            </w: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4.</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Mine Safety Disclosures</w:t>
            </w:r>
          </w:p>
        </w:tc>
        <w:tc>
          <w:tcPr>
            <w:tcW w:w="7300" w:type="dxa"/>
            <w:vAlign w:val="bottom"/>
            <w:gridSpan w:val="14"/>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480"/>
        </w:trPr>
        <w:tc>
          <w:tcPr>
            <w:tcW w:w="90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Item 5.</w:t>
            </w:r>
          </w:p>
        </w:tc>
        <w:tc>
          <w:tcPr>
            <w:tcW w:w="100" w:type="dxa"/>
            <w:vAlign w:val="bottom"/>
            <w:tcBorders>
              <w:top w:val="single" w:sz="8" w:color="0000FF"/>
            </w:tcBorders>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360" w:type="dxa"/>
            <w:vAlign w:val="bottom"/>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23</w:t>
            </w:r>
          </w:p>
        </w:tc>
        <w:tc>
          <w:tcPr>
            <w:tcW w:w="0" w:type="dxa"/>
            <w:vAlign w:val="bottom"/>
          </w:tcPr>
          <w:p>
            <w:pPr>
              <w:spacing w:after="0"/>
              <w:rPr>
                <w:sz w:val="1"/>
                <w:szCs w:val="1"/>
                <w:color w:val="auto"/>
              </w:rPr>
            </w:pPr>
          </w:p>
        </w:tc>
      </w:tr>
      <w:tr>
        <w:trPr>
          <w:trHeight w:val="210"/>
        </w:trPr>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6.</w:t>
            </w:r>
          </w:p>
        </w:tc>
        <w:tc>
          <w:tcPr>
            <w:tcW w:w="2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[Reserved]</w:t>
            </w:r>
          </w:p>
        </w:tc>
        <w:tc>
          <w:tcPr>
            <w:tcW w:w="8360" w:type="dxa"/>
            <w:vAlign w:val="bottom"/>
            <w:gridSpan w:val="20"/>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24</w:t>
            </w:r>
          </w:p>
        </w:tc>
        <w:tc>
          <w:tcPr>
            <w:tcW w:w="0" w:type="dxa"/>
            <w:vAlign w:val="bottom"/>
          </w:tcPr>
          <w:p>
            <w:pPr>
              <w:spacing w:after="0"/>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FF"/>
              </w:rPr>
              <w:t>Item 7.</w:t>
            </w:r>
          </w:p>
        </w:tc>
        <w:tc>
          <w:tcPr>
            <w:tcW w:w="2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7A.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7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520" w:type="dxa"/>
            <w:vAlign w:val="bottom"/>
            <w:gridSpan w:val="7"/>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8"/>
              </w:rPr>
              <w:t>Item 8.</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9.</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71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060" w:type="dxa"/>
            <w:vAlign w:val="bottom"/>
            <w:gridSpan w:val="3"/>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9A.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7240" w:type="dxa"/>
            <w:vAlign w:val="bottom"/>
            <w:gridSpan w:val="13"/>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9B.</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5"/>
          </w:tcPr>
          <w:p>
            <w:pPr>
              <w:spacing w:after="0"/>
              <w:rPr>
                <w:sz w:val="20"/>
                <w:szCs w:val="20"/>
                <w:color w:val="auto"/>
              </w:rPr>
            </w:pPr>
            <w:r>
              <w:rPr>
                <w:rFonts w:ascii="Arial" w:cs="Arial" w:eastAsia="Arial" w:hAnsi="Arial"/>
                <w:sz w:val="18"/>
                <w:szCs w:val="18"/>
                <w:color w:val="0000FF"/>
              </w:rPr>
              <w:t>Item 9C.</w:t>
            </w:r>
          </w:p>
        </w:tc>
        <w:tc>
          <w:tcPr>
            <w:tcW w:w="9380" w:type="dxa"/>
            <w:vAlign w:val="bottom"/>
            <w:gridSpan w:val="24"/>
          </w:tcPr>
          <w:p>
            <w:pPr>
              <w:ind w:left="14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9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7"/>
              </w:rPr>
              <w:t>PART III.</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10.</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10"/>
        </w:trPr>
        <w:tc>
          <w:tcPr>
            <w:tcW w:w="6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5"/>
              </w:rPr>
              <w:t>Item 11.</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Executive Compensation</w:t>
            </w:r>
          </w:p>
        </w:tc>
        <w:tc>
          <w:tcPr>
            <w:tcW w:w="4740" w:type="dxa"/>
            <w:vAlign w:val="bottom"/>
            <w:gridSpan w:val="8"/>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12.</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1220" w:type="dxa"/>
            <w:vAlign w:val="bottom"/>
            <w:gridSpan w:val="2"/>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09"/>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Item 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3160" w:type="dxa"/>
            <w:vAlign w:val="bottom"/>
            <w:gridSpan w:val="5"/>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10"/>
        </w:trPr>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14.</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4"/>
              </w:rPr>
              <w:t>PART IV.</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15.</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Exhibit and Financial Statement Schedules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09"/>
        </w:trPr>
        <w:tc>
          <w:tcPr>
            <w:tcW w:w="6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16.</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Form 10-K Summary</w:t>
            </w:r>
          </w:p>
        </w:tc>
        <w:tc>
          <w:tcPr>
            <w:tcW w:w="1740" w:type="dxa"/>
            <w:vAlign w:val="bottom"/>
            <w:tcBorders>
              <w:top w:val="single" w:sz="8" w:color="0000FF"/>
            </w:tcBorders>
            <w:gridSpan w:val="5"/>
          </w:tcPr>
          <w:p>
            <w:pPr>
              <w:spacing w:after="0"/>
              <w:rPr>
                <w:sz w:val="18"/>
                <w:szCs w:val="18"/>
                <w:color w:val="auto"/>
              </w:rPr>
            </w:pPr>
          </w:p>
        </w:tc>
        <w:tc>
          <w:tcPr>
            <w:tcW w:w="5820" w:type="dxa"/>
            <w:vAlign w:val="bottom"/>
            <w:gridSpan w:val="10"/>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88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World Kinect Corporation (the "Company") was incorporated in Florida in July 1984 and along with its consolidated subsidiaries is referred to collectively in this Annual Report on Form 10-K ("2024 10-K Report") as "World Kinect," "we," "our," and "us."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global energy management company offering fulfillment and related services to more than 150,000 customers across the aviation, marine, and land-based transportation sectors. We also supply natural gas and power in the United States and Europe along with a growing suite of other sustainability-related products and services.</w:t>
      </w:r>
    </w:p>
    <w:p>
      <w:pPr>
        <w:spacing w:after="0" w:line="6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conduct our operations through numerous locations both within the United States ("U.S.") and throughout various foreign jurisdictions. Our principal executive office is located at 9800 N.W. 41st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world-kinect.com and the investor relations section of our website is located at ir.worldkinect.com. We make available free of charge, on or through the investor relations section of our website, our Annual Reports on Form 10-K, Quarterly Reports on Form 10-Q, Current Reports on Form 8-K,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website and information contained on our website are not part of this 2024 10-K Report and are not incorporated by reference in this 2024 10-K Report.</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reference to a "Note" herein refers to the accompanying Notes to the Consolidated Financial Statements within Part IV. Item 15. – Notes to the Consolidated Financial Statements included in this 2024 10-K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customers in these transportation industries.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Profit from our segments is generally determined by the volume and the unit margin achieved on fuel resales. Profitability in our segments also depends on our operating expenses, which may be materially affected to the extent that we are exposed to credit losses. Corporate expenses are allocated to each segment based on usage, where possible, or other factors according to the nature of the activity. We evaluate and manage our business segments using the performance measure of income from operations.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Financial information with respect to our business segments, the geographic areas of our business and our customers is provided below and within Note 15. Business Segments, Geographic Information, and Major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global aviation fuel supply and comprehensive service solutions to major commercial, international, and regional airlines, cargo carriers, airports, fixed-based operators, corporate fleets, and charter and fractional operators. Our aviation-related service offerings include fuel management, ground handling, 24/7 global dispatch services, and trip planning services, including flight planning and scheduling. We also supply fuel and provide services to U.S. and foreign government and military customers.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Given that fuel is a major component of an aircraft’s operating costs, our customers require surety of supply and cost-effective fuel services. We have developed an extensive network of on-airport fueling operations and third-party suppliers and service providers that enable us to provide aviation fuel and related services throughout the world. We believe the breadth of our service offerings combined with our global supplier network is a strategic differentiator that allows customers to secure fuel and high-quality services in locations worldwide.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 our aviation fuel from suppliers worldwide. Fuel may be delivered into our customers’ aircraft or to a designated storage facility at one of our locations or our suppliers’ locations pursuant to arrangements with them. Inventory is purchased at airport locations or shipped, typically via pipelines or trucks, and held at multiple locations in order to meet the needs of our customers. We engage in contract sales, which are sales made pursuant to fuel purchase contracts with customers who commit to purchasing fuel from us over the contract term. We also conduct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spot sales, which are sales that do not involve continuing contractual obligations by our customers to purchase fuel from us. Our cost of fuel is generally tied to market-based formulas or government-controlled prices. Additionally, we have been taking actions designed to increase the availability of renewable and lower-carbon fuels such as sustainable aviation fuel and are working to expand and develop our supply chain to meet customer demand.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land segment, we primarily offer fuel, lubricants, heating oil, and related products and services to commercial, industrial, residential and government customers, as well as retail petroleum operators. We provide energy advisory services, sustainability solutions, as well as supply fulfillment for natural gas and power. We primarily conduct these activities throughout most of the U.S. as well as parts of Europe. We continue to focus on supporting the energy transition through various initiatives and expanding our sustainability offerings, including renewable fuel products, and carbon management and renewable energy solutions, such as renewable diesel (also known as hydrotreated vegetable oil or "HVO"), biodiesel, and renewable natural gas (biogas). We believe our land segment is well-positioned to grow market share and improve platform efficiency to continue delivering value-added solutions to our land fuel customers.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our fuel marketing activities, we sell fuel through our cardlock network and directly to customers under long-term contracts to branded and unbranded distributors, and retail fuel outlets operated by third parties. Our typical customers include commercial and industrial enterprises in the transportation, manufacturing, mining, agriculture, construction, and oil and gas exploration industries, as well as residential customers for heating oil. We typically serve as a reseller, where we purchase fuel from a supplier and contemporaneously resell it to our customers through contract and spot sales. We also maintain inventory in certain strategic locations, the cost of which is generally tied to market-based formulas, as well as provide transportation logistics, including arranging for fuel products to be delivered from storage terminals through our own fleet of trucks as well as third-party transportation providers.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our extensive network, we market fuel, lubricants, and related products and services to a broad base of marine customers, including international container, dry bulk and tanker fleets, commercial cruise lines, yachts and time-charter operators, U.S. and foreign governments, as well as other fuel suppliers. We provide our customers with real-time global market intelligence and rapid access to quality and competitively priced marine fuel 24 hours a day, every day of the year. Our marine fuel-related services include management services for the procurement of fuel, cost control through the use of price risk management offerings, quality control and claims management.</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marine segment, we serve primarily as a reseller, where we take delivery for fuel purchased from our supplier at the same place and time as the fuel is sold to our customer. We also sell fuel from our inventory, which we maintain in storage facilities that we own or lease. In certain cases, we serve as a broker and are paid a commission for negotiating the fuel purchase transaction between a supplier and an end-user, as well as for expediting delivery of the fuel. The majority of our marine segment activity consists of spot sales under which our cost of fuel is generally tied to spot pricing, market-based formulas, or government-regulated prices. We also contract with third parties to provide various services for our customers, including fueling of vessels in ports and at sea and transportation and delivery of fuel and fuel-related products.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also sought to take a leading role in developing a sustainable marine fuel supply chain. Through collaboration with suppliers, customers and other industry participants, we are actively working to create near-term solutions and identify lower carbon alternatives that will facilitate the ability of our maritime industry counterparties to achieve their energy transition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from large multinational corporations, which have significantly greater capital resources than us, to relatively small and specialized firms that compete with us in a particular line of business. In our fuel distribution activities, we compete with major oil companies that market fuel and other energy products directly to large commercial airlines, shipping companies, petroleum distributors operating in the land transportation market, fuel resellers and other commercial and industrial customers. We compete, among other things, on the basis of service, convenience, reliability, availability of trade credit and price. We believe that our extensive market knowledge, worldwide footprint, logistics expertise and support, the use of price risk management offerings, and value-added benefits, including single-supplier convenience, fuel quality control and fuel procurement outsourcing, give us the ability to compete effectively in the markets that we serve.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operating results can be subject to seasonal variability. Our seasonality may result from numerous factors, including demand changes related to seasonal travel and weather patterns. Our results for the second and third quarters of the year have historically been stronger for our aviation segment and our results for the fourth and first quarters of the year have historically been stronger for our land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Supplying fuel safely and securely is a top priority. We monitor and manage our operations through processes and procedures designed to avoid and minimize our impacts on the environment. Our business activities are subject to numerous federal, state, local and international laws, regulations and administrative requirements, including those relating to the sale, blending, storage, transportation, delivery and disposal of fuel and the collection, transportation, processing, storage, use and disposal of hazardous substances and wastes. For example, U.S. federal and state environmental laws applicable to us include statutes that: (i) allocate the cost of remedying contamination among specifically identified parties;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Compliance with existing and future laws that regulate the delivery of fuel by barge, truck, vessel, pipeline or other means; fuel storage terminals or underground storage tanks that we own, lease or operate; or the quality of product under our control may require capital expenditures and increased operating and maintenance costs, particularly as we continue to expand our physical operations.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 Environmental laws and regulations have historically been subject to frequent change and have tended to become more stringent and costly over time.</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could be subject to joint and several as well as strict liability for environmental contamination or violations of environmental regulations. Some of our current and former properties have been operated by third parties whose handling and management of hazardous materials were not under our control. Pursuant to certain environmental laws, we could be responsible for investigating and remediating contamination, including impacts attributable to prior site occupants or other third parties, and for implementing remedial measures to mitigate the risk of future contamination. In some cases, we may be eligible to receive money from state underground storage tank trust funds to help fund remediation. However, receipt of such payments is subject to stringent eligibility requirements and other limitations that can significantly reduce the availability of such trust fund payments and may delay or increase the duration of associated cleanups. Any such contamination, leaks from storage tanks or other releases of regulated materials could result in claims against us by governmental authorities and other third parties for fines or penalties, natural resource damages, personal injury and property damage.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subject to legal and administrative actions governing the investigation and remediation of contamination or spills from current and past operations. The penalties for violations of environmental laws can include injunctive relief; administrative, civil or criminal penalties; recovery of damages for injury to air, water or property; and third-party damages. Some environmental laws may also impose strict liability for remediation of spills and releases of oil and hazardous substances, which could subject us to liability without regard to whether we were negligent or at fault. See Item 1A. –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Climate Change and Sustainability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Climate change continues to be an area of focus at the local, national and international levels. As a result, a number of countries have adopted, or are considering the adoption of, regulatory frameworks to reduce greenhouse gas ("GHG") emissions. In the U.S., the U.S. Environmental Protection Agency has adopted rules requiring the reporting of GHG emissions by petroleum product suppliers and facilities meeting certain annual emissions thresholds and regulating emissions from major sources of GHGs under the Clean Air Act. In addition, several states and geographic regions in the U.S. have also adopted legislation and regulations to reduce emissions of GHGs, such as such as California, Oregon and Washington, which have formally enacted cap-and-trade programs and low carbon fuel standard obligations.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U.S. federal law and policy continues to evolve. Shortly after taking office in January 2021, then President Biden issued a series of executive orders designed to address climate change, including rejoining the Paris Agreement after the U.S. had withdrawn from the international accord in 2020. In August 2022, the Inflation Reduction Act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2022 (the "IRA") was signed into law, which appropriates significant federal funding for renewable energy initiatives and imposes a fee on GHG emissions from certain facilities in the oil and natural gas sector. Various provisions of the law are designed to accelerate the transition away from fossil fuels or otherwise could adversely impact the use of petroleum-based fuels. Additionally, the SEC has recently expressed its intent to scrutinize climate-change related disclosures in public filings, increasing the potential for enforcement if the SEC were to allege that our existing climate disclosures are misleading or deficient.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taking office in January 2025, President Trump issued a series of executive orders designed to reverse some of the Biden Administration's policies and executive orders, including an order to withdraw from the Paris Agreement. The full impact from the change in the U.S. presidential administration to any existing regulations, including any potential ramifications for the IRA, the SEC's scrutiny of climate-related disclosures, and the various incentive provisions as well as other government and tax incentives for renewable energy initiatives in the United States, is uncertain at this stage.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an international level, the European Union ("E.U.") has committed to reducing net GHG emissions by at least 55% by 2030. E.U. member states have implemented a range of subsidies and incentives to achieve the E.U.’s climate change goals, including through the European Union Emissions Trading System (‘‘E.U. ETS’’) for industrial emissions. The E.U. ETS is expected to become progressively more stringent over time, such as by including by reducing the number of allowances to emit GHGs as well as broadening the industries subject to the restrictions. In other non-E.U. countries, regulations include the adoption of cap and trade regimes, carbon taxes, restrictive permitting, increased efficiency standards, and incentives or mandates for renewable energy.</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Regulatory requirements related to ESG or sustainability reporting have been adopted and may continue to be introduced in various jurisdictions. The E.U. has issued the Corporate Sustainability Reporting Directive, and California has enacted the Climate Corporate Data Accountability Act and the Climate Related Financial Risk Act that will require reporting and third-party assurance of GHG emissions information for certain entities. California has also enacted the Voluntary Carbon Market Disclosures Act, which requires companies that operate within the state and make certain climate-related claims to provide enhanced disclosure around the achievement of such claims. We expect regulatory disclosure requirements related to ESG matters to continue to expand globally.</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the ultimate impact of these or other future measures is difficult to accurately predict, additional legislation or regulations could impose significant additional costs on us, our suppliers, vendors and customers, or could adversely affect demand for our energy products. The potential increase in our operating costs could include additional costs to operate and maintain our facilities, such as installing new infrastructure or technology to respond to new mandates, or paying taxes related to our GHG emissions, among others. Furthermore, changes in regulatory policies or increased awareness and any adverse publicity in the global marketplace about potential impacts on climate change by us, or other companies in our industry, could result in a reduction in the demand for hydrocarbon products that are deemed to contribute to GHGs, harm our reputation and adversely impact our sales of fuel products. See 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Regulations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global organization with customers and operations around the world, we are subject to an often complicated, multi-jurisdictional matrix of laws, regulations and policies that govern international trade, including laws relating to anti-corruption, anti-money-laundering, export controls, economic sanctions, anti-boycott rules, currency exchange controls and transfer pricing rules. These laws, regulations and policies continue to evolve and often become more stringent over time. Changes to trade policies, including the imposition of tariffs in connection with the new administration in the U.S. and retaliatory tariffs in response thereto, or the renegotiation of existing trade agreements with the U.S. or countries where we have significant sales, procure products, or recruit and employ employees, could impact our business. As a result of the military conflict in Eastern Europe, countries in which we operate have imposed sanctions on Russia and other individuals and entities with connections to the Russian state. Violations of these laws, regulations and policies can result in significant penalties and civil and criminal liabilities.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a variety of other U.S. and foreign laws and regulations, relating to:</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and employment;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workplace and driver safety;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privacy and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commodities trading, brokerage, derivatives and advisory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and payment card processing and payment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petroleum marketing;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human rights and modern slavery;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antitrust and competition;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regulatory reporting and licensing requirements.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the complex and technical nature of many of these laws and regulations, inadvertent violations may occur. If we fail to comply with these laws or regulations for any reason, we would be required to correct or implement measures to prevent a recurrence of any violations, which could increase our operating costs. See Item 1A. – Risk Factors for additional information regarding the impacts of government regulation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World Kinect, we believe that our people's passion and expertise are what differentiates us and investing in our people is a top priority. Our comprehensive approach to serving our workforce includes our commitment to promoting an inclusive environment, as well as focusing on our employees' growth and development, health and safety, and overall well-being. The following charts provide information about our global workforce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837555" cy="2245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755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and Safety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global energy management company, we are committed to doing the right thing in all that we do. We continually seek to minimize the impact of our operations and ensure the health and safety of our employees, contractors, customers, suppliers and the communities in which we operate. We are actively striving to play a leading role in promoting best practices within the transportation industry and are closely involved in developing, setting, and maintaining health, safety and environment ("HSE") industry standards. We have established a set of "Rules to Live By" to help strengthen our existing Integrated Management System and promote appropriate safety behaviors and practices that we believe are vital to preventing workplace incidents.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developed what we believe to be a comprehensive process designed to identify, assess and manage HSE risks in our operations. We set targets for performance improvements, regularly measure, audit and report on our performance, and investigate near misses and incidents to determine root causes to prevent similar incidents from occurring in the future. We also expect our contractors to manage HSE matters in line with our policies and include an HSE component in our contractors' performance appraisals.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Representing a Global Workforce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that representative, talented teams, across all levels and areas of our organization, are critical to our success. We continue to strengthen our talent pipelines, hone our hiring processes, and are committed to paying equitably and competitively to attract and retain talent. In this regard, we are working on increasing transparency across our company, particularly around our talent recruitment, development and retention efforts. These initiatives include working with our management to develop awareness and providing training on how to recognize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mitigate bias in talent development and recruitment decisions; and conducting comprehensive assessments of the strengths and growth opportunities for our employees.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Developing Our People</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Through hands-on learning experiences, training, coaching and development programs, we believe we have fostered a culture that empowers our people to succeed. We are committed to providing opportunities for both career enhancement and advancement paths, which is why we have taken measures to provide professional development opportunities and strive to recruit and cultivate a wide range of talent.</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take a holistic approach to providing support and resources that empower our employees and their families to cultivate well-being and personal excellence. For example, we offer competitive compensation packages composed of salaries, incentive bonuses, various forms of equity awards and comprehensive benefits packages. Additionally, we have launched various programs designed to integrate employee health and well-being into our culture through events, webinars, activities and fitness challenges.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Developing Our Communities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global company, we are focused on creating a positive impact, encouraging our employees to support the communities in which they live. We engage and support charities across society, and believe that fostering sustainable growth is about conducting our business in a manner that promotes a healthy environment and strengthens the local communities where we operate.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2024 10-K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2024 10-K Report includes forward-looking statements regarding (i) expectations regarding inflation and its impact on us, (ii) conditions in the aviation, land, and marine markets and their impact on our business, (iii) growth in our core businesses, (iv) the impact of fuel prices and our working capital, liquidity, and capital expenditure requirements, (v) our expectations and estimates regarding tax, legal and accounting matters, including the impact on our financial statements, (vi) our hedging strategy and (vii) estimates regarding the financial impact of our derivative and other trading contracts. Our forward-looking statements are qualified in their entirety by cautionary statements and risk factor disclosures contained in our SEC filings.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45" w:lineRule="exact"/>
        <w:rPr>
          <w:sz w:val="20"/>
          <w:szCs w:val="20"/>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tariffs in connection with the new U.S. presidential administration and retaliatory tariffs in response thereto, or renegotiation of existing trade agreements;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market prices of energy or commodities or extremely high or low fuel prices that continue for an extended period of time;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effectively mitigate certain financial risks and other risks associated with derivatives and our physical fuel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relationships with our employees and potential labor disputes associated with employees covered by collective bargaining agreements;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governing our outstanding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cyber and other information technology or security related incidents on us, our customers or other parties;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including as a result of the current conflicts in Eastern Europe and the Middle East and the change in the U.S. presidential administration;</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inflationary pressures and their impact on our customers or the global economy, including sudden or significant increases in interest rates or a global recession;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leverage technology and operating systems and realize the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meet fuel and other product specifications agreed with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reputational harm from adverse publicity arising out of spills, environmental contamination or public perception about the impacts on climate change by us or other companies in our industry;</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uninsured or underinsured losses;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 as well as the impact of natural disasters, such as earthquakes, hurricanes and wildfires;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changes in the mix of taxable income among different tax jurisdictions, or adverse results of tax audits, assessments, or disputes;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multilateral conventions, treaties, tariffs or other arrangements between or among sovereign nations;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outcome of litigation, regulatory investigations and other legal matters, including the associated legal and other costs; and</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this 2024 10-K Report and those described from time to time in our other filings with the SEC.</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2024 10-K Report will be deemed to modify or supersede such forward-looking statements.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each of the following risks and all the other information contained in this 2024 10-K Report in evaluating us and our common stock. Although the risks are organized by headings, and each risk is discussed separately, many are interrelated. Our business, financial condition, results of operations and cash flows could be materially and adversely affected by these risks, and, as a result, the trading price of our common stock could decline. We have in the past been adversely affected by certain of, and may in the future be affected by, these risks.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&amp; Operational Risks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We extend credit to many of our customers in connection with their purchase of fuel and services from us, and our business, financial condition, results of operations and cash flows will be adversely affected if we are unable to collect accounts receivable. </w:t>
      </w:r>
      <w:r>
        <w:rPr>
          <w:rFonts w:ascii="Arial" w:cs="Arial" w:eastAsia="Arial" w:hAnsi="Arial"/>
          <w:sz w:val="18"/>
          <w:szCs w:val="18"/>
          <w:color w:val="auto"/>
        </w:rPr>
        <w:t>Our success in attracting customers has been partly due to our willingness to extend credit on an unsecured basis to customers instead of requiring prepayment, letters of credit or other forms of credit support. Even in cases where we do obtain credit enhancements, such as guarantees, offset rights, collateral or other forms of security, such rights may not be sufficient to ensure amounts owed to us are fully collectible. Furthermore, our credit risk is concentrated in the aviation, land and marine transportation industries, which exposes us to greater risk when there are global impacts to these industries.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exposure to credit losses depends primarily on the financial condition of our customers and other factors beyond our control. Such factors include decreased demand for travel and other transportation services, weakness in the world economy or in the industries we serve, significant changes in oil prices and political instability, among others. Sudden or unexpected negative changes in the financial condition of our customers, including insolvency or bankruptcy, can have a negative impact on our sales, make it more difficult to collect on receivables, and cause us to incur bad debt expense at levels higher than we have historically experienced.</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efforts to manage our credit exposure and respond to changes in our customers' financial condition and other macroeconomic events may not be sufficient to mitigate these risks. Substantial credit losses could have a material and adverse effect on our business, financial condition, results of operations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prices of energy and commodities may have a material adverse effect on our business.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Energy and commodity prices are volatile and can be impacted by many factors beyond our control, including: expectations about future supply and demand for petroleum products; oil production levels set and maintained by the Organization of the Petroleum Exporting Countries ("OPEC") as well as non-OPEC countries; global economic and political conditions that impact or create uncertainty in the global energy markets, such as the ongoing military conflicts in Eastern Europe and the Middle East, and threatened or actual acts of terrorism, war or civil unrest; the imposition of tariffs in connection with the new administration in the U.S. and retaliatory tariffs in response thereto; laws, regulations or taxes related to environmental matters, including those mandating or incentivizing alternative energy sources or otherwise addressing global climate change; energy conservation efforts and technological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advances affecting energy consumption or supply; regulatory changes in commodities markets; and extreme weather and other natural disasters.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above, we extend credit to many of our customers in connection with their purchase of fuel and services from us. During periods of high fuel prices, our customers may not be able to purchase the same volumes of fuel from us because of their financial credit limits with us. An inability to purchase fuel from us or other suppliers can have an adverse impact on their business, causing them to be unable to make payments owed to us for fuel they previously purchased on credit. In addition, high fuel prices can impact our own credit limits with our suppliers, preventing us from purchasing enough fuel to meet customer demand unless we provide additional credit support for fuel purchases, such as letters of credit, bank guarantees or prepayments, any of which could adversely impact our liquidity and increase our working capital costs.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us. This can occur due to many factors, such as 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because of the lower working capital requirements.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also experience negative results in volatile market pricing environments experiencing severe disruption. For example, in the first six months of 2022, our aviation segment was significantly and adversely affected by severe backwardation, a market condition in which oil futures forward prices trade at lower levels than the current market price. Our efforts to limit our exposure to this type of market risk may not be fully effective.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we maintain fuel inventories for competitive and logistical reasons. Significant variations in the market prices of products held in our inventories may require us to record inventory valuation charges. Our inventory is principally valued using the weighted average cost methodology and is stated at the lower of average cost or net realizable value. Hedging transactions we undertake to limit the financial effects of commodity price fluctuations may not be fully effective. Accordingly, if the market value of our inventory is less than our average cost and to the extent our hedges are not effective at mitigating the impacts of price fluctuations, we may be required to record a write-down of inventory on hand and incur a non-cash charge or suffer losses as fuel is sold, which can adversely impact our earnings.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events affecting the aviation, marine and land transportation industries can affect our business.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focused on the marketing of energy and other related products and services primarily to the aviation, land and marine transportation industries, which are generally affected by economic cycles and other global events. Weak economic conditions that have a negative impact on our customers' business may, in turn, have an adverse effect on our business. Additionally, our business and that of our customers can be adversely impacted by political instability, terrorist activities, piracy, military action, transportation, terminal or pipeline capacity constraints, natural disasters and other weather-related events that disrupt shipping, flight operations, land transportation or the availability of fuel, which may negatively impact sales of our products and services. Certain of our customers are affected by variations in demand for business and leisure travel. Business travel can be impacted by increased use of conferencing and collaboration technology, increased remote work and cost-driven business travel limitations, while leisure travel demand can be impacted by reductions in consumer discretionary income and other economic factors. Our customers may also choose to reduce the amount of fuel they consume in their operations. For example, our customers in the shipping industry may elect to sail their vessels at reduced speeds, known as "slow steaming," to conserve fuel and reduce emissions. Additionally, political or governmental developments or other global health concerns or crises in the countries in which we or our customers operate, could also result in further social, economic or labor instability. Further, personnel or other shortages can impact our customers’ ability to meet demand, which may in turn adversely affect their demand for our fuel products. Accordingly, the effects of any of the foregoing risks and uncertainties on us or our customers could have a material adverse effect on our business, results of operations and financial condition.</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may also be adversely affected by consolidation in the aviation, land or marine transportation industries, which may reduce the number of customers that purchase our products and services. Larger shipping companies and airlines often have greater leverage and have a greater ability to buy directly from major oil companies and suppliers. Accordingly, this can negatively impact our value proposition to these types of customers and increases the risk of disintermediation.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subject to business interruptions and casualty losses.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operations are subject to business interruptions and casualty losses, such as fires, floods and other catastrophic incidents or events; vehicle collisions, injuries and loss of life; spills, discharges, contaminations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other releases; severe damage and destruction of property and equipment; and loss of product and business interruption.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of the foregoing can result in distribution difficulties and disruptions, environmental pollution, government-imposed fines or clean-up obligations, personal injury or wrongful death claims, or damage to our properties or the properties of others. The occurrence of any of these events could also damage our reputation, which could adversely affect our business, whether or not we are ultimately held financially liable for such event. While we keep business continuity plans to address these and other types of contingencies, our failure to timely or properly implement our business continuity plans could exacerbate the impact on the business. Certain losses may exceed our insurance coverage limits or be outside the scope of our coverage. If any of our third-party insurers fail, become insolvent, cancel our coverage or otherwise are unable to provide us with adequate insurance coverage, or we are unable to renew our insurance coverage on reasonable terms, then our overall risk exposure and our operational expenses would increase. If we are held liable for any material damages, and the liability is not adequately covered by insurance, our financial position and results of operations would be adversely affected.</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as we invest more heavily in physical assets in certain locations, our ability to quickly reposition our business in the event of a downturn in the economy of a particular geographic area becomes increasingly difficult. Accordingly, we may be forced to incur significant costs in maintaining or even exiting a physical location, which would have an adverse effect on our results of operations.</w:t>
      </w:r>
    </w:p>
    <w:p>
      <w:pPr>
        <w:spacing w:after="0" w:line="6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Information technology failures and data security breaches, including as a result of cybersecurity attacks, could negatively impact our results of operations and financial condition, subject us to increased operating costs, and expose us to litigation.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heavily on the proper functioning and availability of both internal and third-party information technology systems, including network infrastructure and cloud applications and services, to support a variety of business processes and activities across our global operations. All information technology systems are subject to disruptions, outages, failures, and security breaches or incidents. Cybersecurity incidents may arise from employee or contractor error or misuse or unauthorized use of information technology systems or confidential information, individual attempts to gain unauthorized access to these information systems, and sophisticated cybersecurity attacks, known as advanced persistent threats, any of which may impact us directly or indirectly through our customers, suppliers or third-party service providers.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Cybersecurity incidents and attacks are increasing in number, attackers are increasingly organized and well-financed, and at times supported by state-sponsored actors, and attacks often target critical infrastructure. Additionally, the use of artificial intelligence and other emerging technologies, such as generative artificial intelligence, may enable more automated and effective attacks. Cybersecurity incidents can remain undetected for a period of time despite efforts to detect and respond to them in a timely manner. Cybersecurity incidents and similar attacks vary in their form and can include the deployment of harmful malware or ransomware, denial-of-services attacks, and other attacks, which may affect business continuity and threaten the availability, confidentiality and integrity of our systems and information. Cybersecurity incidents can also affect third-party networks outside of our control that are required to operate trading platforms, pipelines, and other infrastructure we rely on to conduct our business, together with the financial systems we rely upon to send and receive funds throughout the world. For example, in 2021, a U.S. pipeline company temporarily shut down its pipeline system following a ransomware attack on its systems. Cybersecurity incidents and other technology failures can also affect the sectors in which our customers operate. In 2024, a well-publicized incident involving a major cybersecurity company resulted in widespread crashes of information technology systems into which the cybersecurity company’s products were integrated, causing significant impacts to the banking, transportation and other industries. While these incidents did not have a material adverse impact on us, future cyberattacks, incidents and disruptions affecting the banking, transportation, or other industries, or pipelines and other critical fuel delivery infrastructure, could significantly impact us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exposed to risks associated with the failure of our employees, customers, business partners and other third parties to use appropriate controls to protect sensitive information, due to risks associated with social engineering (e.g., phishing and impersonation), fraud and email scams. External parties may attempt to fraudulently induce employees, customers, suppliers or other users of our systems to disclose sensitive information to gain access to our data or use electronic means to induce us to enter into fraudulent transactions. We may also face increased cybersecurity risk and threats for a period of time after acquisitions as we transition the acquired entity’s historical systems and networks to our standards.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due to the large number of transactions that run through our systems each day, significant system downtime or disruption could have a material impact on our, and in the case of our technology offerings, our customers', ability to conduct business, process and record transactions, make operational and financial decisions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damage our reputation with customers or suppliers, particularly in the event of billing errors or payment delays. Similarly, if ours or any of our business partners' or cloud service providers' access to cloud-based or similar platforms and services is disrupted for any reason and leads to disruptions in our critical systems, our operations and ability to manage our business could be adversely impacted. We may not have sufficient recourse against these parties in the event they experience a significant cybersecurity incident or similar attack or other security breach affecting our or our customers' data.</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cybersecurity and infrastructure protection technologies, disaster recovery plans and systems, employee training and vendor risk management that we use to mitigate cybersecurity threats may not be sufficient to defend us against all unauthorized attempts to access our information or impact our systems. As cybersecurity threats continue to evolve, we may be required to dedicate significant additional resources and incur substantial costs to modify or enhance our security measures or to investigate and remediate any vulnerabilities. Despite these efforts, we may be unable to fully anticipate or implement adequate preventive measures or mitigate potential harm. We and our third party providers have experienced, and expect to continue to experience, cybersecurity incidents. To our knowledge, we have not experienced any material losses relating to cybersecurity attacks. However, there can be no assurance that we will not suffer material losses in the future. We currently maintain insurance to protect us from certain losses arising as a result of cybersecurity incidents, but this insurance may not be sufficient to cover the financial, legal, business or reputational losses that may result from such incidents and there is no guarantee that such coverage will continue to be available on commercially reasonable terms or at all. Any of the adverse effects described above could damage our brand, competitiveness and ability to conduct our business, impact our credit and risk exposure decisions, cause us to lose customers or revenues, subject us to significant remediation costs, litigation or regulatory actions, loss or corruption of data, costs related to remediation or the payment of ransom, fines and penalties, or otherwise have a material and adverse effect on our business, financial condition, results of operations and cash flows.</w:t>
      </w:r>
    </w:p>
    <w:p>
      <w:pPr>
        <w:spacing w:after="0" w:line="7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color w:val="auto"/>
        </w:rPr>
        <w:t>Our derivative transactions with customers, suppliers, merchants and financial institutions expose us to price and credit risks, which could have a material adverse effect on our business.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our price risk management services, we offer customers various pricing structures for the purchase of energy products, including derivatives products designed to hedge exposure to fluctuations in energy prices. In the ordinary course of business, we enter into fixed forward contracts with some of our counterparties under which we agree to sell or purchase certain volumes of energy products at fixed prices. In addition, we may act as a counterparty in over-the-counter swap transactions with some of our customers where the customer may be required to pay us in connection with changes in the price of the underlying energy product. Further, we may use derivatives to hedge price risks associated with our fuel inventories and purchase and sale commitments. We typically hedge our price risk in any of the foregoing types of transactions by entering into derivative instruments with large energy companies, trading houses and financial institutions.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and there is an outstanding mark-to-market liability owing, we will have effectively extended unsecured credit to that customer and such amounts could be substantial. Based on the volatility of energy prices, our counterparties may not be willing or able to fulfill their obligations to us under their fixed forward contracts or swap transactions. In such cases, we would be exposed to potential losses or costs associated with any resulting default. For example, in the event the spot market price of fuel at the time of delivery is substantially less than the fixed price of the contract with the customer, a customer could default on its purchase obligation to us and purchase the fuel at a lower "spot" market price from another supplier. Meanwhile, we may have entered into a corresponding commitment with a supplier to offer our customer specified fixed pricing or terms and would be obligated to perform our fixed price purchase obligations to such supplier. Similarly, the counterparties with whom we may hedge our price risk exposure may not be willing or able to fulfill their obligations to us under their swap transactions.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unable to recover losses from a defaulting counterparty, we could sustain substantial losses that would likely have a material adverse effect on our business, financial condition, results of operations and cash flows. Additionally, our hedging activities also result in additional costs and can require cash deposits for margin calls. If there is a sudden a significant change in fuel prices, the amount of cash necessary to cover margin calls can be material and impact our liquidity.</w:t>
      </w:r>
    </w:p>
    <w:p>
      <w:pPr>
        <w:spacing w:after="0" w:line="68"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b w:val="1"/>
          <w:bCs w:val="1"/>
          <w:color w:val="auto"/>
        </w:rPr>
        <w:t>We are exposed to various risks in connection with trading activities and our use of derivatives, which could have a material adverse effect on our results of operations.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financial derivative contracts to mitigate the risk of market price fluctuations in energy products and currency exchange rates, to offer our customers energy pricing alternatives to meet their needs, and to manage price exposures associated with our inventories. Despite our efforts to mitigate risks associated with these transactions, we remain subject to substantial energy price and exchange rate risks.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efforts to hedge our exposure to fluctuations in energy prices and exchange rates may also be ineffective when the prices of historically correlated commodities diverge from their historical correlations. For example, we hedge jet fuel prices with derivatives tied to other petroleum products that have historically been correlated to aviation jet fuel (e.g., heating oil in the U.S. or gasoil in Europe or Asia). If the price of aviation jet fuel at a specific location diverges from historical correlations, our attempts to mitigate price risk associated with our aviation business may not be effective. We may, as a component of our overall business strategy, increase or decrease from time to time our use of such hedging transactions.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enter into proprietary derivative transactions that are not intended to hedge our own risk but are instead intended to make a profit by capitalizing on arbitrage opportunities associated with basis, time, quality or geographic spreads related to the energy products we sell. Proprietary derivative transactions, by their nature, expose us to changes in the underlying commodity prices of the proprietary positions taken. Although we have established limits on such exposure, any adverse changes could result in losses which can be further exacerbated by volatility in the financial and other markets.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derivative and other trading transactions, including our energy trading transactions, are subject to employee and system risks. Our employees may fail to comply with our policies and procedures, may engage in unauthorized trading activity, may fail to comply with our internal limits on exposure or any applicable statutory or regulatory requirements, or may otherwise make errors in connection with the trading process. These and other risks may result in substantial losses. For example, as previously disclosed in a Form 8-K filed with the SEC on November 27, 2023, in November 2023, one of our subsidiaries submitted an erroneous bid in the Finnish power market. During the fourth quarter of 2023, the Company recognized related extraordinary losses totaling $48.8 million in connection with such bid. See Note 12. Commitments and Contingencies for additional information.</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the enforceability of our transactions may depend on our compliance with applicable statutory, commodity and other regulatory requirements, which if violated could lead to our derivative transaction being voided, as well as penalties and fines. The impact of any of the foregoing could have a material adverse effect on our business, financial condition, results of operations and cash flows.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many of our derivative transactions are not designated as hedges for accounting purposes. Therefore, changes in the fair market value of these derivatives are reflected as a component of revenue or cost of revenue (based on the underlying transaction type) in our Consolidated Statements of Income and Comprehensive Income. Since the fair market value of these derivatives is marked to market at the end of each quarter, changes in the value of our derivative instruments because of gains or losses may cause our earnings to fluctuate from period to period, and such fluctuation may be significant.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provide products or services to our customers as agreed, it could adversely affect our business.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depends on the availability and supply of fuel and fuel-related products, as well as the satisfactory performance of services by us or third parties on our behalf. If the fuel and other products we sell or the services we provide, whether directly or through a third party, fail to meet the requirements we have agreed to with customers or those mandated by law or regulation, whether due to contamination, arising in connection with our advisory services or otherwise, our relationship with our customers can be adversely affected and we may be subject to material claims and liabilities. Changes in product quality specifications or blending requirements could reduce demand, impact our throughput volume, require us to incur additional costs or require capital expenditures. We may also incur material liabilities if our products cause physical damage to a vessel or aircraft, bodily injury or result in the assertion of substantial claims of civil liability against us. In addition, adverse publicity about any allegations of contaminated products may negatively impact our business, regardless of whether such allegations are true.</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our agreements with suppliers generally provide that we have recourse against them for products that fail to meet contractual specifications, such recourse may be time-barred or otherwise insufficient to adequately cover the liability we may incur and our ability to enforce such recourse may be limited or costly. For example, we may enter into supply agreements with foreign entities, including foreign governments, that are subject to the laws of foreign jurisdictions. We may incur substantial costs in seeking to enforce our rights against a local supplier in a foreign jurisdiction and the ultimate outcome can be unpredictable. In certain markets, we also rely on a single or limited number of suppliers to sell us fuel or provide services on our behalf. We may have limited alternatives if such supplier fails to meet applicable standards or requirements. Any of the foregoing can result in material liabilities that may exceed any applicable insurance coverage or other form of recourse and ultimately, could have a material adverse effect on our business, financial condition, results of operations and cash flows.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b w:val="1"/>
          <w:bCs w:val="1"/>
          <w:color w:val="auto"/>
        </w:rPr>
        <w:t>We may be unable to successfully integrate our acquisitions or fully realize the anticipated benefits of our acquisitions and other strategic transactions.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pursue acquisitions and other strategic transactions. The integration of acquired businesses with our existing business can be complex, costly and time-consuming. We have incurred, and expect to continue incurring, expenses related to the integration of businesses we acquire. The success of our acquisitions depends on our ability to successfully combine our existing business with acquired businesses and realize the anticipated benefits from such acquisitions, including synergies, cost savings, earnings growth, and operational efficiencies.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Acquiring and integrating businesses may place a strain on our management, operations and financial resources, and expose us to additional risks and unexpected expenses, some of which we have experienced in the past and which we may experience in the future, including:</w:t>
      </w:r>
    </w:p>
    <w:p>
      <w:pPr>
        <w:spacing w:after="0" w:line="63" w:lineRule="exact"/>
        <w:rPr>
          <w:sz w:val="20"/>
          <w:szCs w:val="20"/>
          <w:color w:val="auto"/>
        </w:rPr>
      </w:pPr>
    </w:p>
    <w:p>
      <w:pPr>
        <w:ind w:left="58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operating costs and difficulties in efficiently integrating the operations, financial reporting, IT systems, technology, and personnel of acquired businesses or of new business operations;</w:t>
      </w:r>
    </w:p>
    <w:p>
      <w:pPr>
        <w:spacing w:after="0" w:line="44"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managing acquired businesses while maintaining consistent standards, controls and risk management processes appropriate for a public company;</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using estimates and judgments when evaluating the various risks and opportunities of the acquired business that may ultimately prove to be incorrect;</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other business concerns;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impacts of changes in management on existing business relationships and other disruptions of the acquired business;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entry into markets in which we may have no or limited direct prior experience;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retaining key employees, customers or suppliers of the acquired businesses;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liquidity or increased indebtedness if we use a material portion of our available cash or borrowing capacity to fund acquisitions;</w:t>
      </w:r>
    </w:p>
    <w:p>
      <w:pPr>
        <w:spacing w:after="0" w:line="44"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 of material liabilities, exposure to litigation, regulatory noncompliance or unknown liabilities associated with the acquired businesses; and</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indemnities, or security supporting such indemnities, from sellers in an acquisition or ongoing indemnity obligations to purchasers in a divestiture.</w:t>
      </w:r>
    </w:p>
    <w:p>
      <w:pPr>
        <w:spacing w:after="0" w:line="4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These risks may result in an adverse effect on our results of operations or financial condition or result in costs that outweigh the financial benefit of such opportunities. We may also undertake dilutive issuances of equity securities to fund the purchase or ongoing operations of the acquired business. This could adversely affect the market price of our common stock, inhibit our ability to pay dividends or otherwise restrict our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to government customers subject us to additional risks.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supply fuel and provide equipment and services to U.S. and foreign government and military customers. Government sales can be materially impacted by factors such as administration policy changes, supply disruptions, inventory shortages and other logistical difficulties that can arise when conducting business in areas with active military conflicts, natural disasters or other severe circumstances. Moreover, there can be a risk of serious injury or loss of life for our employees or subcontractors when operating in high-risk locations. We may therefore incur substantial operating costs as a result of, among other things, hostility-related product losses, the need to use alternate supply routes, and increased security requirements, particularly where our facilities are likely to be subject to terrorist activity or extreme weather-related impacts.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complying with government contracting rules and regulations is complex and government customers routinely audit contractors to review performance, cost structure and compliance with applicable laws, regulations, and standards, as well as the adequacy of and compliance with internal control systems and policies. Any inadequacies in our systems and policies could result in payments being withheld, penalties and reduced future business. Improper or illegal activities, including those caused by our subcontractors, could also subject us to civil or criminal penalties or administrative sanctions, including contract termination, fines, forfeiture of fees, suspension of payment and suspension or debarment from doing business with government agencies, any of which could materially adversely affect our reputation, business, financial condition or results of operations. See Part I. Item 1. – Business of this 2024 10-K Report for additional details regarding applicable laws and regulations.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Some of our workforce is unionized, and we may face labor disruptions and cost increases that adversely affect our business. </w:t>
      </w:r>
      <w:r>
        <w:rPr>
          <w:rFonts w:ascii="Arial" w:cs="Arial" w:eastAsia="Arial" w:hAnsi="Arial"/>
          <w:sz w:val="18"/>
          <w:szCs w:val="18"/>
          <w:color w:val="auto"/>
        </w:rPr>
        <w:t>Some of our employees, including many of our drivers that transport fuel products, are represented by labor unions under collective bargaining agreements. Additional unionization of our workforce, wage negotiations with unions or renegotiation of collective bargaining agreements may result in increased labor costs or other terms that are less favorable to us, or a strike or work stoppage. Any strike, work stoppage or other dispute with unions representing our employees (or representing employees of third parties who provide us services or operate assets or upon which we otherwise rely to distribute products or deliver services) could have a material adverse effect on our results of operations and cash flows. Our customers may also experience strikes or other labor disputes that could reduce their demand for our products and services or their ability to pay for products and services already provided.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Economic &amp; Market Risks</w:t>
      </w:r>
    </w:p>
    <w:p>
      <w:pPr>
        <w:spacing w:after="0" w:line="225"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risks associated with doing business internationally, such as:</w:t>
      </w:r>
    </w:p>
    <w:p>
      <w:pPr>
        <w:spacing w:after="0" w:line="99" w:lineRule="exact"/>
        <w:rPr>
          <w:sz w:val="20"/>
          <w:szCs w:val="20"/>
          <w:color w:val="auto"/>
        </w:rPr>
      </w:pPr>
    </w:p>
    <w:p>
      <w:pPr>
        <w:ind w:left="580" w:hanging="329"/>
        <w:spacing w:after="0" w:line="287"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and import, export and other licensing requirements, which could increase our costs or prevent us from doing certain business internationally;</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costs associated with hiring and retaining senior management for overseas operations;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 which may be costly and require significant time to implement;</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that restrict us from repatriating profits earned from our activities within certain foreign countries;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severe currency devaluations;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actions that may result in expropriation, the deprivation of our contractual rights or the inability to obtain or retain authorizations required to conduct our business;</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risks, including changes in governments, corruption and uncertain regulatory environments;</w:t>
      </w:r>
    </w:p>
    <w:p>
      <w:pPr>
        <w:spacing w:after="0" w:line="117" w:lineRule="exact"/>
        <w:rPr>
          <w:rFonts w:ascii="Arial" w:cs="Arial" w:eastAsia="Arial" w:hAnsi="Arial"/>
          <w:sz w:val="18"/>
          <w:szCs w:val="18"/>
          <w:color w:val="auto"/>
        </w:rPr>
      </w:pPr>
    </w:p>
    <w:p>
      <w:pPr>
        <w:jc w:val="both"/>
        <w:ind w:left="580" w:hanging="329"/>
        <w:spacing w:after="0" w:line="268"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multilateral conventions, treaties, tariffs or other arrangements between or among sovereign nations, including, for example, the United Kingdom's ("U.K.") exit from the E.U., which can increase costs and lead to legal uncertainties and potentially divergent national laws and regulations with regard to tax, licensing and other regulatory rights and obligations; and</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terrorism, war, civil unrest, natural disasters and other severe weather-related events.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can be no assurance that any or all of these events will not have a material adverse effect on our business operations, results of operations and financial condition.</w:t>
      </w:r>
    </w:p>
    <w:p>
      <w:pPr>
        <w:spacing w:after="0" w:line="4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b w:val="1"/>
          <w:bCs w:val="1"/>
          <w:color w:val="auto"/>
        </w:rPr>
        <w:t>Our business depends on our ability to adequately finance our capital requirements and fund our investments, which, if not available to us, would impact our ability to conduct our operations.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that are not satisfied by our operating cash flow. Future market volatility, inflation, and persistent weakness in global energy markets may adversely affect our ability to access capital and credit markets or to obtain funds at low interest rates or on other advantageous terms. If we are unable to obtain credit on acceptable terms or at all, perhaps due to a substantial tightening of the global credit markets, our liquidity, business, financial condition, and cash flows, as well as our future development and growth could be negatively impacted. In addition, if we are unable to obtain debt or other forms of financing and resort to raising capital through equity issuances, our existing shareholders would be diluted.</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is also impacted by the availability of trade credit to fund our fuel purchases from suppliers. An actual or perceived decline in our liquidity or business could cause our suppliers to reduce our credit lines, seek credit support in the form of additional collateral, or otherwise materially modify their payment terms. Adverse changes in our payment terms from principal suppliers, including shortened payment cycles or requiring prepayment, could impact our liquidity, business, results of operations and cash flows.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of the agreements governing our credit arrangements impose certain operating and/or financial covenants on us, which, among other things, restrict our ability to pay dividends or make certain other restricted payments, incur additional debt, create liens and sell a material amount of assets. Our failure or inability to comply with these requirements, including financial ratios or other covenants, could limit the availability under our Credit Facility, as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defined under "Liquidity and Capital Resources" in Part II, Item 7 of this Annual Report on Form 10-K, or result in an event of default. An event of default, if not cured or waived, would permit acceleration of any outstanding indebtedness under these facilities, could trigger cross-defaults under other agreements to which we are a party (such as certain derivative contracts), and would impair our ability to obtain working capital advances and letters of credit, any of which could have a material adverse effect on our business, financial condition, results of operations and cash flows.</w:t>
      </w:r>
    </w:p>
    <w:p>
      <w:pPr>
        <w:spacing w:after="0" w:line="71"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b w:val="1"/>
          <w:bCs w:val="1"/>
          <w:color w:val="auto"/>
        </w:rPr>
        <w:t>Our business is subject to seasonal variability, which can cause our financial results to fluctuate and can adversely affect the market price of our shares.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operating results can be subject to seasonal variability. Seasonality results from numerous factors, including demand changes related to seasonal travel and weather patterns. As such, our results for the second and third quarters of the year have historically been stronger for our aviation segment and our results for the fourth and first quarters of the year have historically been stronger for our land segment. However, extreme or unseasonable weather conditions can affect seasonal demand patterns and the prices of the products we sell, which can in turn adversely impact our results of operations.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we cannot provide any assurances that the seasonal variability will continue in future periods. Accordingly, results for any one quarter may not necessarily be indicative of the results that may be achieved for such quarter the following year or for the full fiscal year. These seasonal fluctuations in our quarterly operating results can therefore adversely affect the market price of our shares.</w:t>
      </w:r>
    </w:p>
    <w:p>
      <w:pPr>
        <w:spacing w:after="0" w:line="63" w:lineRule="exact"/>
        <w:rPr>
          <w:sz w:val="20"/>
          <w:szCs w:val="20"/>
          <w:color w:val="auto"/>
        </w:rPr>
      </w:pPr>
    </w:p>
    <w:p>
      <w:pPr>
        <w:ind w:right="1020"/>
        <w:spacing w:after="0" w:line="260" w:lineRule="auto"/>
        <w:rPr>
          <w:sz w:val="20"/>
          <w:szCs w:val="20"/>
          <w:color w:val="auto"/>
        </w:rPr>
      </w:pPr>
      <w:r>
        <w:rPr>
          <w:rFonts w:ascii="Arial" w:cs="Arial" w:eastAsia="Arial" w:hAnsi="Arial"/>
          <w:sz w:val="18"/>
          <w:szCs w:val="18"/>
          <w:b w:val="1"/>
          <w:bCs w:val="1"/>
          <w:color w:val="auto"/>
        </w:rPr>
        <w:t>A material impairment of our goodwill or intangible assets could reduce our earnings or adversely impact our results of operations.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acquire a business, a substantial portion of the purchase price of the acquisition may be allocated to goodwill and other identifiable intangible assets. Factors that could affect whether goodwill or intangible assets may be impaired include a decline in our stock price or market capitalization, changes in our marketing or branding strategy, reduced estimates of future cash flows in our annual operating plan and slower growth rates in our industry. Our valuation methodology for assessing impairment requires us to make judgments and assumptions based on several factors including industry experience, the economic environment, and our projections of future operating performance. If our estimates and assumptions prove to be incorrect, we may be required to impair some or all of the carrying amount of goodwill and intangible assets within one or more of our reporting units.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past, we have recorded impairment charges in connection with actions such as exiting certain markets or lines of business. Due to continual changes in market and general business conditions, we cannot predict whether, and to what extent, our goodwill and long-lived intangible assets may be impaired in future periods. Our operating results may be negatively affected by both the impairment and the underlying business trends that triggered the impairment. See Note 6. Goodwill and Identifiable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inflation and higher interest rates may adversely affect our business and financial condition.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Inflation in the United States and other jurisdictions in which we do business increased significantly in late 2021 into 2022, driven in part by supply chain disruptions, labor shortages and increased commodity prices, which has generally resulted in higher costs. A significant or prolonged period of high inflation, particularly when combined with rising interest rates due to actions taken by governments to attempt to control inflation, could adversely impact our results if costs, including employee compensation driven by competitive job market conditions, were to increase at a rate greater than the increase in the revenues we generate. Higher interest rates also typically increase the interest expense associated with our credit arrangements with banks and other parties that serve as important sources of liquidity for us, which can therefore negatively impact our results of operations for a particular period. For additional information on the effects of inflation on our business, see Item 7. – Management’s Discussion and Analysis of Financial Condition and Results of Operations.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reduction in prices, either of which can result in lower revenues and profits. We have numerous competitors, ranging from large multinational corporations, which have significantly greater capital resources than we do, to relatively small and specialized firms that compete with us in a particular line of business. Industry developments, such as fuel price transparency, procurement technology tools, increased regulation and increasing customer sophistication may, over time, reduce demand for our services and thereby exacerbate the risks associated with competition.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competing with resellers, we also compete with major oil companies that market fuel and other energy products directly to large commercial airlines, shipping companies, petroleum distributors operating in the land transportation market, fuel resellers, and other commercial and industrial customers. Our business could be adversely affected and subject to the risk of disintermediation if our suppliers choose to enter or increase their operations in markets in which we compete, increase their direct marketing to our customers to compete with us or provide less advantageous price and credit terms to us than to our other competitors.</w:t>
      </w:r>
    </w:p>
    <w:p>
      <w:pPr>
        <w:spacing w:after="0" w:line="7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color w:val="auto"/>
        </w:rPr>
        <w:t>We are subject to counterparty risk with respect to the bond hedge transactions which serve to mitigate the dilutive impact of our Convertible Notes.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offering of Convertible Notes in June 2023, we entered into bond hedge transactions with multiple financial institutions, which increased the effective conversion price of the Convertible Notes. Consequently, the bond hedge transaction is expected to reduce the potential dilution upon conversion of the Convertible Notes and/or offset any cash payments we are required to make in excess of the principal amount of the Convertible Notes upon their conversion. We also entered into warrant transactions with the bond hedge counterparties, which could have a dilutive effect on our common stock to the extent that the market price per share of our common stock exceeds the strike price of the warrants.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exposure to the credit risk of the bond hedge counterparties is not secured by any collateral. Global economic conditions have, from time-to-time, resulted in the actual or perceived failure or financial difficulties of several financial institutions. If any bond hedge counterparty becomes subject to insolvency proceedings, we would become an unsecured creditor in those proceedings with a claim equal to our exposure at that time under the bond hedge transaction. If any of these counterparties were to fail to comply with their contractual obligations under bond hedge transactions, we would (i) be exposed to greater dilution with respect to their respective portion of the hedge, to the extent that our stock price exceeded the nominal conversion price upon conversion, (ii) may suffer adverse tax consequences, or (iii) incur additional costs associated with entering into a replacement bond hedge transaction with a different bond hedge counterparty.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&amp; Regulatory Risks</w:t>
      </w:r>
    </w:p>
    <w:p>
      <w:pPr>
        <w:spacing w:after="0" w:line="22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b w:val="1"/>
          <w:bCs w:val="1"/>
          <w:color w:val="auto"/>
        </w:rPr>
        <w:t>Climate change and the market and regulatory responses relating to GHG emissions could have a significant impact on our business operations and financial results.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Climate change continues to attract considerable public and scientific attention throughout the world. As a result, numerous proposals have been adopted and will likely continue to be made at various levels of governments globally to monitor and limit GHG emissions, reduce the use of hydrocarbon-based fuels or require substantial additional and costly disclosure relating to emissions. These efforts have included consideration of cap-and-trade regimes, carbon taxes, trade tariffs, minimum renewable usage requirements, restrictive permitting, increased efficiency standards, and incentives or mandates for renewable energy.</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U.S., various federal, state and local laws and regulations have been enacted relating to GHG emissions. However, the direction of future U.S. climate change regulations is difficult to predict given the potential for policy changes under different Presidential administrations and changing Congressional leadership. It is unclear the extent to which any new environmental laws or regulations, or any repeal of existing environmental laws or regulations, will impact our business or that of our customers.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in August 2022 the IRA was signed into law, which appropriates significant federal funding for renewable energy initiatives and, for the first time, imposes a fee on GHG emissions from certain facilities in the oil and natural gas sector. The emissions fee and renewable and low carbon energy funding provisions of the law could accelerate the transition away from fossil fuels or otherwise adversely impact the use of petroleum-based motor fuels, which could in turn have an indirect adverse effect on our business and results of operations.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have also been significant governmental incentives and consumer pressures to increase the use of alternative fuels. Automotive, industrial and power generation manufacturers are developing more fuel-efficient engines, hybrid engines and alternative clean power systems. Several automobile manufacturers have announced goals to substantially increase the proportion of their new vehicle sales from battery electric, fuel cell and plug-in hybrid vehicles. Further, in August 2022, the California Air Resources Board finalized its Advanced Clean Cars II (ACC II) program, including requiring an increasing percentage of new passenger vehicles sold in the state to be zero emission vehicles for the 2026-2035 model years, ending with a 100% sales target in the 2035 model year. Additional U.S. jurisdictions could adopt similar requirements. The more prevalent these vehicles become as a result of governmental incentives or regulations, technological advances, consumer demand, improved pricing or otherwise, the greater the potential negative impact on pricing and demand for our fuel products and accordingly, our profitability.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changes in regulatory policies or any adverse publicity in the global marketplace about our potential impact on climate change or the impact of other companies in our industry could also lead to a reduction in the demand for products that are deemed to contribute to GHGs, harm our reputation and adversely impact our sales of fuel products. Finally, the potential physical impacts of climate change on our operations are highly uncertain and vary amongst the geographic areas in which we operate. These may include changes in rainfall and storm patterns and intensities, hurricanes, changing sea levels, and changing temperatures that may impact the seasonality of our businesses, such as our natural gas business in North America and our heating oil business in the U.K. The occurrence of any of the foregoing factors could increase our costs and the prices we charge our customers, reduce the demand for our products, and therefore adversely affect our business, financial condition, results of operations and cash flows.</w:t>
      </w:r>
    </w:p>
    <w:p>
      <w:pPr>
        <w:spacing w:after="0" w:line="7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color w:val="auto"/>
        </w:rPr>
        <w:t>Changes in U.S. or foreign tax laws or adverse outcomes from governmental challenges to our tax position could adversely affect our business and future operating results.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global company, we are subject to various U.S. and foreign taxes, including income taxes and taxes imposed on the purchase and sale of aviation, marine and land fuel products, such as sales, excise, value-added tax ("VAT"), mineral oil, energy, environmental and other taxes. We are also subject to a variety of tax collection obligations including obligations to withhold or collect these types of taxes or other taxes or other requirements that may result in liability for third party obligations. We may recognize additional tax expense and be subject to additional tax liabilities, including other liabilities for tax collection obligations due to changes in laws, regulations, administrative practices, and interpretations related to tax. Our results of operations and cash flows could be adversely affected by additional carbon or other taxes imposed on us prospectively or retroactively or additional taxes and penalties resulting from the failure to comply with any collection obligations or failure to provide information about our customers, suppliers, and other third parties for tax reporting purposes to various government agencies. In some cases, we also may not have sufficient notice to enable us to timely build systems and adopt sufficient processes to timely comply with new reporting or collection obligations.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effective tax rate is subject to significant variation due to numerous factors, including variability in our pre-tax income and loss, the impact of discrete items and non-deductible expenses, changes to our corporate structure, changes in the mix of earnings in countries with differing statutory tax rates, foreign currency fluctuations, intercompany transactions, changes in the valuation of deferred tax assets and liabilities, changes in tax laws or in their interpretation or enforcement, and the applicability of tax concessions. For example, we currently benefit from an income tax concession in Singapore, which reduces the income tax rate on qualified sales and derivative gains and losses. We renewed the concession for an additional five-year period beginning January 1, 2023. The concession remains conditioned upon our meeting certain employment and investment thresholds which, if not met, may eliminate the benefit.</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Tax rates in the various jurisdictions in which we and our subsidiaries are organized and conduct operations may also change significantly because of political or economic factors beyond our control. Ongoing developments regarding the projects by the Organisation for Economic Co-operation and Development ("OECD") including global minimum tax and other initiatives, could adversely affect our worldwide effective tax rate. Countries have begun the process to introduce the OECD model rules on a global minimum tax and other OECD initiatives into their tax regimes. The extent to which countries in which we operate adopt and implement these rules and actions could have a material adverse impact on our income tax expense, effective tax rate, financial condition, and results of operations and cash flows. We are continuing to review and evaluate the potential impact of these rules as additional guidance and clarification becomes available.</w:t>
      </w:r>
    </w:p>
    <w:p>
      <w:pPr>
        <w:spacing w:after="0" w:line="7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and other tax liabilities. Our tax expense includes estimates of additional tax that may be incurred for tax exposures and reflects various estimates and assumptions, including assessments of future earnings that could affect the realizability of our net deferred tax assets.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regularly audited by various domestic and foreign tax authorities and are involved in various inquiries, audits, challenges and litigation in a number of countries, including Denmark, South Korea and the U.S., where the amounts under controversy may be material. In some jurisdictions, these challenges require the posting of collateral or payment of the contested amount, which may affect our flexibility in operating our business or our liquidity.</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believe our tax estimates are reasonable, the final determination of tax audits and any related litigation could be materially different than what is reflected in our income tax provisions and accruals. If these challenges are ultimately determined unfavorably to us, these proceedings may have a material adverse effect on our business, financial condition, results of operations and cash flows. Furthermore, any failure to comply with applicable laws and regulations or appropriately resolve these challenges could subject us to administrative, civil or criminal penalties,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including fines, penalties, disgorgement, injunctions and damage to our reputation. See Notes 11. Income Taxes and 12. Commitments and Contingencies for additional details regarding certain tax matters.</w:t>
      </w:r>
    </w:p>
    <w:p>
      <w:pPr>
        <w:spacing w:after="0" w:line="4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color w:val="auto"/>
        </w:rPr>
        <w:t>Increasing attention to environmental, social and governance issues, including those related to climate change and sustainability, may increase our costs and impose difficult and expensive compliance requirements.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Customers, consumers, investors, and other stakeholders are increasingly focusing on environmental, social and governance (“ESG”) matters, including climate, water use and other sustainability concerns. Furthermore, numerous institutional investors and financial institutions have indicated a focus on matters affecting the environment, which may result in reduced investments in, or financing available to, industries that emit GHG emissions. Many of these groups believe that climate change will significantly influence companies' long-term prospects and have developed ESG standards and guidelines to measure companies' performance.</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our ESG initiatives fail to satisfy our investors, customers, suppliers, or other stakeholders, our reputation, ability to sell products and services to customers, our ability to attract or retain employees, and our attractiveness as an investment or business partner could be negatively impacted. In addition, various governmental authorities, as well as voluntary sustainability initiatives and organizations, have promulgated different environmental and social responsibility laws, regulations, policies, and initiatives, which are under active development, can be unpredictable and conflicting, and may change rapidly in future periods. Additionally, the SEC has recently expressed its intent to scrutinize climate-change related disclosures in public filings, increasing the potential for enforcement if the SEC were to allege that our existing climate disclosures are misleading or deficient.</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Some of our operations are in jurisdictions that have or are developing regulatory regimes governing disclosure of GHG emissions, such as the E.U.’s Corporate Sustainability Reporting Directive, and California’s Climate Corporate Data Accountability Act and Climate Related Financial Risk Act. In 2023, California also enacted the Voluntary Carbon Market Disclosures Act, which requires companies that operate within the state and make certain climate-related claims to provide enhanced disclosures around the achievement of such claims. Unfavorable ratings under or non-compliance with these evolving laws, standards and benchmarks could adversely impact our reputation, business, stock price or access to capital. Non-compliance with any applicable laws, regulations or standards may also result in potential cost increases, litigation, fines, penalties, sales restrictions or loss of customers.</w:t>
      </w:r>
    </w:p>
    <w:p>
      <w:pPr>
        <w:spacing w:after="0" w:line="7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Our business is subject to extensive laws and regulations, including environmental protection, health and safety, that can result in material costs and liabilities.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comply with extensive and complex laws and other regulations at the international, federal, state/provincial and local government levels in the countries in which we operate. See Part I. Item 1. – Business for additional information about laws and regulations applicable to our business. Laws and regulations relating to environmental protection and occupational safety and health can be particularly complex and can impose strict liability on us for remediation of spills and releases of oil and hazardous substances without regard to whether we were negligent or at fault. Violations of these laws and regulations, or any future environmental law or regulation, could result in significant liability, including administrative, civil or criminal penalties, fines, injunctions, or the suspension or termination of our operations at an affected area. We may also be held responsible for remediation costs for natural resource damages as well as third-party damages. In our marine segment, we utilize fuel delivery barges and store and transfer refined products adjacent to water, thereby potentially subjecting us to strict, joint, and potentially unlimited liability for removal costs and other consequences of where a spill is into navigable or inland waters, along shorelines or in the exclusive economic zone of the U.S. Any of these occurrences and any resulting negative media coverage could have a material adverse effect on our stock price and on our business, financial condition, results of operations and cash flows.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increasingly stringent U.S. and foreign environmental laws and regulations have resulted and will likely continue to increase our operating costs. For example, compliance with existing and future laws that regulate the delivery of fuel by barge, truck, vessel, pipeline or railcar; or fuel storage terminals or underground storage tanks that we own, lease or operate may require significant capital expenditures and increased operating and maintenance costs, particularly as we acquire businesses with more physical assets.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 Although the ultimate impact of any regulations is difficult to predict accurately, the occurrence of any of the foregoing could have an adverse effect on our business or on the businesses of our customers.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b w:val="1"/>
          <w:bCs w:val="1"/>
          <w:color w:val="auto"/>
        </w:rPr>
        <w:t>The data that we collect may be vulnerable to cybersecurity incidents, breach, loss or misuse, and our handling of such data may be impacted by changes in data privacy and protection laws and regulations, which could increase operational costs or result in regulatory penalties or litigation.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access to sensitive, confidential or personal data from our employees, customers (both corporate and individual consumers), suppliers and other third parties, some of which is subject to privacy, security or residency or localization laws, regulations and customer-imposed controls. In the ordinary course of business, we collect, retain, process, and transmit such data across national boundaries. Despite our efforts to properly handle and protect this information in compliance with such requirements, our facilities and systems and those of our third-party service providers and business partners may be vulnerable to cybersecurity incidents, security breaches, theft, misplaced or lost data, and programming, technical failures or disruptions, and procedural or human errors that may lead to such information being compromised or handled improperly.</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has been increased public attention regarding the use of personal data and security of data transfers, accompanied by legislation and regulations intended to strengthen data protection, information security and consumer and personal privacy. The evolving nature of privacy laws in the U.S., the E.U., China, Australia and other jurisdictions where we have operations and customers, could impact our processing of this data, including requiring us to make costly changes to our IT systems to properly handle such data. For example, the E.U.'s General Data Protection Regulation imposes strict rules on handling personal data related to the E.U. and imposes significant sanctions for violations. We have substantial operations in the E.U. and are therefore subject to these heightened standards. Similarly, the California Consumer Privacy Act grants certain rights to California residents with respect to their personal data and requires that companies take or refrain from taking certain actions. Several other U.S. states have enacted similar data privacy legislation, and additional states have passed or are considering additional privacy laws that are expected to take effect in the near future.</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failure to adequately comply with these requirements could lead to substantial fines, penalties, third-party liability, remediation costs, litigation (including class action or commercial litigation), regulatory investigations and actions, potential cancellation of existing contracts and the inability to compete for future business. Any significant breach of data privacy-related regulations or related customer requirements could have a material adverse effect on our business and reputation, as well as our financial condition, results of operations and cash flows.</w:t>
      </w:r>
    </w:p>
    <w:p>
      <w:pPr>
        <w:spacing w:after="0" w:line="68"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b w:val="1"/>
          <w:bCs w:val="1"/>
          <w:color w:val="auto"/>
        </w:rPr>
        <w:t>Our international operations subject us to international trade control, anti-money laundering and anti-corruption laws that can impose substantial compliance costs and expose us to civil and/or criminal penalties.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global operations are subject to applicable anti-corruption laws, such as the U.S. Foreign Corrupt Practices Act and the U.K. Bribery Act 2010, anti-money laundering laws, international trade controls, and competition laws. Anti-corruption laws generally prohibit us from providing anything of value to foreign officials for the purposes of improperly influencing official decisions or improperly obtaining or retaining business and may also apply to commercial bribery.</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part of our business, we operate in countries with a high degree of corruption and frequently interact with state-owned enterprises and government officials. This may increase the risk of improper payments being demanded of, offered by, or made by one of our employees or a party acting on our behalf. The risk of enforcement has also grown in recent years as more of the countries in which we operate have passed anti-corruption laws and prioritized enforcement of those laws which can result in significant fines and penalties.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trade controls, including economic sanctions such as those administered by the U.S. Treasury's Office of Foreign Assets Control ("OFAC") or the U.K.'s HM Treasury, export controls and anti-boycott regulations, restrict our business dealings with certain countries and individuals, are complex, may conflict with each other, are continually changing and may be adopted quickly. For example, as a result of the military conflict in Eastern Europe, the U.S., the E.U., the U.K. and other countries in which we operate have imposed sanctions on Russia and certain other individuals and entities with connections to the Russian state.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restrictions may be enacted, amended, enforced or interpreted in a manner that materially impacts our operations. From time to time, certain of our subsidiaries have limited business dealings in countries subject to comprehensive OFAC administered sanctions. While such activities currently represent an immaterial amount of our consolidated revenue and income and are undertaken pursuant to general and/or specific licenses issued by OFAC or as otherwise permitted by applicable sanctions regulations, these activities, as well as rapidly changing sanctions regimes across the globe, may expose us to a heightened risk of violating trade control regulations.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established policies and procedures designed to assist with our compliance with these laws and regulations. Such policies and procedures may not always prevent us, our employees or parties acting on our behalf from violating these laws and regulations. Violations may expose us to criminal or civil penalties, or other adverse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consequences including the denial of export privileges, injunctions, asset seizures, debarment from government contracts, and/or revocations or restrictions of licenses. In addition, the costs associated with responding to a government investigation and remediating any violations can be substantial. Furthermore, violations could trigger an event of default under our Credit Agreement, as defined under "Liquidity and Capital Resources" in Part II, Item 7 of this Annual Report on Form 10-K, which if not waived, could result in the acceleration of any outstanding indebtedness, cause cross-defaults under other agreements to which we are a party (such as certain derivative contracts), and impair our ability to obtain working capital advances or letters of credit. Accordingly, violations could adversely affect, among other things, our reputation,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b w:val="1"/>
          <w:bCs w:val="1"/>
          <w:color w:val="auto"/>
        </w:rPr>
        <w:t>We face various risks related to pandemics, epidemics and other outbreaks of infectious disease, which may adversely affect our business, results of operations and financial condition.</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a wide variety of risks related to pandemics, epidemics and other outbreaks of infectious diseases, which have in the past contributed to business slowdowns or shutdowns, labor shortages, supply chain challenges, changes in government spending and requirements, regulatory challenges, inflationary pressures and market volatility. Public health crises, such as the COVID-19 pandemic, have in the past impacted our operations directly and may in the future impact us directly, or may disrupt the operations of our business partners, suppliers and customers in ways that could have an adverse effect on our business, results of operations and financial condition.</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the extent that a pandemic, epidemic or other outbreak of infectious disease adversely affects our business, results of operations and financial condition, it may also have the effect of exacerbating many of the other risks discussed in this 2024 10-K Report or any of our other periodic reports, which could have a material adverse effect on us and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1C. Cybersecurity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and Data Privacy</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commitment to cybersecurity risk management and sound governance of cybersecurity and other information security-related risks is reflected at the highest levels of our company. This commitment begins with our Board of Directors, which plays a key role in providing oversight of our business practices and related risks, while remaining informed as we evolve and new risks emerge over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Governance – Roles of our Board of Directors and Management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has delegated both the Audit Committee and Technology &amp; Operations Committee with responsibility for monitoring and oversight of the information technology and cybersecurity components of our risk assessment and risk management programs. The independent directors comprising our Audit Committee and our Technology &amp; Operations Committee:</w:t>
      </w:r>
    </w:p>
    <w:p>
      <w:pPr>
        <w:spacing w:after="0" w:line="70" w:lineRule="exact"/>
        <w:rPr>
          <w:sz w:val="20"/>
          <w:szCs w:val="20"/>
          <w:color w:val="auto"/>
        </w:rPr>
      </w:pPr>
    </w:p>
    <w:p>
      <w:pPr>
        <w:ind w:left="580" w:hanging="329"/>
        <w:spacing w:after="0" w:line="287"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regularly review our cybersecurity and related information technology risks, controls and procedures, including data protection and privacy and our plans to mitigate cybersecurity risks and to respond to cybersecurity incidents;</w:t>
      </w:r>
    </w:p>
    <w:p>
      <w:pPr>
        <w:spacing w:after="0" w:line="44"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 technology and operations processes that relate to or affect our internal control systems, information security, data protection and privacy, fraud and cybersecurity risks; and,</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assist management in developing our risk management methodologies and the steps taken to identify, monitor and control such exposures.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Chief Information Officer ("CIO") and our Chief Information Security Officer ("CISO") are responsible for our company’s overall information security activities and cyber risk programs. Our CISO reports to the CIO and leads our cyber and data-related incident response activities. Our current CIO and CISO have more than 40 years of combined experience in the digital and information technology field.</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 cross-functional approach to addressing cybersecurity risk, with our information technology, legal, and internal audit functions regularly presenting to the Audit Committee and Technology &amp; Operations Committee on key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cybersecurity topics. Our CISO, together with our CIO and other members of the senior leadership in our information technology organization, also provide the Audit Committee and Technology &amp; Operations Committee with these updates on at least a quarterly basis, and more often as needed. These reports include topics such as analyses of recent cybersecurity threats and incidents across the industry, as well as a review of our own security controls, assessments and program maturity, and risk mitigation status.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Cybersecurity Risk Management &amp; Strategy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strategically integrated cybersecurity risk management into our broader enterprise risk management program to ensure cybersecurity risks are identified, evaluated and addressed alongside our operational objectives. Overall, we seek to address cybersecurity risks through a comprehensive, cross-functional approach that is focused on preserving the confidentiality, integrity and availability of our data and information by identifying, preventing and mitigating cybersecurity threats and being prepared to effectively respond to cybersecurity incidents when they occur. As a global company, we are also committed to respecting individual privacy and complying with applicable data privacy laws throughout the world, such as the European Union’s General Data Protection Regulation ("GDPR"), U.K. Data Protection Act and the California Consumer Privacy Act ("CCPA").</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cybersecurity policies, standards, processes, and practices are designed to align with the National Institute of Standards and Technology ("NIST") Cybersecurity Framework. We have achieved ISO 27001 certification. Our cybersecurity program also includes a detailed control catalog that maps to several other frameworks, providing a broad approach to managing cyber risks. However, we use NIST and other cybersecurity frameworks solely as a guide to help us identify, assess and manage cybersecurity risks relevant to our business.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internal vulnerability scans, penetration tests, and breach simulation exercises, reinforcing our controls and our readiness to respond to potential threats. Recognizing the complexity and evolving nature of cybersecurity threats, we regularly engage with a range of external experts, including cybersecurity consultants, auditors and advisers, in evaluating and testing our risk management systems. Our collaboration with these third parties includes cybersecurity audits and testing, threat assessments and tabletop exercises, along with regular consultation on security enhancements.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implemented processes designed to mitigate risks related to data breaches or other security incidents originating from third parties. With our vendors, we conduct security assessments of key third-party providers before engagement and maintain ongoing monitoring to ensure their compliance with our cybersecurity standards.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our cybersecurity training program, employees and contractors are provided with cybersecurity training upon hire and thereafter on an annual basis. In addition, training and awareness campaigns continue throughout the year, where we employ various methods such as conducting mock phishing tests, live training sessions and informational articles.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information we have as of the date of this Form 10-K, we do not believe any risks from cybersecurity threats, including as a result of any previous cybersecurity incidents, have materially affected or are reasonably likely to materially affect our business strategy, results of operations or financial condition. While we maintain cybersecurity insurance, the costs related to cybersecurity threats or cybersecurity incidents may not be fully insured. See Item 1A. – Risk Factors for additional information regarding cybersecurity threats.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principal properties consist primarily of administrative offices and inventory storage facilities, none of which are individually material. We lease our corporate headquarters in Miami, Florida as well as administrative office space in London, Singapore and other strategic locations throughout the world.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February 21, 2025, the majority of our principal properties are leased on commercially reasonable terms and we do not anticipate that we will experience difficulty in renewing or replacing any leases upon expiration in any material respect. Our properties are often utilized by one or more of our business segments and we consider all of our properties and facilities to be suitable and adequate for our current needs.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and the amounts under controversy may be material. See Notes 11. Income Taxes and 12. Commitments and Contingencies for additional details regarding certain tax matters.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Item 103 of Regulation S-K promulgated by the SEC requires disclosure of certain environmental matters when a governmental authority is a party to the proceedings and such proceedings involve potential monetary sanctions, unless we reasonably believe that the matter will result in no monetary sanctions, or in monetary sanctions, exclusive of interest and costs, of less than a specified threshold. We have elected to use a threshold of $1 million for purposes of determining whether the disclosure of any such environmental proceeding is required.</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not currently a party to any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 See Note 12. Commitments and Contingencies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common stock is traded on the New York Stock Exchange ("NYSE") under the symbol WKC. As of December 31, 2024, the closing price of our stock on the NYSE was $27.51.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21, 2025, there were 72 shareholders of record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500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2019 through December 31, 2024. The cumulative return 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863590" cy="4869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periods presented (in thousands, except average price paid per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Total Number</w:t>
            </w:r>
          </w:p>
        </w:tc>
        <w:tc>
          <w:tcPr>
            <w:tcW w:w="200" w:type="dxa"/>
            <w:vAlign w:val="bottom"/>
          </w:tcPr>
          <w:p>
            <w:pPr>
              <w:spacing w:after="0"/>
              <w:rPr>
                <w:sz w:val="17"/>
                <w:szCs w:val="17"/>
                <w:color w:val="auto"/>
              </w:rPr>
            </w:pPr>
          </w:p>
        </w:tc>
        <w:tc>
          <w:tcPr>
            <w:tcW w:w="2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5"/>
                <w:szCs w:val="15"/>
                <w:color w:val="auto"/>
              </w:rPr>
            </w:pPr>
          </w:p>
        </w:tc>
        <w:tc>
          <w:tcPr>
            <w:tcW w:w="18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9"/>
              </w:rPr>
              <w:t>Total Number</w:t>
            </w:r>
          </w:p>
        </w:tc>
        <w:tc>
          <w:tcPr>
            <w:tcW w:w="260" w:type="dxa"/>
            <w:vAlign w:val="bottom"/>
          </w:tcPr>
          <w:p>
            <w:pPr>
              <w:spacing w:after="0"/>
              <w:rPr>
                <w:sz w:val="15"/>
                <w:szCs w:val="15"/>
                <w:color w:val="auto"/>
              </w:rPr>
            </w:pPr>
          </w:p>
        </w:tc>
        <w:tc>
          <w:tcPr>
            <w:tcW w:w="170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8"/>
              </w:rPr>
              <w:t>Average</w:t>
            </w:r>
          </w:p>
        </w:tc>
        <w:tc>
          <w:tcPr>
            <w:tcW w:w="2420" w:type="dxa"/>
            <w:vAlign w:val="bottom"/>
            <w:gridSpan w:val="2"/>
          </w:tcPr>
          <w:p>
            <w:pPr>
              <w:jc w:val="center"/>
              <w:ind w:right="140"/>
              <w:spacing w:after="0" w:line="183" w:lineRule="exact"/>
              <w:rPr>
                <w:sz w:val="20"/>
                <w:szCs w:val="20"/>
                <w:color w:val="auto"/>
              </w:rPr>
            </w:pPr>
            <w:r>
              <w:rPr>
                <w:rFonts w:ascii="Arial" w:cs="Arial" w:eastAsia="Arial" w:hAnsi="Arial"/>
                <w:sz w:val="18"/>
                <w:szCs w:val="18"/>
                <w:b w:val="1"/>
                <w:bCs w:val="1"/>
                <w:color w:val="auto"/>
              </w:rPr>
              <w:t>of Shares Purchased</w:t>
            </w:r>
          </w:p>
        </w:tc>
        <w:tc>
          <w:tcPr>
            <w:tcW w:w="200" w:type="dxa"/>
            <w:vAlign w:val="bottom"/>
          </w:tcPr>
          <w:p>
            <w:pPr>
              <w:spacing w:after="0"/>
              <w:rPr>
                <w:sz w:val="15"/>
                <w:szCs w:val="15"/>
                <w:color w:val="auto"/>
              </w:rPr>
            </w:pPr>
          </w:p>
        </w:tc>
        <w:tc>
          <w:tcPr>
            <w:tcW w:w="2300" w:type="dxa"/>
            <w:vAlign w:val="bottom"/>
          </w:tcPr>
          <w:p>
            <w:pPr>
              <w:jc w:val="center"/>
              <w:ind w:right="90"/>
              <w:spacing w:after="0" w:line="183"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42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99"/>
              </w:rPr>
              <w:t>as Part of Publicly</w:t>
            </w:r>
          </w:p>
        </w:tc>
        <w:tc>
          <w:tcPr>
            <w:tcW w:w="200" w:type="dxa"/>
            <w:vAlign w:val="bottom"/>
          </w:tcPr>
          <w:p>
            <w:pPr>
              <w:spacing w:after="0"/>
              <w:rPr>
                <w:sz w:val="15"/>
                <w:szCs w:val="15"/>
                <w:color w:val="auto"/>
              </w:rPr>
            </w:pPr>
          </w:p>
        </w:tc>
        <w:tc>
          <w:tcPr>
            <w:tcW w:w="230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8"/>
              </w:rPr>
              <w:t>May Yet Be Purchased</w:t>
            </w:r>
          </w:p>
        </w:tc>
        <w:tc>
          <w:tcPr>
            <w:tcW w:w="0" w:type="dxa"/>
            <w:vAlign w:val="bottom"/>
          </w:tcPr>
          <w:p>
            <w:pPr>
              <w:spacing w:after="0"/>
              <w:rPr>
                <w:sz w:val="1"/>
                <w:szCs w:val="1"/>
                <w:color w:val="auto"/>
              </w:rPr>
            </w:pPr>
          </w:p>
        </w:tc>
      </w:tr>
      <w:tr>
        <w:trPr>
          <w:trHeight w:val="175"/>
        </w:trPr>
        <w:tc>
          <w:tcPr>
            <w:tcW w:w="2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of Shares</w:t>
            </w:r>
          </w:p>
        </w:tc>
        <w:tc>
          <w:tcPr>
            <w:tcW w:w="260" w:type="dxa"/>
            <w:vAlign w:val="bottom"/>
          </w:tcPr>
          <w:p>
            <w:pPr>
              <w:spacing w:after="0"/>
              <w:rPr>
                <w:sz w:val="15"/>
                <w:szCs w:val="15"/>
                <w:color w:val="auto"/>
              </w:rPr>
            </w:pPr>
          </w:p>
        </w:tc>
        <w:tc>
          <w:tcPr>
            <w:tcW w:w="1700" w:type="dxa"/>
            <w:vAlign w:val="bottom"/>
            <w:gridSpan w:val="2"/>
          </w:tcPr>
          <w:p>
            <w:pPr>
              <w:jc w:val="center"/>
              <w:ind w:right="440"/>
              <w:spacing w:after="0" w:line="176" w:lineRule="exact"/>
              <w:rPr>
                <w:sz w:val="20"/>
                <w:szCs w:val="20"/>
                <w:color w:val="auto"/>
              </w:rPr>
            </w:pPr>
            <w:r>
              <w:rPr>
                <w:rFonts w:ascii="Arial" w:cs="Arial" w:eastAsia="Arial" w:hAnsi="Arial"/>
                <w:sz w:val="18"/>
                <w:szCs w:val="18"/>
                <w:b w:val="1"/>
                <w:bCs w:val="1"/>
                <w:color w:val="auto"/>
                <w:w w:val="98"/>
              </w:rPr>
              <w:t>Price Paid</w:t>
            </w:r>
          </w:p>
        </w:tc>
        <w:tc>
          <w:tcPr>
            <w:tcW w:w="242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5"/>
                <w:szCs w:val="15"/>
                <w:color w:val="auto"/>
              </w:rPr>
            </w:pPr>
          </w:p>
        </w:tc>
        <w:tc>
          <w:tcPr>
            <w:tcW w:w="23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Purchased</w:t>
            </w:r>
          </w:p>
        </w:tc>
        <w:tc>
          <w:tcPr>
            <w:tcW w:w="260" w:type="dxa"/>
            <w:vAlign w:val="bottom"/>
          </w:tcPr>
          <w:p>
            <w:pPr>
              <w:spacing w:after="0"/>
              <w:rPr>
                <w:sz w:val="21"/>
                <w:szCs w:val="21"/>
                <w:color w:val="auto"/>
              </w:rPr>
            </w:pPr>
          </w:p>
        </w:tc>
        <w:tc>
          <w:tcPr>
            <w:tcW w:w="1700" w:type="dxa"/>
            <w:vAlign w:val="bottom"/>
            <w:gridSpan w:val="2"/>
          </w:tcPr>
          <w:p>
            <w:pPr>
              <w:jc w:val="center"/>
              <w:ind w:right="400"/>
              <w:spacing w:after="0" w:line="243" w:lineRule="exact"/>
              <w:rPr>
                <w:sz w:val="20"/>
                <w:szCs w:val="20"/>
                <w:color w:val="auto"/>
              </w:rPr>
            </w:pPr>
            <w:r>
              <w:rPr>
                <w:rFonts w:ascii="Arial" w:cs="Arial" w:eastAsia="Arial" w:hAnsi="Arial"/>
                <w:sz w:val="18"/>
                <w:szCs w:val="18"/>
                <w:b w:val="1"/>
                <w:bCs w:val="1"/>
                <w:color w:val="auto"/>
                <w:w w:val="94"/>
              </w:rPr>
              <w:t xml:space="preserve">Per Share </w:t>
            </w:r>
            <w:r>
              <w:rPr>
                <w:rFonts w:ascii="Arial" w:cs="Arial" w:eastAsia="Arial" w:hAnsi="Arial"/>
                <w:sz w:val="23"/>
                <w:szCs w:val="23"/>
                <w:b w:val="1"/>
                <w:bCs w:val="1"/>
                <w:color w:val="auto"/>
                <w:w w:val="94"/>
                <w:vertAlign w:val="superscript"/>
              </w:rPr>
              <w:t>(1)</w:t>
            </w: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or Programs</w:t>
            </w:r>
          </w:p>
        </w:tc>
        <w:tc>
          <w:tcPr>
            <w:tcW w:w="200" w:type="dxa"/>
            <w:vAlign w:val="bottom"/>
          </w:tcPr>
          <w:p>
            <w:pPr>
              <w:spacing w:after="0"/>
              <w:rPr>
                <w:sz w:val="21"/>
                <w:szCs w:val="21"/>
                <w:color w:val="auto"/>
              </w:rPr>
            </w:pPr>
          </w:p>
        </w:tc>
        <w:tc>
          <w:tcPr>
            <w:tcW w:w="2300" w:type="dxa"/>
            <w:vAlign w:val="bottom"/>
          </w:tcPr>
          <w:p>
            <w:pPr>
              <w:jc w:val="center"/>
              <w:ind w:right="110"/>
              <w:spacing w:after="0" w:line="243"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10/1/2024 - 10/31/2024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4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265,325</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11/1/2024 - 11/30/2024</w:t>
            </w:r>
          </w:p>
        </w:tc>
        <w:tc>
          <w:tcPr>
            <w:tcW w:w="170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27.97</w:t>
            </w:r>
          </w:p>
        </w:tc>
        <w:tc>
          <w:tcPr>
            <w:tcW w:w="1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251,631</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12/1/2024 - 12/31/2024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40" w:type="dxa"/>
            <w:vAlign w:val="bottom"/>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236,986</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40" w:type="dxa"/>
            <w:vAlign w:val="bottom"/>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236,986</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average price paid per share excludes the impact of the 1% Federal excise tax owed pursuant to the IRA.</w:t>
      </w:r>
    </w:p>
    <w:p>
      <w:pPr>
        <w:spacing w:after="0" w:line="85"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On March 16, 2020, we announced that our Board approved a stock repurchase program authorizing $200.0 million in common stock repurchases. On September 9, 2024, we announced that our Board approved an additional stock repurchase program authorizing $200.0 million in common stock repurchases. These repurchase authorizations do not require a minimum number of shares of common stock to be purchased, have no expiration date, and repurchases may be initiated, suspended or discontinued at any time. As of December 31, 2024, approximately $237.0 million remains available under our repurchase authorizations. The timing and amount of our repurchases will depend on market conditions, share price, securities law and other legal requirements and factors.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repurchases of common stock for the first three quarters of 2024, see the corresponding Quarterly Reports on Form 10-Q.</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1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appearing within Part IV. Item 15. – Notes to the Consolidated Financial Statements in this 2024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forward-looking statements, and our actual results may differ materially from the results suggested by these forward-looking statements. Some factors that may cause our results to differ materially from the results and events anticipated or implied by such forward-looking statements are described in Item 1A. – Risk Factors and in Item 1. – Business under the section titled "Forward-Looking Statements."</w:t>
      </w:r>
    </w:p>
    <w:p>
      <w:pPr>
        <w:spacing w:after="0" w:line="88"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We have elected to omit discussion on the earliest of the three years covered by the Consolidated Financial Statements presented in this 2024 10</w:t>
      </w:r>
      <w:r>
        <w:rPr>
          <w:rFonts w:ascii="MS PGothic" w:cs="MS PGothic" w:eastAsia="MS PGothic" w:hAnsi="MS PGothic"/>
          <w:sz w:val="18"/>
          <w:szCs w:val="18"/>
          <w:color w:val="auto"/>
        </w:rPr>
        <w:t>‑</w:t>
      </w:r>
      <w:r>
        <w:rPr>
          <w:rFonts w:ascii="Arial" w:cs="Arial" w:eastAsia="Arial" w:hAnsi="Arial"/>
          <w:sz w:val="18"/>
          <w:szCs w:val="18"/>
          <w:color w:val="auto"/>
        </w:rPr>
        <w:t>K Report. Refer to Item 7. – Management’s Discussion and Analysis of Financial Condition and Results of Operations located in our Form 10-K for the fiscal year ended December 31, 2023 (herein incorporated by reference), filed with the SEC on February 23, 2024, for management's discussion of the fiscal year ended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principally engaged in the distribution of fuel and related products and services in the aviation, land, and marine transportation industries. For additional discussion on our businesses, climate change and the associated risks, see Part I, Item 1. – Business and Item 1A. – Risk Factors within this 2024 10-K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Exit Activities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2023, we approved and began implementing a restructuring plan (the "2023 Restructuring Plan") to realign our operational focus with the purpose of simplifying our business, enabling us to focus more clearly on growing our core businesses and our new sustainability-related activities, and improving our cost structure. As part of this plan, we identified open positions that were eliminated and other positions that were closed to better align the workforce necessary to execute the revised strategy. During the first half of 2024, we continued to assess potential initiatives. As part of the restructuring plan in 2023 and 2024, we recognized restructuring charges totaling $9.6 million, composed of severance and other compensation costs. We also decided to shift future investments away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underperforming businesses and to continue assessing our global office footprint, resulting in impairment charges of $11.2 million during the fourth quarter of 2023. In addition, as part of the 2023 Restructuring Plan, within our marine segment we made the decision during the second quarter of 2024 to cease operations at one of our subsidiaries in Brazil, resulting in the write-off of $3.3 million of VAT credits that are no longer recoverable. We estimate that the plan should result in approximately $21.9 million in annualized compensation-related savings. We completed the restructuring activities during the second quarter of 2024.</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2024, we decided to take actions to exit certain operations, including the rationalization of certain assets and associated personnel within our North American land business as well as the disposal of our operations in Brazil. As a result of the actions taken in 2024, during the three months ended December 31, 2024, we recognized asset impairment charges of $3.1 million, wrote off accounts receivable totaling $4.4 million, and recognized additional charges for severance and other compensation costs of $1.4 million. Additionally, during 2025 we will continue to assess the performance of certain operations and the need for additional asset rationalization, as well as other cross-segment actions with the continue focus on driving operating efficiencies.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See Note 16. Restructuring and Exit Activities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operate in three reportable segments consisting of aviation, land, and marine. See Part I. Item 1. – Business and Note 15. Business Segments, Geographic Information, and Major Customers for additional information about our business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aviation segment has benefited from growth in our fuel and related service offerings, as well as our enhanced logistics capabilities and the geographic expansion of our aviation fueling operations into additional international airport locations. Since 2023, we have successfully achieved higher returns in a high interest rate environment, driven in part by targeted improvements in working capital management consistent with our strategy to rationalize lower-return business activity.</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our efforts to sharpen our portfolio of businesses and accelerate growth in our core businesses, we completed our sale of the Avinode Group and our portfolio of aviation FBO software products (the "Avinode sale") during the second quarter of 2024. See Note 3. Acquisitions and Divestitures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land segment we continue to focus on improving asset utilization, leveraging the capabilities of our acquisitions, and realigning our operational platform. As discussed under "Restructuring and Exit Activities" above, in 2024 we decided to take actions to exit certain operations, including the rationalization of certain assets and associated personnel within our North American land business as well as the disposal of our operations in Brazil.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Due to the generally spot nature of sales in our marine business, we have traditionally benefited from elevated fuel prices and volatility, supply uncertainty, and a constrained credit environment. We believe that our marine business is well-positioned to generate relatively moderate levels of earnings in stable markets and provide additional value in volatile and credit constrained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recent years, inflation in the United States and other jurisdictions in which we do business increased significantly, driven in part by supply chain disruptions, labor shortages and increased commodity prices, which generally resulted in higher costs. Inflation, however, decelerated in 2024 as supply chains stabilized. The prospect of higher tariffs on international trade has the potential to impact demand for global transportation services which in turn could negatively impact fuel demand.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to the extent that a rising cost environment impacts our results, there are typically offsetting benefits either inherent in certain parts of our business or that may result from proactive measures we take to reduce the impact of inflation on our net operating results. These benefits can include higher commodity prices that typically result in a constrained credit environment, often creating favorable market conditions that increase demand for our services, as well as our ability to renegotiate prices due to many of our sales contracts being 12 months or less in duration. Additionally, we take measures to mitigate the impact of increases in fuel prices through comprehensive hedging programs and the use of financial derivative contracts.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these reasons, the increased cost environment, caused in part by inflation, has not had a material impact on our historical results of operations for the periods presented in this report. However, a significant or prolonged period of high inflation, particularly when combined with rising interest rates due to actions taken by governments to attempt to control inflation, could adversely impact our results if costs, including employee compensation driven by competitive job market conditions, were to increase at a rate greater than the increase in the revenues we generate. Higher interest rates also typically increase the interest expense associated with our credit arrangements with banks and other parties that serve as important sources of liquidity for us, which can therefore negatively impact our results of operations for a particular period.</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"We extend credit to many of our customers in connection with their purchase of fuel and services from us, and our business, financial condition, results of operations and cash flows will be adversely affected if we are unable to collect accounts receivable," "Changes in the market prices of energy and commodities may have a material adverse effect on our business," "Our business depends on our ability to adequately finance our capital requirements and fund our investments, which, if not available to us, would impact our ability to conduct our operations," "Significant inflation and higher interest rates may adversely affect our business and financial condition," and "Our derivative transactions with customers, suppliers, merchants and financial institutions expose us to price and credit risks, which could have a material adverse effect on our business" in Item 1A. – Risk Factors within this 2024 10-K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2024 Compared to Year Ended December 31, 2023</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7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42,168.0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47,710.6</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41,141.6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46,652.4</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w:t>
            </w:r>
          </w:p>
        </w:tc>
      </w:tr>
      <w:tr>
        <w:trPr>
          <w:trHeight w:val="210"/>
        </w:trPr>
        <w:tc>
          <w:tcPr>
            <w:tcW w:w="7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297.1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308.0</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Our consolidated revenue for the year ended December 31, 2024 was $42.2 billion, a decrease of $5.5 billion, or 12%,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year ended December 31, 2023, primarily driven by decreased revenue of $2.8</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billion, $2.4 billion, and $0.4 billion in our aviation, land, and marine segments, respectively, as discussed further below.</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consolidated gross profit for the year ended December 31, 2024 was $1.0 billion, a decrease of $31.9 million, or 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2023, attributable to decreased gross profit of $16.2 million, $15.4 million, and $0.2 million in our marine, land, and aviation segments, respectively, as discussed further below.</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Consolidated total operating expenses for the year ended December 31, 2024 were $815.7 million, a decrease of $44.5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5%, compared to the year ended December 31, 2023. The decrease in operating expenses was primarily attributable to the Avinode sale during the second quarter of 2024, as discussed in Note 3. Acquisitions and Divestitures, as well as lower incentive compensation costs, principally in our land segment, and lower general and administrative expenses due to our continued focus on driving operating efficiencies. In addition, asset impairments were lower during the year ended December 31, 2024 compared to 2023. These decreased operating expenses were partially offset by an increase in our provision for credit losses resulting from the write-off of accounts receivable associated with exit activities, as discussed under "Restructuring and Exit Activities" above.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Non-Operating Income (Expenses), net. </w:t>
      </w:r>
      <w:r>
        <w:rPr>
          <w:rFonts w:ascii="Arial" w:cs="Arial" w:eastAsia="Arial" w:hAnsi="Arial"/>
          <w:sz w:val="18"/>
          <w:szCs w:val="18"/>
          <w:color w:val="auto"/>
        </w:rPr>
        <w:t>For the year ended December 31, 2024, we had net non-operating expense of $115.1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expense of $131.3 million for the year ended December 31, 2023. The decrease of $ 16.2 million was primarily attributable to a $25.5 million decrease in interest expense, driven by a decrease in our average interest rates and daily borrowings and an increase in interest income, partially offset by an increase in other expenses. The increase in other expenses during the year ended December 31, 2024 was primarily driven by the $111.2 million loss on sale of the Brazil disposal group, partially offset by the $96.0 million gain on the sale of Avinode, as discussed in Note 3. Acquisitions and Divestitures.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December 31, 2024, we recognized income tax expense of $27.6 million,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$13.0 million in 2023. The net increase of $14.6 million was attributable to higher pre-tax earnings, changes in the mix of our worldwide earnings, and net discrete income tax expense of $3.2 million for the year ended December 31, 2024 compared to a net discrete income tax benefit of $5.4 million for the year ended December 31, 2023. See Note 11. Income Taxes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aviation segment results of operations for the periods indicated (in millions, except price per gallon):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420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Year Ended December 31,</w:t>
            </w:r>
          </w:p>
        </w:tc>
        <w:tc>
          <w:tcPr>
            <w:tcW w:w="400" w:type="dxa"/>
            <w:vAlign w:val="bottom"/>
          </w:tcPr>
          <w:p>
            <w:pPr>
              <w:spacing w:after="0"/>
              <w:rPr>
                <w:sz w:val="20"/>
                <w:szCs w:val="20"/>
                <w:color w:val="auto"/>
              </w:rPr>
            </w:pPr>
          </w:p>
        </w:tc>
        <w:tc>
          <w:tcPr>
            <w:tcW w:w="15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20,469.1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(2,806.0)</w:t>
            </w:r>
          </w:p>
        </w:tc>
        <w:tc>
          <w:tcPr>
            <w:tcW w:w="0" w:type="dxa"/>
            <w:vAlign w:val="bottom"/>
          </w:tcPr>
          <w:p>
            <w:pPr>
              <w:spacing w:after="0"/>
              <w:rPr>
                <w:sz w:val="1"/>
                <w:szCs w:val="1"/>
                <w:color w:val="auto"/>
              </w:rPr>
            </w:pPr>
          </w:p>
        </w:tc>
      </w:tr>
      <w:tr>
        <w:trPr>
          <w:trHeight w:val="95"/>
        </w:trPr>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74"/>
        </w:trPr>
        <w:tc>
          <w:tcPr>
            <w:tcW w:w="5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7,250.5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7,328.0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 our aviation segment were $ 20.5 billion for the year ended December 31, 2024, a decrease of $2.8 billion, or 12%, compared to the year ended December 31, 2023. The decrease in revenue was driven by lower average prices and a decrease in volumes. Average jet fuel price per gallon sold decreased by $0.36, or 12%, in the year ended December 31, 2024 compared to the year ended December 31, 2023. Total aviation volumes decreased by 0.1 billion, or 1%, to 7.3 billion gallons, driven largely by a reduction in lower margin bulk fuel, partially offset by an increase in commercial passenger activity.</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aviation segment gross profit for the year ended December 31, 2024 was $485.5 million, a decrease of $0.2 million compared to the year ended December 31, 2023. The decrease in gross profit was primarily attributable to the Avinode sale, which closed during the second quarter of 2024 as discussed in Note 3. Acquisitions and Divestitures, offset by higher contribution from growth in commercial passenger volume and a continued focus on improving returns during the year ended December 31, 2024.</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aviation segment income from operations for the year ended December 31, 2024 was $240.4 million, an increase of $31.6 million, or 15%, compared to the year ended December 31, 2023. The increase in operating income is attributable to a $31.8 million decrease in operating expenses, primarily driven by lower compensation and general and administrative expenses associated with the Avinode sale, as well as lower incentive compensation and lower general and administrative expenses resulting from our focus on improving operating efficiency.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land segment results of operations for the periods indicated (in millions, except price per gallon):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420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Year Ended December 31,</w:t>
            </w:r>
          </w:p>
        </w:tc>
        <w:tc>
          <w:tcPr>
            <w:tcW w:w="400" w:type="dxa"/>
            <w:vAlign w:val="bottom"/>
          </w:tcPr>
          <w:p>
            <w:pPr>
              <w:spacing w:after="0"/>
              <w:rPr>
                <w:sz w:val="20"/>
                <w:szCs w:val="20"/>
                <w:color w:val="auto"/>
              </w:rPr>
            </w:pPr>
          </w:p>
        </w:tc>
        <w:tc>
          <w:tcPr>
            <w:tcW w:w="15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12,811.7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w:t>
            </w:r>
          </w:p>
        </w:tc>
        <w:tc>
          <w:tcPr>
            <w:tcW w:w="0" w:type="dxa"/>
            <w:vAlign w:val="bottom"/>
          </w:tcPr>
          <w:p>
            <w:pPr>
              <w:spacing w:after="0"/>
              <w:rPr>
                <w:sz w:val="1"/>
                <w:szCs w:val="1"/>
                <w:color w:val="auto"/>
              </w:rPr>
            </w:pPr>
          </w:p>
        </w:tc>
      </w:tr>
      <w:tr>
        <w:trPr>
          <w:trHeight w:val="94"/>
        </w:trPr>
        <w:tc>
          <w:tcPr>
            <w:tcW w:w="5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74"/>
        </w:trPr>
        <w:tc>
          <w:tcPr>
            <w:tcW w:w="5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Land segment volumes (gallons) </w:t>
            </w:r>
            <w:r>
              <w:rPr>
                <w:rFonts w:ascii="Arial" w:cs="Arial" w:eastAsia="Arial" w:hAnsi="Arial"/>
                <w:sz w:val="23"/>
                <w:szCs w:val="23"/>
                <w:color w:val="auto"/>
                <w:vertAlign w:val="superscript"/>
              </w:rPr>
              <w:t>(1)</w:t>
            </w:r>
          </w:p>
        </w:tc>
        <w:tc>
          <w:tcPr>
            <w:tcW w:w="1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6,078.1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6,237.6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31"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of British Thermal Units (BTU) for our natural gas sales and Kilowatt Hours (kWh) for our power business.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land segment were $ 12.8 billion for the year ended December 31, 2024, a decrease of $ 2.4 billion, or 16%, compared to the year ended December 31, 2023. The decrease in revenue was principally driven by lower average fuel prices and a decrease in volumes. Average fuel prices decreased by $0.33, or 13%, in the year ended December 31, 2024 compared to the year ended December 31, 2023. Total land volumes decreased by 0.2 billion, or 3%, to 6.1 billion gallon or gallon equivalents in the year ended December 31, 2024 compared to the year ended December 31, 2023, primarily attributable to our liquid fuel business in North America, partially offset by increased activity in our natural gas and power businesses.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land segment gross profit for the year ended December 31, 2024 was $384.4 million, a decrease of $15.4 million, or 4%, compared to the year ended December 31, 2023 primarily attributable to lower profit contribution from our sustainability-related offerings and our natural gas and power businesses as a result of oversupplied market conditions and lower market volatility, as well as highly unfavorable market conditions in Brazil and the U.K.. Gross profit for the year ended December 31, 2023 was also impacted by the extraordinary losses associated with an erroneous bid submitted in the Finnish power market, as discussed in Note 12. Commitments and Contingencies.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land segment income from operations for the year ended December 31, 2024 was $41.1 million, an increase of $1.0 million, or 2%, compared to the year ended December 31, 2023. The decrease in gross profit was offset by a reduction in operating expenses principally related to lower incentive compensation, as well as a decrease in asset impairment and restructuring charges for the year ended December 31, 2024 compared to the year ended December 31, 2023. These decreases in operating expenses were partially offset by an increase in the provision for credit losses driven by the write-off of accounts receivable associated with exit activities as discussed under "Restructuring and Exit Activities" above.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following provides a summary of the marine segment results of operations for the periods indicated (in millions, except price per metric ton):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94"/>
        </w:trPr>
        <w:tc>
          <w:tcPr>
            <w:tcW w:w="5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75"/>
        </w:trPr>
        <w:tc>
          <w:tcPr>
            <w:tcW w:w="50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 our marine segment were $8.9 billion for the year ended December 31, 2024, a decrease of $0.4 billion, or 4%, compared to the year ended December 31, 2023. The decrease in revenue was principally driven by lower average fuel prices and a decrease in volumes. The average price per metric ton of bunker fuel sold decreased by $ 13.25, or 2%, in the year ended December 31, 2024 compared to the year ended December 31, 2023. In addition, total volumes decreased by 0.3 million metric tons, or 2%, to 16.6 million metric tons in the year ended December 31, 2024 compared to the year ended December 31, 2023.</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marine segment gross profit for the year ended December 31, 2024 was $156.4 million, a decrease of $16.2 million, or 9%, compared to the year ended December 31, 2023. The decrease in gross profit was principally driven by reduced market volatility, partially offset by higher profit contribution from our resale businesses, when compared with the year ended December 31, 2023.</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marine segment income from operations for the year ended December 31, 2024 was $64.8 million, a decrease of $17.5 million, or 21%, compared to the year ended December 31, 2023, primarily due to the decrease in gross profit, as well as a $1.2 million increase in operating expenses driven by restructuring charges recognized during the year ended December 31, 2024, as discussed in </w:t>
      </w:r>
      <w:r>
        <w:rPr>
          <w:rFonts w:ascii="Arial" w:cs="Arial" w:eastAsia="Arial" w:hAnsi="Arial"/>
          <w:sz w:val="18"/>
          <w:szCs w:val="18"/>
          <w:i w:val="1"/>
          <w:iCs w:val="1"/>
          <w:color w:val="auto"/>
        </w:rPr>
        <w:t>"Restructuring and Exit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Liquidity to fund working capital, as well as make strategic investments, is a significant priority for us. Our views concerning liquidity are based on currently available information and if circumstances change significantly, the future availability of trade credit or other sources of financing may be reduced, and our liquidity would be adversely affected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Sources of Liquidity and Factors Impacting Our Liquidity</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liquidity, consisting principally of cash and availability under our Credit Facility, as described below, fluctuates based on a number of factors, including the timing of receipts from our customers and payments to our suppliers, changes in fuel prices, as well as our financial performance.</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credit arrangements with banks, suppliers and other parties as important sources of liquidity for capital requirements not satisfied by our operating cash flow. Market volatility, generally, and any persistent weakness in global energy markets may adversely affect our ability to access capital and credit markets or to obtain funds at reasonable interest rates or on other advantageous terms. In addition, since our business is impacted by the availability of trade credit to fund fuel purchases, an actual or perceived decline in our liquidity or business generally could cause our suppliers to reduce our credit lines, seek credit support in the form of additional collateral or otherwise materially modify our payment terms.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times of high fuel prices, our customers may not be able to purchase as much fuel from us because of their credit limits with us and the resulting adverse impact on their business could cause them to be unable to make payments owed to us for fuel purchased on credit. Furthermore, when fuel prices increase our working capital requirements increase and our own credit limits could prevent us from purchasing enough fuel from our suppliers to meet our customers’ demands, or we could be required to prepay for fuel purchases, any of which would adversely impact our liquidity.</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can occur due to many factors, such as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as a result of lower working capital requirements.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the information currently available, we believe that our cash and cash equivalents as of December 31, 2024 and available funds from our Credit Facility, together with cash flows generated by operations, are sufficient to fund our working capital and capital expenditure requirements for at least the next twelve months after the financial statements are issued.</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On June 26, 2023, we issued $ 350.0 million aggregate principal amount of 3.250% Convertible Senior Notes due 2028</w:t>
      </w:r>
      <w:r>
        <w:rPr>
          <w:rFonts w:ascii="Arial" w:cs="Arial" w:eastAsia="Arial" w:hAnsi="Arial"/>
          <w:sz w:val="18"/>
          <w:szCs w:val="18"/>
          <w:i w:val="1"/>
          <w:iCs w:val="1"/>
          <w:color w:val="auto"/>
        </w:rPr>
        <w:t xml:space="preserve"> </w:t>
      </w:r>
      <w:r>
        <w:rPr>
          <w:rFonts w:ascii="Arial" w:cs="Arial" w:eastAsia="Arial" w:hAnsi="Arial"/>
          <w:sz w:val="18"/>
          <w:szCs w:val="18"/>
          <w:color w:val="auto"/>
        </w:rPr>
        <w:t>(the "Convertible Notes") which mature on July 1, 2028, unless earlier converted, redeemed or repurchased. The Convertible Notes are senior, unsecured obligations that bear interest at a rate of 3.250% per year, payable semiannually in arrears on January 1 and July 1 of each year, beginning on January 1, 2024. The initial conversion rate was 35.1710 shares of common stock per $1,000 principal amount of Convertible Notes, which is equivalent to an initial conversion price of approximately $28.43 per share. The conversion rate is subject to adjustment upon the occurrence of certain events, but will not be adjusted for accrued and unpaid interest. 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pricing of the Convertible Notes, we entered into convertible note hedge transactions and warrant transactions. The cost of the convertible note hedge transactions was approximately $70.5 million. The convertible note hedge transactions cover, subject to customary anti-dilution adjustments, the number of shares of common stock that initially underlie the Convertible Notes, and have an initial strike price equal to the initial conversion price of the Convertible Notes. Separately, we received $40.0 million of proceeds from the sale of warrants to acquire, subject to anti-dilution adjustments, the same amount of shares at an initial strike price of $40.14 per share. As a result, dilution upon conversion of the Convertible Notes will be mitigated as the bond hedge and warrant transactions increase the effective conversion price of the Convertible Notes.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See Note 8. Debt, Interest Income, Expense, and Other Finance Costs for additional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The Fourth Amended and Restated Credit Agreement (as amended, the "Credit Agreement"), matures in April 2027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 term loan as well as a revolving credit facility of up to $1.5 billion (the "Credit Facility"). Our availability under the Credit Facility is limited by, among other things, our consolidated total leverage ratio, which is defined in the Credit Agreement and is based, in part, on our consolidated earnings before interest, taxes, depreciation and amortization, and share-based compensation, with such adjustments as specified therein, for the four immediately preceding fiscal quarters. The Credit Agreement generally limits the total amount of indebtedness we may incur to a consolidated total leverage ratio of not more than 4.75 to 1.</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foregoing, as well as other covenants and restrictions contained in our Credit Agreement, our availability under the Credit Facility may fluctuate from period to period. In addition, our failure to comply with the covenants contained in our Credit Agreement could result in an event of default. An event of default, if not cured or waived, would permit acceleration of any outstanding indebtedness under the Credit Facility and our term loan,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See Note 8. Debt, Interest Income, Expense, and Other Finance Costs for additional information.</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Other Credit Lines. </w:t>
      </w:r>
      <w:r>
        <w:rPr>
          <w:rFonts w:ascii="Arial" w:cs="Arial" w:eastAsia="Arial" w:hAnsi="Arial"/>
          <w:sz w:val="18"/>
          <w:szCs w:val="18"/>
          <w:color w:val="auto"/>
        </w:rPr>
        <w:t>Additionally, we have other uncommitted credit lines primarily for the issuance of letters of credit, bank guarantees and</w:t>
      </w:r>
      <w:r>
        <w:rPr>
          <w:rFonts w:ascii="Arial" w:cs="Arial" w:eastAsia="Arial" w:hAnsi="Arial"/>
          <w:sz w:val="18"/>
          <w:szCs w:val="18"/>
          <w:i w:val="1"/>
          <w:iCs w:val="1"/>
          <w:color w:val="auto"/>
        </w:rPr>
        <w:t xml:space="preserve"> </w:t>
      </w:r>
      <w:r>
        <w:rPr>
          <w:rFonts w:ascii="Arial" w:cs="Arial" w:eastAsia="Arial" w:hAnsi="Arial"/>
          <w:sz w:val="18"/>
          <w:szCs w:val="18"/>
          <w:color w:val="auto"/>
        </w:rPr>
        <w:t>bankers’ acceptances. These credit lines are renewable on an annual basis and are subject to fees at market rates. As of December 31, 2024 and 2023, our outstanding letters of credit and bank guarantees under these credit lines totaled $360.1 million and $437.1 million, respectively.</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Receivables Purchase Agreements. </w:t>
      </w:r>
      <w:r>
        <w:rPr>
          <w:rFonts w:ascii="Arial" w:cs="Arial" w:eastAsia="Arial" w:hAnsi="Arial"/>
          <w:sz w:val="18"/>
          <w:szCs w:val="18"/>
          <w:color w:val="auto"/>
        </w:rPr>
        <w:t>We also have accounts receivable programs under receivables purchase agreements ("RPAs") that</w:t>
      </w:r>
      <w:r>
        <w:rPr>
          <w:rFonts w:ascii="Arial" w:cs="Arial" w:eastAsia="Arial" w:hAnsi="Arial"/>
          <w:sz w:val="18"/>
          <w:szCs w:val="18"/>
          <w:i w:val="1"/>
          <w:iCs w:val="1"/>
          <w:color w:val="auto"/>
        </w:rPr>
        <w:t xml:space="preserve"> </w:t>
      </w:r>
      <w:r>
        <w:rPr>
          <w:rFonts w:ascii="Arial" w:cs="Arial" w:eastAsia="Arial" w:hAnsi="Arial"/>
          <w:sz w:val="18"/>
          <w:szCs w:val="18"/>
          <w:color w:val="auto"/>
        </w:rPr>
        <w:t>allow us to sell a specified amount of qualifying accounts receivable and receive cash consideration equal to the total balance, less an associated fee, which varies based on the outstanding accounts receivable at any given time. The RPAs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these customers can also be impacted for these reasons. See Note 2. Accounts Receivable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Item 1A. – Risk Factors in Part 1 within this 2024 10-K Report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Uses of Liquidity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is primarily used to fund working capital to support our operations as well as for strategic acquisitions and investments.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our material cash requirements from contractual obligations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Long-Term</w:t>
            </w:r>
          </w:p>
        </w:tc>
        <w:tc>
          <w:tcPr>
            <w:tcW w:w="36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60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Debt and interest obligations </w:t>
            </w:r>
            <w:r>
              <w:rPr>
                <w:rFonts w:ascii="Arial" w:cs="Arial" w:eastAsia="Arial" w:hAnsi="Arial"/>
                <w:sz w:val="23"/>
                <w:szCs w:val="23"/>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r>
      <w:tr>
        <w:trPr>
          <w:trHeight w:val="230"/>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29"/>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Derivatives obligations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commitment obligations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obligations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line="237"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Debt and interest obligations include principal and interest payments on fixed-rate and variable-rate, fixed-term debt based on their maturity dates, and includes $50.3 million of secured borrowings related to the transfer of tax receivables. See Note 8. Debt, Interest Income, Expense, and Other Finance Costs for additional information.</w:t>
      </w:r>
    </w:p>
    <w:p>
      <w:pPr>
        <w:spacing w:after="0" w:line="86"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See Note 14. Leases for additional information.</w:t>
      </w:r>
    </w:p>
    <w:p>
      <w:pPr>
        <w:spacing w:after="0" w:line="86"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As part of our risk management program, we enter into derivative instruments intended to mitigate risks associated with changes in commodity prices, foreign currency exchange rates, and interest rates. Our obligations associated with these derivative instruments fluctuate based on changes in the fair value of the derivatives. See Note 4. Derivative Instruments and Note 5. Fair Value Measurements for additional information.</w:t>
      </w:r>
    </w:p>
    <w:p>
      <w:pPr>
        <w:spacing w:after="0" w:line="86"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We have fixed purchase commitments associated with our risk management program, as well as a purchase contract, that runs through 2026, under which we agreed to purchase annually 2.0 million barrels of aviation fuel at future market prices. See Note 12. Commitments and Contingencies for additional information.</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material cash requirements and off-balance sheet arrangements, in addition to the contractual obligations in the table above, include the following:</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During the year ended December 31, 2024, we incurred capital expenditures in the ordinary course of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$68.2 million. In 2025, we expect our capital expenditures to be generally consistent with the year ended December 31, 2024.</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2024, we have recorded gross liabilities for unrecognized income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("Unrecognized Tax Liabilities"), including penalties and interest, of $90.8 million. The timing of any settlement of our Unrecognized Tax Liabilities with the respective taxing authority cannot be reasonably estimated.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letters of credit expire within one year from their issuance and expired letters of credit are renewed as needed. As of December 31, 2024, we had issued letters of credit and bank guarantees totaling $378.0 million under our Credit Facility and other uncommitted credit lines.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other surety-related bonds. The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surety bonds posted relate to our aviation and land segments. We had outstanding bonds that were executed in order to satisfy various security requirements of $65.8 million as of December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following table reflects the major categories of cash flows (in millions). For additional details, please see the Consolidated Statements of Cash Flows.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7"/>
          </w:tcPr>
          <w:p>
            <w:pPr>
              <w:jc w:val="center"/>
              <w:ind w:right="250"/>
              <w:spacing w:after="0"/>
              <w:rPr>
                <w:sz w:val="20"/>
                <w:szCs w:val="20"/>
                <w:color w:val="auto"/>
              </w:rPr>
            </w:pPr>
            <w:r>
              <w:rPr>
                <w:rFonts w:ascii="Arial" w:cs="Arial" w:eastAsia="Arial" w:hAnsi="Arial"/>
                <w:sz w:val="18"/>
                <w:szCs w:val="18"/>
                <w:b w:val="1"/>
                <w:bCs w:val="1"/>
                <w:color w:val="auto"/>
                <w:w w:val="99"/>
              </w:rPr>
              <w:t>For the Years Ended December 31,</w:t>
            </w: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7"/>
              </w:rPr>
              <w:t>271.3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7"/>
              </w:rPr>
              <w:t>138.5</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center"/>
              <w:ind w:left="47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center"/>
              <w:ind w:left="490"/>
              <w:spacing w:after="0"/>
              <w:rPr>
                <w:sz w:val="20"/>
                <w:szCs w:val="20"/>
                <w:color w:val="auto"/>
              </w:rPr>
            </w:pPr>
            <w:r>
              <w:rPr>
                <w:rFonts w:ascii="Arial" w:cs="Arial" w:eastAsia="Arial" w:hAnsi="Arial"/>
                <w:sz w:val="18"/>
                <w:szCs w:val="18"/>
                <w:color w:val="auto"/>
              </w:rPr>
              <w:t>(724.9)</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7"/>
              </w:rPr>
              <w:t>237.3</w:t>
            </w:r>
          </w:p>
        </w:tc>
      </w:tr>
    </w:tbl>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year ended December, 31 2024, net cash provided by operating activities was $ 259.9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$271.3 million net cash provided during the year ended December 31, 2023. The $11.5 million decrease in operating cash flows was principally due to a decrease in our accounts payable and accounts receivable, inclusive of cash provided by our RPA activity, and inventory, as well as in our derivative activities. These decreases were driven by relatively stable average fuel prices during the year ended December 31, 2024 compared to the declining price environment experienced during the year ended December 31, 2023, when cash provided by operations also benefited from the rationalization of lower-return businesses within our aviation segment. These decreases were offset by an increase in our net income adjusted for noncash items (see "Results of Operations" for further details of the drivers impacting our net income) and cash flows associated with deferred revenue and customer deposits.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year ended December 31, 2024, net cash provided by investing activities was $64.5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of $101.1 million during the year ended December 31, 2023. The net cash provided by investing activities in 2024 was primarily driven by net proceeds of $200.1 million and $8.9 million from the Avinode sale and the Brazil sale, respectively, as discussed in Note 3. Acquisitions and Divestitures, partially offset by capital expenditures of $ 68.2 million, the issuance of notes receivable, net of repayments received, of $37.3 million, and cash paid for the acquisition of a business of $40.0 million. Net cash used in investing activities in 2023 was principally driven by capital expenditures of $87.6 million and cash paid for the acquisition of a business of $13.7 million, which was partially offset by proceeds received from the sale of a business of $9.3 million.</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year ended December 31, 2024, net cash used in financing activities was $230.6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$152.4 million for the year ended December 31, 2023. The net cash used in financing activities in 2024 was primarily attributable to repurchases of common stock of $ 100.0 million, payments of deferred consideration related to prior acquisitions of $51.8 million, dividend payments of $38.5 million, and net repayments under our Credit Facility of $21.9 million. Net cash used in financing activities in 2023 was primarily attributable to payments of deferred consideration related to prior acquisitions of $62.9 million, repurchases of common stock of $60.1 million, and dividend payments of $34.0 million, partially offset by net borrowings of $47.4 million, driven by proceeds of $350.0 million from the issuance of the Convertible Notes and proceeds of $53.3 million from secured borrowings associated with the transfer of transaction taxes, as discussed in Note 8. Debt, Interest Income, Expense, and Other Finance Costs, partially offset by $ 348.4 million of net repayments under our Credit Facility. In connection with the issuance of the Convertible Notes, we paid $70.5 million for the purchase of the convertible note hedges and $12.6 million for debt issuance costs, and received $40.0 million from the sale of warrants.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Management's discussion and analysis of our financial condition and results of operations are based upon our Consolidated Financial Statements included in this 2024 10</w:t>
      </w:r>
      <w:r>
        <w:rPr>
          <w:rFonts w:ascii="MS PGothic" w:cs="MS PGothic" w:eastAsia="MS PGothic" w:hAnsi="MS PGothic"/>
          <w:sz w:val="18"/>
          <w:szCs w:val="18"/>
          <w:color w:val="auto"/>
        </w:rPr>
        <w:t>‑</w:t>
      </w:r>
      <w:r>
        <w:rPr>
          <w:rFonts w:ascii="Arial" w:cs="Arial" w:eastAsia="Arial" w:hAnsi="Arial"/>
          <w:sz w:val="18"/>
          <w:szCs w:val="18"/>
          <w:color w:val="auto"/>
        </w:rPr>
        <w:t xml:space="preserve"> K Report, which has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associated costs of sales, allowance for credit losses, goodwill and long-lived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identified the areas described below as critical to our business operations and the understanding of our results of operations given the uncertainties associated with the assumptions underlying each estimate. For a detailed discussion on the application of these and other significant accounting policies, see Note 1. Basis of Presentation, New Accounting Standards, and Significant Accounting Policies.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0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50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99"/>
              </w:rPr>
              <w:t>Effect if Actual Results Differ from</w:t>
            </w:r>
          </w:p>
        </w:tc>
        <w:tc>
          <w:tcPr>
            <w:tcW w:w="0" w:type="dxa"/>
            <w:vAlign w:val="bottom"/>
          </w:tcPr>
          <w:p>
            <w:pPr>
              <w:spacing w:after="0" w:line="20" w:lineRule="exact"/>
              <w:rPr>
                <w:sz w:val="1"/>
                <w:szCs w:val="1"/>
                <w:color w:val="auto"/>
              </w:rPr>
            </w:pPr>
          </w:p>
        </w:tc>
      </w:tr>
      <w:tr>
        <w:trPr>
          <w:trHeight w:val="884"/>
        </w:trPr>
        <w:tc>
          <w:tcPr>
            <w:tcW w:w="3260" w:type="dxa"/>
            <w:vAlign w:val="bottom"/>
            <w:gridSpan w:val="2"/>
            <w:vMerge w:val="restart"/>
          </w:tcPr>
          <w:p>
            <w:pPr>
              <w:ind w:left="1280"/>
              <w:spacing w:after="0"/>
              <w:rPr>
                <w:sz w:val="20"/>
                <w:szCs w:val="20"/>
                <w:color w:val="auto"/>
              </w:rPr>
            </w:pPr>
            <w:r>
              <w:rPr>
                <w:rFonts w:ascii="Arial" w:cs="Arial" w:eastAsia="Arial" w:hAnsi="Arial"/>
                <w:sz w:val="18"/>
                <w:szCs w:val="18"/>
                <w:b w:val="1"/>
                <w:bCs w:val="1"/>
                <w:color w:val="auto"/>
              </w:rPr>
              <w:t>Description</w:t>
            </w:r>
          </w:p>
        </w:tc>
        <w:tc>
          <w:tcPr>
            <w:tcW w:w="40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Judgments and Uncertainties</w:t>
            </w:r>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60" w:type="dxa"/>
            <w:vAlign w:val="bottom"/>
            <w:gridSpan w:val="2"/>
            <w:vMerge w:val="continue"/>
          </w:tcPr>
          <w:p>
            <w:pPr>
              <w:spacing w:after="0"/>
              <w:rPr>
                <w:sz w:val="22"/>
                <w:szCs w:val="22"/>
                <w:color w:val="auto"/>
              </w:rPr>
            </w:pPr>
          </w:p>
        </w:tc>
        <w:tc>
          <w:tcPr>
            <w:tcW w:w="4080" w:type="dxa"/>
            <w:vAlign w:val="bottom"/>
            <w:vMerge w:val="continue"/>
          </w:tcPr>
          <w:p>
            <w:pPr>
              <w:spacing w:after="0"/>
              <w:rPr>
                <w:sz w:val="22"/>
                <w:szCs w:val="22"/>
                <w:color w:val="auto"/>
              </w:rPr>
            </w:pPr>
          </w:p>
        </w:tc>
        <w:tc>
          <w:tcPr>
            <w:tcW w:w="350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Assumptions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Impairment Assessments of Goodwill, Long-Lived Assets, and Equity Investments</w:t>
      </w:r>
    </w:p>
    <w:p>
      <w:pPr>
        <w:sectPr>
          <w:pgSz w:w="11900" w:h="16838" w:orient="portrait"/>
          <w:cols w:equalWidth="0" w:num="1">
            <w:col w:w="11200"/>
          </w:cols>
          <w:pgMar w:left="320" w:top="108" w:right="379" w:bottom="1440" w:gutter="0" w:footer="0" w:header="0"/>
        </w:sectPr>
      </w:pPr>
    </w:p>
    <w:p>
      <w:pPr>
        <w:spacing w:after="0" w:line="36" w:lineRule="exact"/>
        <w:rPr>
          <w:sz w:val="20"/>
          <w:szCs w:val="20"/>
          <w:color w:val="auto"/>
        </w:rPr>
      </w:pPr>
    </w:p>
    <w:p>
      <w:pPr>
        <w:ind w:left="20" w:right="340"/>
        <w:spacing w:after="0" w:line="224" w:lineRule="auto"/>
        <w:rPr>
          <w:sz w:val="20"/>
          <w:szCs w:val="20"/>
          <w:color w:val="auto"/>
        </w:rPr>
      </w:pPr>
      <w:r>
        <w:rPr>
          <w:rFonts w:ascii="Arial" w:cs="Arial" w:eastAsia="Arial" w:hAnsi="Arial"/>
          <w:sz w:val="17"/>
          <w:szCs w:val="17"/>
          <w:i w:val="1"/>
          <w:iCs w:val="1"/>
          <w:color w:val="auto"/>
        </w:rPr>
        <w:t>We evaluate goodwill for impairment at least annually, and whenever events or</w:t>
      </w:r>
    </w:p>
    <w:p>
      <w:pPr>
        <w:ind w:left="20" w:right="120"/>
        <w:spacing w:after="0" w:line="208" w:lineRule="auto"/>
        <w:rPr>
          <w:sz w:val="20"/>
          <w:szCs w:val="20"/>
          <w:color w:val="auto"/>
        </w:rPr>
      </w:pPr>
      <w:r>
        <w:rPr>
          <w:rFonts w:ascii="Arial" w:cs="Arial" w:eastAsia="Arial" w:hAnsi="Arial"/>
          <w:sz w:val="18"/>
          <w:szCs w:val="18"/>
          <w:i w:val="1"/>
          <w:iCs w:val="1"/>
          <w:color w:val="auto"/>
        </w:rPr>
        <w:t>changes in circumstances indicate it is more likely than not that the fair value of a reporting unit is less than its carrying</w:t>
      </w:r>
    </w:p>
    <w:p>
      <w:pPr>
        <w:spacing w:after="0" w:line="2" w:lineRule="exact"/>
        <w:rPr>
          <w:sz w:val="20"/>
          <w:szCs w:val="20"/>
          <w:color w:val="auto"/>
        </w:rPr>
      </w:pPr>
    </w:p>
    <w:p>
      <w:pPr>
        <w:ind w:left="20" w:right="120"/>
        <w:spacing w:after="0" w:line="221" w:lineRule="auto"/>
        <w:rPr>
          <w:sz w:val="20"/>
          <w:szCs w:val="20"/>
          <w:color w:val="auto"/>
        </w:rPr>
      </w:pPr>
      <w:r>
        <w:rPr>
          <w:rFonts w:ascii="Arial" w:cs="Arial" w:eastAsia="Arial" w:hAnsi="Arial"/>
          <w:sz w:val="17"/>
          <w:szCs w:val="17"/>
          <w:i w:val="1"/>
          <w:iCs w:val="1"/>
          <w:color w:val="auto"/>
        </w:rPr>
        <w:t>amount. We periodically evaluate whether the carrying value of long-lived assets (property and equipment, identifiable</w:t>
      </w:r>
    </w:p>
    <w:p>
      <w:pPr>
        <w:ind w:left="20"/>
        <w:spacing w:after="0" w:line="208" w:lineRule="auto"/>
        <w:rPr>
          <w:sz w:val="20"/>
          <w:szCs w:val="20"/>
          <w:color w:val="auto"/>
        </w:rPr>
      </w:pPr>
      <w:r>
        <w:rPr>
          <w:rFonts w:ascii="Arial" w:cs="Arial" w:eastAsia="Arial" w:hAnsi="Arial"/>
          <w:sz w:val="18"/>
          <w:szCs w:val="18"/>
          <w:i w:val="1"/>
          <w:iCs w:val="1"/>
          <w:color w:val="auto"/>
        </w:rPr>
        <w:t>intangible assets, and leases), cost method investments, and equity method investments have been impaired when</w:t>
      </w:r>
    </w:p>
    <w:p>
      <w:pPr>
        <w:spacing w:after="0" w:line="2" w:lineRule="exact"/>
        <w:rPr>
          <w:sz w:val="20"/>
          <w:szCs w:val="20"/>
          <w:color w:val="auto"/>
        </w:rPr>
      </w:pPr>
    </w:p>
    <w:p>
      <w:pPr>
        <w:ind w:left="20" w:right="160"/>
        <w:spacing w:after="0" w:line="229" w:lineRule="auto"/>
        <w:rPr>
          <w:sz w:val="20"/>
          <w:szCs w:val="20"/>
          <w:color w:val="auto"/>
        </w:rPr>
      </w:pPr>
      <w:r>
        <w:rPr>
          <w:rFonts w:ascii="Arial" w:cs="Arial" w:eastAsia="Arial" w:hAnsi="Arial"/>
          <w:sz w:val="18"/>
          <w:szCs w:val="18"/>
          <w:i w:val="1"/>
          <w:iCs w:val="1"/>
          <w:color w:val="auto"/>
        </w:rPr>
        <w:t>circumstances indicate the carrying value of those assets may not be recoverable.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500"/>
        <w:spacing w:after="0" w:line="224" w:lineRule="auto"/>
        <w:rPr>
          <w:sz w:val="20"/>
          <w:szCs w:val="20"/>
          <w:color w:val="auto"/>
        </w:rPr>
      </w:pPr>
      <w:r>
        <w:rPr>
          <w:rFonts w:ascii="Arial" w:cs="Arial" w:eastAsia="Arial" w:hAnsi="Arial"/>
          <w:sz w:val="17"/>
          <w:szCs w:val="17"/>
          <w:color w:val="auto"/>
        </w:rPr>
        <w:t>These assessments require us to make accounting estimates that require</w:t>
      </w:r>
    </w:p>
    <w:p>
      <w:pPr>
        <w:ind w:right="140"/>
        <w:spacing w:after="0" w:line="221" w:lineRule="auto"/>
        <w:rPr>
          <w:sz w:val="20"/>
          <w:szCs w:val="20"/>
          <w:color w:val="auto"/>
        </w:rPr>
      </w:pPr>
      <w:r>
        <w:rPr>
          <w:rFonts w:ascii="Arial" w:cs="Arial" w:eastAsia="Arial" w:hAnsi="Arial"/>
          <w:sz w:val="17"/>
          <w:szCs w:val="17"/>
          <w:color w:val="auto"/>
        </w:rPr>
        <w:t>consideration of forecasted financial information. Significant judgment is involved in performing these estimates as they are</w:t>
      </w:r>
    </w:p>
    <w:p>
      <w:pPr>
        <w:ind w:right="20"/>
        <w:spacing w:after="0" w:line="221" w:lineRule="auto"/>
        <w:rPr>
          <w:sz w:val="20"/>
          <w:szCs w:val="20"/>
          <w:color w:val="auto"/>
        </w:rPr>
      </w:pPr>
      <w:r>
        <w:rPr>
          <w:rFonts w:ascii="Arial" w:cs="Arial" w:eastAsia="Arial" w:hAnsi="Arial"/>
          <w:sz w:val="17"/>
          <w:szCs w:val="17"/>
          <w:color w:val="auto"/>
        </w:rPr>
        <w:t>developed based on forecasted assumptions. As of December 31, 2024, the assumptions used, particularly the expected growth rates,</w:t>
      </w:r>
    </w:p>
    <w:p>
      <w:pPr>
        <w:ind w:right="160"/>
        <w:spacing w:after="0" w:line="208" w:lineRule="auto"/>
        <w:rPr>
          <w:sz w:val="20"/>
          <w:szCs w:val="20"/>
          <w:color w:val="auto"/>
        </w:rPr>
      </w:pPr>
      <w:r>
        <w:rPr>
          <w:rFonts w:ascii="Arial" w:cs="Arial" w:eastAsia="Arial" w:hAnsi="Arial"/>
          <w:sz w:val="18"/>
          <w:szCs w:val="18"/>
          <w:color w:val="auto"/>
        </w:rPr>
        <w:t>the profitability embedded in the projected cash flow provided by our legacy and newly acquired businesses, the discount rate, and</w:t>
      </w:r>
    </w:p>
    <w:p>
      <w:pPr>
        <w:spacing w:after="0" w:line="2" w:lineRule="exact"/>
        <w:rPr>
          <w:sz w:val="20"/>
          <w:szCs w:val="20"/>
          <w:color w:val="auto"/>
        </w:rPr>
      </w:pPr>
    </w:p>
    <w:p>
      <w:pPr>
        <w:ind w:right="340"/>
        <w:spacing w:after="0" w:line="208" w:lineRule="auto"/>
        <w:rPr>
          <w:sz w:val="20"/>
          <w:szCs w:val="20"/>
          <w:color w:val="auto"/>
        </w:rPr>
      </w:pPr>
      <w:r>
        <w:rPr>
          <w:rFonts w:ascii="Arial" w:cs="Arial" w:eastAsia="Arial" w:hAnsi="Arial"/>
          <w:sz w:val="18"/>
          <w:szCs w:val="18"/>
          <w:color w:val="auto"/>
        </w:rPr>
        <w:t>the market-based multiples, were defined based on available information as of the testing date considering current market</w:t>
      </w:r>
    </w:p>
    <w:p>
      <w:pPr>
        <w:spacing w:after="0" w:line="2"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volatility and geopolitical risks. Specifically for goodwill, management also considered the volatility in the company's market</w:t>
      </w:r>
    </w:p>
    <w:p>
      <w:pPr>
        <w:spacing w:after="0" w:line="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capitalization and evaluated the potential impact that this volatility may have had on the estimated fair value of our reporting units. For</w:t>
      </w:r>
    </w:p>
    <w:p>
      <w:pPr>
        <w:spacing w:after="0" w:line="2" w:lineRule="exact"/>
        <w:rPr>
          <w:sz w:val="20"/>
          <w:szCs w:val="20"/>
          <w:color w:val="auto"/>
        </w:rPr>
      </w:pPr>
    </w:p>
    <w:p>
      <w:pPr>
        <w:jc w:val="both"/>
        <w:ind w:right="100"/>
        <w:spacing w:after="0" w:line="208" w:lineRule="auto"/>
        <w:rPr>
          <w:sz w:val="20"/>
          <w:szCs w:val="20"/>
          <w:color w:val="auto"/>
        </w:rPr>
      </w:pPr>
      <w:r>
        <w:rPr>
          <w:rFonts w:ascii="Arial" w:cs="Arial" w:eastAsia="Arial" w:hAnsi="Arial"/>
          <w:sz w:val="18"/>
          <w:szCs w:val="18"/>
          <w:color w:val="auto"/>
        </w:rPr>
        <w:t>our cost and equity method investments, the profitability embedded in the projected cash flows provided by our investees are a critical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A reporting unit is considered at risk when its fair value does not exceed its carrying amount</w:t>
      </w:r>
    </w:p>
    <w:p>
      <w:pPr>
        <w:ind w:right="200"/>
        <w:spacing w:after="0" w:line="221" w:lineRule="auto"/>
        <w:rPr>
          <w:sz w:val="20"/>
          <w:szCs w:val="20"/>
          <w:color w:val="auto"/>
        </w:rPr>
      </w:pPr>
      <w:r>
        <w:rPr>
          <w:rFonts w:ascii="Arial" w:cs="Arial" w:eastAsia="Arial" w:hAnsi="Arial"/>
          <w:sz w:val="17"/>
          <w:szCs w:val="17"/>
          <w:color w:val="auto"/>
        </w:rPr>
        <w:t>by more than 10%. While our aviation reporting unit is not considered at risk, as a result of the performance during the current</w:t>
      </w:r>
    </w:p>
    <w:p>
      <w:pPr>
        <w:ind w:right="80"/>
        <w:spacing w:after="0" w:line="221" w:lineRule="auto"/>
        <w:rPr>
          <w:sz w:val="20"/>
          <w:szCs w:val="20"/>
          <w:color w:val="auto"/>
        </w:rPr>
      </w:pPr>
      <w:r>
        <w:rPr>
          <w:rFonts w:ascii="Arial" w:cs="Arial" w:eastAsia="Arial" w:hAnsi="Arial"/>
          <w:sz w:val="17"/>
          <w:szCs w:val="17"/>
          <w:color w:val="auto"/>
        </w:rPr>
        <w:t>year combined with updated projections, we noted that the excess of the fair value over the carrying amount of our land reporting unit</w:t>
      </w:r>
    </w:p>
    <w:p>
      <w:pPr>
        <w:jc w:val="both"/>
        <w:spacing w:after="0" w:line="221" w:lineRule="auto"/>
        <w:rPr>
          <w:sz w:val="20"/>
          <w:szCs w:val="20"/>
          <w:color w:val="auto"/>
        </w:rPr>
      </w:pPr>
      <w:r>
        <w:rPr>
          <w:rFonts w:ascii="Arial" w:cs="Arial" w:eastAsia="Arial" w:hAnsi="Arial"/>
          <w:sz w:val="18"/>
          <w:szCs w:val="18"/>
          <w:color w:val="auto"/>
        </w:rPr>
        <w:t>has decreased since December 31, 2023 and is considered to be at risk as of December 31, 2024.</w:t>
      </w:r>
    </w:p>
    <w:p>
      <w:pPr>
        <w:spacing w:after="0" w:line="193"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If our results differ significantly from our assumptions, such impact could potentially result in impairments. Approximately $827.3</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7"/>
          <w:szCs w:val="17"/>
          <w:color w:val="auto"/>
        </w:rPr>
        <w:t>million of goodwill is allocated to the land reporting unit as of December 31, 2024. See Note 6. Goodwill and Identifiable Intangible</w:t>
      </w:r>
    </w:p>
    <w:p>
      <w:pPr>
        <w:spacing w:after="0"/>
        <w:rPr>
          <w:sz w:val="20"/>
          <w:szCs w:val="20"/>
          <w:color w:val="auto"/>
        </w:rPr>
      </w:pPr>
      <w:r>
        <w:rPr>
          <w:rFonts w:ascii="Arial" w:cs="Arial" w:eastAsia="Arial" w:hAnsi="Arial"/>
          <w:sz w:val="18"/>
          <w:szCs w:val="18"/>
          <w:color w:val="auto"/>
        </w:rPr>
        <w:t>Assets for additional information.</w:t>
      </w:r>
    </w:p>
    <w:p>
      <w:pPr>
        <w:spacing w:after="0" w:line="851" w:lineRule="exact"/>
        <w:rPr>
          <w:sz w:val="20"/>
          <w:szCs w:val="20"/>
          <w:color w:val="auto"/>
        </w:rPr>
      </w:pPr>
    </w:p>
    <w:p>
      <w:pPr>
        <w:sectPr>
          <w:pgSz w:w="11900" w:h="16838" w:orient="portrait"/>
          <w:cols w:equalWidth="0" w:num="3">
            <w:col w:w="3480" w:space="200"/>
            <w:col w:w="3640" w:space="220"/>
            <w:col w:w="3660"/>
          </w:cols>
          <w:pgMar w:left="320" w:top="108" w:right="37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Accounts Receivable and Allowance for Credit Losses</w:t>
      </w:r>
    </w:p>
    <w:p>
      <w:pPr>
        <w:sectPr>
          <w:pgSz w:w="11900" w:h="16838" w:orient="portrait"/>
          <w:cols w:equalWidth="0" w:num="1">
            <w:col w:w="11200"/>
          </w:cols>
          <w:pgMar w:left="320" w:top="108" w:right="379" w:bottom="1440" w:gutter="0" w:footer="0" w:header="0"/>
          <w:type w:val="continuous"/>
        </w:sectPr>
      </w:pPr>
    </w:p>
    <w:p>
      <w:pPr>
        <w:spacing w:after="0" w:line="31" w:lineRule="exact"/>
        <w:rPr>
          <w:sz w:val="20"/>
          <w:szCs w:val="20"/>
          <w:color w:val="auto"/>
        </w:rPr>
      </w:pPr>
    </w:p>
    <w:p>
      <w:pPr>
        <w:ind w:left="20" w:right="420"/>
        <w:spacing w:after="0" w:line="224" w:lineRule="auto"/>
        <w:rPr>
          <w:sz w:val="20"/>
          <w:szCs w:val="20"/>
          <w:color w:val="auto"/>
        </w:rPr>
      </w:pPr>
      <w:r>
        <w:rPr>
          <w:rFonts w:ascii="Arial" w:cs="Arial" w:eastAsia="Arial" w:hAnsi="Arial"/>
          <w:sz w:val="17"/>
          <w:szCs w:val="17"/>
          <w:i w:val="1"/>
          <w:iCs w:val="1"/>
          <w:color w:val="auto"/>
        </w:rPr>
        <w:t>We maintain a provision for estimated credit losses based upon our historical</w:t>
      </w:r>
    </w:p>
    <w:p>
      <w:pPr>
        <w:ind w:left="20"/>
        <w:spacing w:after="0" w:line="221" w:lineRule="auto"/>
        <w:rPr>
          <w:sz w:val="20"/>
          <w:szCs w:val="20"/>
          <w:color w:val="auto"/>
        </w:rPr>
      </w:pPr>
      <w:r>
        <w:rPr>
          <w:rFonts w:ascii="Arial" w:cs="Arial" w:eastAsia="Arial" w:hAnsi="Arial"/>
          <w:sz w:val="17"/>
          <w:szCs w:val="17"/>
          <w:i w:val="1"/>
          <w:iCs w:val="1"/>
          <w:color w:val="auto"/>
        </w:rPr>
        <w:t>experience with our customers, any specific customer collection issues that we have identified from current financial information</w:t>
      </w:r>
    </w:p>
    <w:p>
      <w:pPr>
        <w:ind w:left="20" w:right="300"/>
        <w:spacing w:after="0" w:line="221" w:lineRule="auto"/>
        <w:rPr>
          <w:sz w:val="20"/>
          <w:szCs w:val="20"/>
          <w:color w:val="auto"/>
        </w:rPr>
      </w:pPr>
      <w:r>
        <w:rPr>
          <w:rFonts w:ascii="Arial" w:cs="Arial" w:eastAsia="Arial" w:hAnsi="Arial"/>
          <w:sz w:val="18"/>
          <w:szCs w:val="18"/>
          <w:i w:val="1"/>
          <w:iCs w:val="1"/>
          <w:color w:val="auto"/>
        </w:rPr>
        <w:t>and business prospects, as well as forward-looking information from market sources.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We consider historical payment trends of our customers together with internal and external</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information about the economic outlook, geopolitical risks and macroeconomic events, which may not fully capture the current or</w:t>
      </w:r>
    </w:p>
    <w:p>
      <w:pPr>
        <w:ind w:right="360"/>
        <w:spacing w:after="0" w:line="229" w:lineRule="auto"/>
        <w:rPr>
          <w:sz w:val="20"/>
          <w:szCs w:val="20"/>
          <w:color w:val="auto"/>
        </w:rPr>
      </w:pPr>
      <w:r>
        <w:rPr>
          <w:rFonts w:ascii="Arial" w:cs="Arial" w:eastAsia="Arial" w:hAnsi="Arial"/>
          <w:sz w:val="18"/>
          <w:szCs w:val="18"/>
          <w:color w:val="auto"/>
        </w:rPr>
        <w:t>future creditworthiness of our customers, particularly in difficult economic periods.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120"/>
        <w:spacing w:after="0" w:line="224" w:lineRule="auto"/>
        <w:rPr>
          <w:sz w:val="20"/>
          <w:szCs w:val="20"/>
          <w:color w:val="auto"/>
        </w:rPr>
      </w:pPr>
      <w:r>
        <w:rPr>
          <w:rFonts w:ascii="Arial" w:cs="Arial" w:eastAsia="Arial" w:hAnsi="Arial"/>
          <w:sz w:val="17"/>
          <w:szCs w:val="17"/>
          <w:color w:val="auto"/>
        </w:rPr>
        <w:t>As a result of the challenges inherent in estimating which customers are less likely to</w:t>
      </w:r>
    </w:p>
    <w:p>
      <w:pPr>
        <w:ind w:right="20"/>
        <w:spacing w:after="0" w:line="221" w:lineRule="auto"/>
        <w:rPr>
          <w:sz w:val="20"/>
          <w:szCs w:val="20"/>
          <w:color w:val="auto"/>
        </w:rPr>
      </w:pPr>
      <w:r>
        <w:rPr>
          <w:rFonts w:ascii="Arial" w:cs="Arial" w:eastAsia="Arial" w:hAnsi="Arial"/>
          <w:sz w:val="17"/>
          <w:szCs w:val="17"/>
          <w:color w:val="auto"/>
        </w:rPr>
        <w:t>remit amounts owed to us, our provision for estimated credit losses may not always be sufficient. Any write-off of accounts receivable</w:t>
      </w:r>
    </w:p>
    <w:p>
      <w:pPr>
        <w:ind w:right="320"/>
        <w:spacing w:after="0" w:line="221" w:lineRule="auto"/>
        <w:rPr>
          <w:sz w:val="20"/>
          <w:szCs w:val="20"/>
          <w:color w:val="auto"/>
        </w:rPr>
      </w:pPr>
      <w:r>
        <w:rPr>
          <w:rFonts w:ascii="Arial" w:cs="Arial" w:eastAsia="Arial" w:hAnsi="Arial"/>
          <w:sz w:val="18"/>
          <w:szCs w:val="18"/>
          <w:color w:val="auto"/>
        </w:rPr>
        <w:t>in excess of our provision for credit losses could adversely affect our results of operations and cash flow.</w:t>
      </w:r>
    </w:p>
    <w:p>
      <w:pPr>
        <w:spacing w:after="0" w:line="200" w:lineRule="exact"/>
        <w:rPr>
          <w:sz w:val="20"/>
          <w:szCs w:val="20"/>
          <w:color w:val="auto"/>
        </w:rPr>
      </w:pPr>
    </w:p>
    <w:p>
      <w:pPr>
        <w:sectPr>
          <w:pgSz w:w="11900" w:h="16838" w:orient="portrait"/>
          <w:cols w:equalWidth="0" w:num="3">
            <w:col w:w="3500" w:space="180"/>
            <w:col w:w="3620" w:space="240"/>
            <w:col w:w="3660"/>
          </w:cols>
          <w:pgMar w:left="320" w:top="108" w:right="37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920"/>
        <w:spacing w:after="0"/>
        <w:rPr>
          <w:sz w:val="20"/>
          <w:szCs w:val="20"/>
          <w:color w:val="auto"/>
        </w:rPr>
      </w:pPr>
      <w:r>
        <w:rPr>
          <w:rFonts w:ascii="Arial" w:cs="Arial" w:eastAsia="Arial" w:hAnsi="Arial"/>
          <w:sz w:val="17"/>
          <w:szCs w:val="17"/>
          <w:b w:val="1"/>
          <w:bCs w:val="1"/>
          <w:color w:val="auto"/>
        </w:rPr>
        <w:t>Effect if Actual Results Differ from</w:t>
      </w:r>
    </w:p>
    <w:p>
      <w:pPr>
        <w:ind w:left="1280"/>
        <w:spacing w:after="0"/>
        <w:tabs>
          <w:tab w:leader="none" w:pos="4240" w:val="left"/>
          <w:tab w:leader="none" w:pos="878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Judgments and Uncertainties</w:t>
      </w:r>
      <w:r>
        <w:rPr>
          <w:sz w:val="20"/>
          <w:szCs w:val="20"/>
          <w:color w:val="auto"/>
        </w:rPr>
        <w:tab/>
      </w:r>
      <w:r>
        <w:rPr>
          <w:rFonts w:ascii="Arial" w:cs="Arial" w:eastAsia="Arial" w:hAnsi="Arial"/>
          <w:sz w:val="17"/>
          <w:szCs w:val="17"/>
          <w:b w:val="1"/>
          <w:bCs w:val="1"/>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Business Combinations</w:t>
      </w:r>
    </w:p>
    <w:p>
      <w:pPr>
        <w:sectPr>
          <w:pgSz w:w="11900" w:h="16838" w:orient="portrait"/>
          <w:cols w:equalWidth="0" w:num="1">
            <w:col w:w="11220"/>
          </w:cols>
          <w:pgMar w:left="320" w:top="121" w:right="359" w:bottom="1440" w:gutter="0" w:footer="0" w:header="0"/>
        </w:sectPr>
      </w:pPr>
    </w:p>
    <w:p>
      <w:pPr>
        <w:spacing w:after="0" w:line="36" w:lineRule="exact"/>
        <w:rPr>
          <w:sz w:val="20"/>
          <w:szCs w:val="20"/>
          <w:color w:val="auto"/>
        </w:rPr>
      </w:pPr>
    </w:p>
    <w:p>
      <w:pPr>
        <w:ind w:left="20"/>
        <w:spacing w:after="0" w:line="248" w:lineRule="auto"/>
        <w:rPr>
          <w:sz w:val="20"/>
          <w:szCs w:val="20"/>
          <w:color w:val="auto"/>
        </w:rPr>
      </w:pPr>
      <w:r>
        <w:rPr>
          <w:rFonts w:ascii="Arial" w:cs="Arial" w:eastAsia="Arial" w:hAnsi="Arial"/>
          <w:sz w:val="17"/>
          <w:szCs w:val="17"/>
          <w:i w:val="1"/>
          <w:iCs w:val="1"/>
          <w:color w:val="auto"/>
        </w:rPr>
        <w:t>A business combination occurs when an entity obtains control of a "business." To conclude if the definition of a business is met, we assess whether or not substantially all of the fair value of the gross assets acquired is concentrated in a single</w:t>
      </w:r>
    </w:p>
    <w:p>
      <w:pPr>
        <w:spacing w:after="0" w:line="4" w:lineRule="exact"/>
        <w:rPr>
          <w:sz w:val="20"/>
          <w:szCs w:val="20"/>
          <w:color w:val="auto"/>
        </w:rPr>
      </w:pPr>
    </w:p>
    <w:p>
      <w:pPr>
        <w:ind w:left="20" w:right="140"/>
        <w:spacing w:after="0" w:line="226" w:lineRule="auto"/>
        <w:rPr>
          <w:sz w:val="20"/>
          <w:szCs w:val="20"/>
          <w:color w:val="auto"/>
        </w:rPr>
      </w:pPr>
      <w:r>
        <w:rPr>
          <w:rFonts w:ascii="Arial" w:cs="Arial" w:eastAsia="Arial" w:hAnsi="Arial"/>
          <w:sz w:val="18"/>
          <w:szCs w:val="18"/>
          <w:i w:val="1"/>
          <w:iCs w:val="1"/>
          <w:color w:val="auto"/>
        </w:rPr>
        <w:t>identifiable asset or a group of similar identifiable assets, which requires the use</w:t>
      </w:r>
    </w:p>
    <w:p>
      <w:pPr>
        <w:spacing w:after="0" w:line="2" w:lineRule="exact"/>
        <w:rPr>
          <w:sz w:val="20"/>
          <w:szCs w:val="20"/>
          <w:color w:val="auto"/>
        </w:rPr>
      </w:pPr>
    </w:p>
    <w:p>
      <w:pPr>
        <w:ind w:left="20" w:right="40"/>
        <w:spacing w:after="0" w:line="236" w:lineRule="auto"/>
        <w:rPr>
          <w:sz w:val="20"/>
          <w:szCs w:val="20"/>
          <w:color w:val="auto"/>
        </w:rPr>
      </w:pPr>
      <w:r>
        <w:rPr>
          <w:rFonts w:ascii="Arial" w:cs="Arial" w:eastAsia="Arial" w:hAnsi="Arial"/>
          <w:sz w:val="18"/>
          <w:szCs w:val="18"/>
          <w:i w:val="1"/>
          <w:iCs w:val="1"/>
          <w:color w:val="auto"/>
        </w:rPr>
        <w:t>of significant judgment to determine the fair value. The determination of whether the acquired activities and assets constitute a business is critical because the accounting for a business combination differs significantly from that of an asset acquisition. Business combinations are accounted for using a fair value model. In contrast, asset acquisitions are accounted for using a cost accumulation and allocation model.</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 Recognition</w:t>
      </w:r>
    </w:p>
    <w:p>
      <w:pPr>
        <w:spacing w:after="0" w:line="40" w:lineRule="exact"/>
        <w:rPr>
          <w:sz w:val="20"/>
          <w:szCs w:val="20"/>
          <w:color w:val="auto"/>
        </w:rPr>
      </w:pPr>
    </w:p>
    <w:p>
      <w:pPr>
        <w:ind w:left="20" w:right="120"/>
        <w:spacing w:after="0" w:line="211" w:lineRule="auto"/>
        <w:rPr>
          <w:sz w:val="20"/>
          <w:szCs w:val="20"/>
          <w:color w:val="auto"/>
        </w:rPr>
      </w:pPr>
      <w:r>
        <w:rPr>
          <w:rFonts w:ascii="Arial" w:cs="Arial" w:eastAsia="Arial" w:hAnsi="Arial"/>
          <w:sz w:val="18"/>
          <w:szCs w:val="18"/>
          <w:i w:val="1"/>
          <w:iCs w:val="1"/>
          <w:color w:val="auto"/>
        </w:rPr>
        <w:t>The majority of our consolidated revenues are generated through the sale of fuel and</w:t>
      </w:r>
    </w:p>
    <w:p>
      <w:pPr>
        <w:spacing w:after="0" w:line="1" w:lineRule="exact"/>
        <w:rPr>
          <w:sz w:val="20"/>
          <w:szCs w:val="20"/>
          <w:color w:val="auto"/>
        </w:rPr>
      </w:pPr>
    </w:p>
    <w:p>
      <w:pPr>
        <w:ind w:left="20"/>
        <w:spacing w:after="0" w:line="221" w:lineRule="auto"/>
        <w:rPr>
          <w:sz w:val="20"/>
          <w:szCs w:val="20"/>
          <w:color w:val="auto"/>
        </w:rPr>
      </w:pPr>
      <w:r>
        <w:rPr>
          <w:rFonts w:ascii="Arial" w:cs="Arial" w:eastAsia="Arial" w:hAnsi="Arial"/>
          <w:sz w:val="17"/>
          <w:szCs w:val="17"/>
          <w:i w:val="1"/>
          <w:iCs w:val="1"/>
          <w:color w:val="auto"/>
        </w:rPr>
        <w:t>fuel-related products. We generally recognize fuel sales on a gross basis as we have control of the products before they are</w:t>
      </w:r>
    </w:p>
    <w:p>
      <w:pPr>
        <w:ind w:left="20"/>
        <w:spacing w:after="0"/>
        <w:rPr>
          <w:sz w:val="20"/>
          <w:szCs w:val="20"/>
          <w:color w:val="auto"/>
        </w:rPr>
      </w:pPr>
      <w:r>
        <w:rPr>
          <w:rFonts w:ascii="Arial" w:cs="Arial" w:eastAsia="Arial" w:hAnsi="Arial"/>
          <w:sz w:val="18"/>
          <w:szCs w:val="18"/>
          <w:i w:val="1"/>
          <w:iCs w:val="1"/>
          <w:color w:val="auto"/>
        </w:rPr>
        <w:t>delivered to our customers.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00"/>
        <w:spacing w:after="0" w:line="224" w:lineRule="auto"/>
        <w:rPr>
          <w:sz w:val="20"/>
          <w:szCs w:val="20"/>
          <w:color w:val="auto"/>
        </w:rPr>
      </w:pPr>
      <w:r>
        <w:rPr>
          <w:rFonts w:ascii="Arial" w:cs="Arial" w:eastAsia="Arial" w:hAnsi="Arial"/>
          <w:sz w:val="17"/>
          <w:szCs w:val="17"/>
          <w:color w:val="auto"/>
        </w:rPr>
        <w:t>Significant judgment is involved in the determination of fair values in the context of</w:t>
      </w:r>
    </w:p>
    <w:p>
      <w:pPr>
        <w:ind w:right="60"/>
        <w:spacing w:after="0" w:line="221" w:lineRule="auto"/>
        <w:rPr>
          <w:sz w:val="20"/>
          <w:szCs w:val="20"/>
          <w:color w:val="auto"/>
        </w:rPr>
      </w:pPr>
      <w:r>
        <w:rPr>
          <w:rFonts w:ascii="Arial" w:cs="Arial" w:eastAsia="Arial" w:hAnsi="Arial"/>
          <w:sz w:val="17"/>
          <w:szCs w:val="17"/>
          <w:color w:val="auto"/>
        </w:rPr>
        <w:t>acquisitions, as fair values are generally developed based on forecasted assumptions. The assumptions and inputs incorporated</w:t>
      </w:r>
    </w:p>
    <w:p>
      <w:pPr>
        <w:spacing w:after="0" w:line="208" w:lineRule="auto"/>
        <w:rPr>
          <w:sz w:val="20"/>
          <w:szCs w:val="20"/>
          <w:color w:val="auto"/>
        </w:rPr>
      </w:pPr>
      <w:r>
        <w:rPr>
          <w:rFonts w:ascii="Arial" w:cs="Arial" w:eastAsia="Arial" w:hAnsi="Arial"/>
          <w:sz w:val="18"/>
          <w:szCs w:val="18"/>
          <w:color w:val="auto"/>
        </w:rPr>
        <w:t>within the fair value estimates are subject to considerable management judgement and are based on industry, market, and economic</w:t>
      </w:r>
    </w:p>
    <w:p>
      <w:pPr>
        <w:spacing w:after="0" w:line="2" w:lineRule="exact"/>
        <w:rPr>
          <w:sz w:val="20"/>
          <w:szCs w:val="20"/>
          <w:color w:val="auto"/>
        </w:rPr>
      </w:pPr>
    </w:p>
    <w:p>
      <w:pPr>
        <w:ind w:right="120"/>
        <w:spacing w:after="0" w:line="208" w:lineRule="auto"/>
        <w:rPr>
          <w:sz w:val="20"/>
          <w:szCs w:val="20"/>
          <w:color w:val="auto"/>
        </w:rPr>
      </w:pPr>
      <w:r>
        <w:rPr>
          <w:rFonts w:ascii="Arial" w:cs="Arial" w:eastAsia="Arial" w:hAnsi="Arial"/>
          <w:sz w:val="18"/>
          <w:szCs w:val="18"/>
          <w:color w:val="auto"/>
        </w:rPr>
        <w:t>conditions prevalent at the time of the acquisition. Significant inputs incorporated in the determination of fair values, including</w:t>
      </w:r>
    </w:p>
    <w:p>
      <w:pPr>
        <w:spacing w:after="0" w:line="2" w:lineRule="exact"/>
        <w:rPr>
          <w:sz w:val="20"/>
          <w:szCs w:val="20"/>
          <w:color w:val="auto"/>
        </w:rPr>
      </w:pPr>
    </w:p>
    <w:p>
      <w:pPr>
        <w:ind w:right="220"/>
        <w:spacing w:after="0" w:line="208" w:lineRule="auto"/>
        <w:rPr>
          <w:sz w:val="20"/>
          <w:szCs w:val="20"/>
          <w:color w:val="auto"/>
        </w:rPr>
      </w:pPr>
      <w:r>
        <w:rPr>
          <w:rFonts w:ascii="Arial" w:cs="Arial" w:eastAsia="Arial" w:hAnsi="Arial"/>
          <w:sz w:val="18"/>
          <w:szCs w:val="18"/>
          <w:color w:val="auto"/>
        </w:rPr>
        <w:t>customer relationships valued using an income approach, include the discount rate determined using a market-based weighted</w:t>
      </w:r>
    </w:p>
    <w:p>
      <w:pPr>
        <w:spacing w:after="0" w:line="2" w:lineRule="exact"/>
        <w:rPr>
          <w:sz w:val="20"/>
          <w:szCs w:val="20"/>
          <w:color w:val="auto"/>
        </w:rPr>
      </w:pPr>
    </w:p>
    <w:p>
      <w:pPr>
        <w:ind w:right="100"/>
        <w:spacing w:after="0" w:line="208" w:lineRule="auto"/>
        <w:rPr>
          <w:sz w:val="20"/>
          <w:szCs w:val="20"/>
          <w:color w:val="auto"/>
        </w:rPr>
      </w:pPr>
      <w:r>
        <w:rPr>
          <w:rFonts w:ascii="Arial" w:cs="Arial" w:eastAsia="Arial" w:hAnsi="Arial"/>
          <w:sz w:val="18"/>
          <w:szCs w:val="18"/>
          <w:color w:val="auto"/>
        </w:rPr>
        <w:t>average cost of capital, expected growth rates, and profitability and risks embedded in the newly acquired activities, including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customer attrition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60"/>
        <w:spacing w:after="0" w:line="234" w:lineRule="auto"/>
        <w:rPr>
          <w:sz w:val="20"/>
          <w:szCs w:val="20"/>
          <w:color w:val="auto"/>
        </w:rPr>
      </w:pPr>
      <w:r>
        <w:rPr>
          <w:rFonts w:ascii="Arial" w:cs="Arial" w:eastAsia="Arial" w:hAnsi="Arial"/>
          <w:sz w:val="17"/>
          <w:szCs w:val="17"/>
          <w:color w:val="auto"/>
        </w:rPr>
        <w:t>In drawing this conclusion, we consider various factors, including inventory risk</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management, latitude in establishing the sales price, discretion in the supplier selection and that we are normally the primary obligor</w:t>
      </w:r>
    </w:p>
    <w:p>
      <w:pPr>
        <w:spacing w:after="0"/>
        <w:rPr>
          <w:sz w:val="20"/>
          <w:szCs w:val="20"/>
          <w:color w:val="auto"/>
        </w:rPr>
      </w:pPr>
      <w:r>
        <w:rPr>
          <w:rFonts w:ascii="Arial" w:cs="Arial" w:eastAsia="Arial" w:hAnsi="Arial"/>
          <w:sz w:val="18"/>
          <w:szCs w:val="18"/>
          <w:color w:val="auto"/>
        </w:rPr>
        <w:t>in our sales arrangements.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assumptions used to estimate fair values are materially different, future earnings through depreciation and amortization expense could be impacted. In addition, if forecasts supporting the valuation of the long-lived assets, including intangibles, or goodwill are not achieved, impairments could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determination of whether to recognize revenue on a gross or net basis can materially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 the amount of revenue we report.</w:t>
      </w:r>
    </w:p>
    <w:p>
      <w:pPr>
        <w:spacing w:after="0" w:line="791" w:lineRule="exact"/>
        <w:rPr>
          <w:sz w:val="20"/>
          <w:szCs w:val="20"/>
          <w:color w:val="auto"/>
        </w:rPr>
      </w:pPr>
    </w:p>
    <w:p>
      <w:pPr>
        <w:sectPr>
          <w:pgSz w:w="11900" w:h="16838" w:orient="portrait"/>
          <w:cols w:equalWidth="0" w:num="3">
            <w:col w:w="3500" w:space="180"/>
            <w:col w:w="3680" w:space="180"/>
            <w:col w:w="3680"/>
          </w:cols>
          <w:pgMar w:left="320" w:top="121" w:right="359" w:bottom="1440" w:gutter="0" w:footer="0" w:header="0"/>
          <w:type w:val="continuous"/>
        </w:sectPr>
      </w:pPr>
    </w:p>
    <w:p>
      <w:pPr>
        <w:ind w:left="20" w:right="420"/>
        <w:spacing w:after="0" w:line="224" w:lineRule="auto"/>
        <w:rPr>
          <w:sz w:val="20"/>
          <w:szCs w:val="20"/>
          <w:color w:val="auto"/>
        </w:rPr>
      </w:pPr>
      <w:r>
        <w:rPr>
          <w:rFonts w:ascii="Arial" w:cs="Arial" w:eastAsia="Arial" w:hAnsi="Arial"/>
          <w:sz w:val="17"/>
          <w:szCs w:val="17"/>
          <w:i w:val="1"/>
          <w:iCs w:val="1"/>
          <w:color w:val="auto"/>
        </w:rPr>
        <w:t>We estimate total income tax expense based on statutory tax rates and tax</w:t>
      </w:r>
    </w:p>
    <w:p>
      <w:pPr>
        <w:ind w:left="20" w:right="140"/>
        <w:spacing w:after="0" w:line="208" w:lineRule="auto"/>
        <w:rPr>
          <w:sz w:val="20"/>
          <w:szCs w:val="20"/>
          <w:color w:val="auto"/>
        </w:rPr>
      </w:pPr>
      <w:r>
        <w:rPr>
          <w:rFonts w:ascii="Arial" w:cs="Arial" w:eastAsia="Arial" w:hAnsi="Arial"/>
          <w:sz w:val="18"/>
          <w:szCs w:val="18"/>
          <w:i w:val="1"/>
          <w:iCs w:val="1"/>
          <w:color w:val="auto"/>
        </w:rPr>
        <w:t>planning opportunities available to us in various jurisdictions in which we operate. Deferred income taxes are recognized for</w:t>
      </w:r>
    </w:p>
    <w:p>
      <w:pPr>
        <w:spacing w:after="0" w:line="2" w:lineRule="exact"/>
        <w:rPr>
          <w:sz w:val="20"/>
          <w:szCs w:val="20"/>
          <w:color w:val="auto"/>
        </w:rPr>
      </w:pPr>
    </w:p>
    <w:p>
      <w:pPr>
        <w:ind w:left="20"/>
        <w:spacing w:after="0" w:line="221" w:lineRule="auto"/>
        <w:rPr>
          <w:sz w:val="20"/>
          <w:szCs w:val="20"/>
          <w:color w:val="auto"/>
        </w:rPr>
      </w:pPr>
      <w:r>
        <w:rPr>
          <w:rFonts w:ascii="Arial" w:cs="Arial" w:eastAsia="Arial" w:hAnsi="Arial"/>
          <w:sz w:val="17"/>
          <w:szCs w:val="17"/>
          <w:i w:val="1"/>
          <w:iCs w:val="1"/>
          <w:color w:val="auto"/>
        </w:rPr>
        <w:t>the future tax effects of temporary differences between financial and income tax reporting using tax rates in effect for the</w:t>
      </w:r>
    </w:p>
    <w:p>
      <w:pPr>
        <w:ind w:left="20"/>
        <w:spacing w:after="0" w:line="221" w:lineRule="auto"/>
        <w:rPr>
          <w:sz w:val="20"/>
          <w:szCs w:val="20"/>
          <w:color w:val="auto"/>
        </w:rPr>
      </w:pPr>
      <w:r>
        <w:rPr>
          <w:rFonts w:ascii="Arial" w:cs="Arial" w:eastAsia="Arial" w:hAnsi="Arial"/>
          <w:sz w:val="17"/>
          <w:szCs w:val="17"/>
          <w:i w:val="1"/>
          <w:iCs w:val="1"/>
          <w:color w:val="auto"/>
        </w:rPr>
        <w:t>years in which the differences are expected to reverse. Valuation allowances are recorded when it is likely a tax benefit will</w:t>
      </w:r>
    </w:p>
    <w:p>
      <w:pPr>
        <w:ind w:left="20"/>
        <w:spacing w:after="0" w:line="208" w:lineRule="auto"/>
        <w:rPr>
          <w:sz w:val="20"/>
          <w:szCs w:val="20"/>
          <w:color w:val="auto"/>
        </w:rPr>
      </w:pPr>
      <w:r>
        <w:rPr>
          <w:rFonts w:ascii="Arial" w:cs="Arial" w:eastAsia="Arial" w:hAnsi="Arial"/>
          <w:sz w:val="18"/>
          <w:szCs w:val="18"/>
          <w:i w:val="1"/>
          <w:iCs w:val="1"/>
          <w:color w:val="auto"/>
        </w:rPr>
        <w:t>not be realized for a deferred tax asset. We record unrecognized tax benefit liabilities for known or anticipated tax issues based</w:t>
      </w:r>
    </w:p>
    <w:p>
      <w:pPr>
        <w:spacing w:after="0" w:line="2" w:lineRule="exact"/>
        <w:rPr>
          <w:sz w:val="20"/>
          <w:szCs w:val="20"/>
          <w:color w:val="auto"/>
        </w:rPr>
      </w:pPr>
    </w:p>
    <w:p>
      <w:pPr>
        <w:ind w:left="20" w:right="120"/>
        <w:spacing w:after="0" w:line="246" w:lineRule="auto"/>
        <w:rPr>
          <w:sz w:val="20"/>
          <w:szCs w:val="20"/>
          <w:color w:val="auto"/>
        </w:rPr>
      </w:pPr>
      <w:r>
        <w:rPr>
          <w:rFonts w:ascii="Arial" w:cs="Arial" w:eastAsia="Arial" w:hAnsi="Arial"/>
          <w:sz w:val="17"/>
          <w:szCs w:val="17"/>
          <w:i w:val="1"/>
          <w:iCs w:val="1"/>
          <w:color w:val="auto"/>
        </w:rPr>
        <w:t>on our analysis of whether, and the extent to which, additional taxes will be due.</w:t>
      </w:r>
    </w:p>
    <w:p>
      <w:pPr>
        <w:spacing w:after="0" w:line="20" w:lineRule="exact"/>
        <w:rPr>
          <w:sz w:val="20"/>
          <w:szCs w:val="20"/>
          <w:color w:val="auto"/>
        </w:rPr>
      </w:pPr>
      <w:r>
        <w:rPr>
          <w:sz w:val="20"/>
          <w:szCs w:val="20"/>
          <w:color w:val="auto"/>
        </w:rPr>
        <w:br w:type="column"/>
      </w:r>
    </w:p>
    <w:p>
      <w:pPr>
        <w:ind w:right="60"/>
        <w:spacing w:after="0" w:line="224" w:lineRule="auto"/>
        <w:rPr>
          <w:sz w:val="20"/>
          <w:szCs w:val="20"/>
          <w:color w:val="auto"/>
        </w:rPr>
      </w:pPr>
      <w:r>
        <w:rPr>
          <w:rFonts w:ascii="Arial" w:cs="Arial" w:eastAsia="Arial" w:hAnsi="Arial"/>
          <w:sz w:val="17"/>
          <w:szCs w:val="17"/>
          <w:color w:val="auto"/>
        </w:rPr>
        <w:t>Changes in tax laws and rates could affect recorded deferred tax assets and liabilities in</w:t>
      </w:r>
    </w:p>
    <w:p>
      <w:pPr>
        <w:ind w:right="120"/>
        <w:spacing w:after="0" w:line="208" w:lineRule="auto"/>
        <w:rPr>
          <w:sz w:val="20"/>
          <w:szCs w:val="20"/>
          <w:color w:val="auto"/>
        </w:rPr>
      </w:pPr>
      <w:r>
        <w:rPr>
          <w:rFonts w:ascii="Arial" w:cs="Arial" w:eastAsia="Arial" w:hAnsi="Arial"/>
          <w:sz w:val="18"/>
          <w:szCs w:val="18"/>
          <w:color w:val="auto"/>
        </w:rPr>
        <w:t>the future. Changes in projected future earnings could affect the recorded valuation allowances in the future. Our calculations</w:t>
      </w:r>
    </w:p>
    <w:p>
      <w:pPr>
        <w:spacing w:after="0" w:line="2"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related to income taxes contain uncertainties due to judgment used to calculate tax liabilities in the application of complex tax</w:t>
      </w:r>
    </w:p>
    <w:p>
      <w:pPr>
        <w:jc w:val="both"/>
        <w:spacing w:after="0" w:line="208" w:lineRule="auto"/>
        <w:rPr>
          <w:sz w:val="20"/>
          <w:szCs w:val="20"/>
          <w:color w:val="auto"/>
        </w:rPr>
      </w:pPr>
      <w:r>
        <w:rPr>
          <w:rFonts w:ascii="Arial" w:cs="Arial" w:eastAsia="Arial" w:hAnsi="Arial"/>
          <w:sz w:val="18"/>
          <w:szCs w:val="18"/>
          <w:color w:val="auto"/>
        </w:rPr>
        <w:t>regulations across the tax jurisdictions where we operate. Our analysis of unrecognized tax benefits contains uncertainties based on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judgment used to apply the more likely than not recognition and measurement thresholds.</w:t>
      </w:r>
    </w:p>
    <w:p>
      <w:pPr>
        <w:spacing w:after="0" w:line="20" w:lineRule="exact"/>
        <w:rPr>
          <w:sz w:val="20"/>
          <w:szCs w:val="20"/>
          <w:color w:val="auto"/>
        </w:rPr>
      </w:pPr>
      <w:r>
        <w:rPr>
          <w:sz w:val="20"/>
          <w:szCs w:val="20"/>
          <w:color w:val="auto"/>
        </w:rPr>
        <w:br w:type="column"/>
      </w:r>
    </w:p>
    <w:p>
      <w:pPr>
        <w:spacing w:after="0" w:line="224" w:lineRule="auto"/>
        <w:rPr>
          <w:sz w:val="20"/>
          <w:szCs w:val="20"/>
          <w:color w:val="auto"/>
        </w:rPr>
      </w:pPr>
      <w:r>
        <w:rPr>
          <w:rFonts w:ascii="Arial" w:cs="Arial" w:eastAsia="Arial" w:hAnsi="Arial"/>
          <w:sz w:val="17"/>
          <w:szCs w:val="17"/>
          <w:color w:val="auto"/>
        </w:rPr>
        <w:t>Due to the complexity of some of these uncertainties, the ultimate resolution of our tax</w:t>
      </w:r>
    </w:p>
    <w:p>
      <w:pPr>
        <w:jc w:val="both"/>
        <w:ind w:right="60"/>
        <w:spacing w:after="0" w:line="221" w:lineRule="auto"/>
        <w:rPr>
          <w:sz w:val="20"/>
          <w:szCs w:val="20"/>
          <w:color w:val="auto"/>
        </w:rPr>
      </w:pPr>
      <w:r>
        <w:rPr>
          <w:rFonts w:ascii="Arial" w:cs="Arial" w:eastAsia="Arial" w:hAnsi="Arial"/>
          <w:sz w:val="17"/>
          <w:szCs w:val="17"/>
          <w:color w:val="auto"/>
        </w:rPr>
        <w:t>related balances or valuation allowances may result in a payment that is materially different from the current estimate of the tax liabilities.</w:t>
      </w:r>
    </w:p>
    <w:p>
      <w:pPr>
        <w:ind w:right="20"/>
        <w:spacing w:after="0" w:line="221" w:lineRule="auto"/>
        <w:rPr>
          <w:sz w:val="20"/>
          <w:szCs w:val="20"/>
          <w:color w:val="auto"/>
        </w:rPr>
      </w:pPr>
      <w:r>
        <w:rPr>
          <w:rFonts w:ascii="Arial" w:cs="Arial" w:eastAsia="Arial" w:hAnsi="Arial"/>
          <w:sz w:val="17"/>
          <w:szCs w:val="17"/>
          <w:color w:val="auto"/>
        </w:rPr>
        <w:t>To the extent we prevail in matters for which unrecognized tax benefit liabilities have been established, or are required to pay amounts in</w:t>
      </w:r>
    </w:p>
    <w:p>
      <w:pPr>
        <w:ind w:right="360"/>
        <w:spacing w:after="0" w:line="221" w:lineRule="auto"/>
        <w:rPr>
          <w:sz w:val="20"/>
          <w:szCs w:val="20"/>
          <w:color w:val="auto"/>
        </w:rPr>
      </w:pPr>
      <w:r>
        <w:rPr>
          <w:rFonts w:ascii="Arial" w:cs="Arial" w:eastAsia="Arial" w:hAnsi="Arial"/>
          <w:sz w:val="17"/>
          <w:szCs w:val="17"/>
          <w:color w:val="auto"/>
        </w:rPr>
        <w:t>excess of our recorded unrecognized tax benefit liabilities, our effective tax rate in a given financial statement period could be</w:t>
      </w:r>
    </w:p>
    <w:p>
      <w:pPr>
        <w:spacing w:after="0"/>
        <w:rPr>
          <w:sz w:val="20"/>
          <w:szCs w:val="20"/>
          <w:color w:val="auto"/>
        </w:rPr>
      </w:pPr>
      <w:r>
        <w:rPr>
          <w:rFonts w:ascii="Arial" w:cs="Arial" w:eastAsia="Arial" w:hAnsi="Arial"/>
          <w:sz w:val="18"/>
          <w:szCs w:val="18"/>
          <w:color w:val="auto"/>
        </w:rPr>
        <w:t>materially affected.</w:t>
      </w:r>
    </w:p>
    <w:p>
      <w:pPr>
        <w:spacing w:after="0" w:line="933" w:lineRule="exact"/>
        <w:rPr>
          <w:sz w:val="20"/>
          <w:szCs w:val="20"/>
          <w:color w:val="auto"/>
        </w:rPr>
      </w:pPr>
    </w:p>
    <w:p>
      <w:pPr>
        <w:sectPr>
          <w:pgSz w:w="11900" w:h="16838" w:orient="portrait"/>
          <w:cols w:equalWidth="0" w:num="3">
            <w:col w:w="3480" w:space="200"/>
            <w:col w:w="3620" w:space="240"/>
            <w:col w:w="3680"/>
          </w:cols>
          <w:pgMar w:left="320" w:top="121" w:right="35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40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Judgments and Uncertainties</w:t>
            </w:r>
          </w:p>
        </w:tc>
        <w:tc>
          <w:tcPr>
            <w:tcW w:w="350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Effect if Actual Results Differ from</w:t>
            </w:r>
          </w:p>
        </w:tc>
        <w:tc>
          <w:tcPr>
            <w:tcW w:w="0" w:type="dxa"/>
            <w:vAlign w:val="bottom"/>
          </w:tcPr>
          <w:p>
            <w:pPr>
              <w:spacing w:after="0"/>
              <w:rPr>
                <w:sz w:val="1"/>
                <w:szCs w:val="1"/>
                <w:color w:val="auto"/>
              </w:rPr>
            </w:pPr>
          </w:p>
        </w:tc>
      </w:tr>
      <w:tr>
        <w:trPr>
          <w:trHeight w:val="255"/>
        </w:trPr>
        <w:tc>
          <w:tcPr>
            <w:tcW w:w="1980" w:type="dxa"/>
            <w:vAlign w:val="bottom"/>
            <w:vMerge w:val="continue"/>
          </w:tcPr>
          <w:p>
            <w:pPr>
              <w:spacing w:after="0"/>
              <w:rPr>
                <w:sz w:val="22"/>
                <w:szCs w:val="22"/>
                <w:color w:val="auto"/>
              </w:rPr>
            </w:pPr>
          </w:p>
        </w:tc>
        <w:tc>
          <w:tcPr>
            <w:tcW w:w="4080" w:type="dxa"/>
            <w:vAlign w:val="bottom"/>
            <w:vMerge w:val="continue"/>
          </w:tcPr>
          <w:p>
            <w:pPr>
              <w:spacing w:after="0"/>
              <w:rPr>
                <w:sz w:val="22"/>
                <w:szCs w:val="22"/>
                <w:color w:val="auto"/>
              </w:rPr>
            </w:pPr>
          </w:p>
        </w:tc>
        <w:tc>
          <w:tcPr>
            <w:tcW w:w="350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Assumptions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Derivatives</w:t>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p>
      <w:pPr>
        <w:ind w:left="20" w:right="100"/>
        <w:spacing w:after="0" w:line="224" w:lineRule="auto"/>
        <w:rPr>
          <w:sz w:val="20"/>
          <w:szCs w:val="20"/>
          <w:color w:val="auto"/>
        </w:rPr>
      </w:pPr>
      <w:r>
        <w:rPr>
          <w:rFonts w:ascii="Arial" w:cs="Arial" w:eastAsia="Arial" w:hAnsi="Arial"/>
          <w:sz w:val="17"/>
          <w:szCs w:val="17"/>
          <w:i w:val="1"/>
          <w:iCs w:val="1"/>
          <w:color w:val="auto"/>
        </w:rPr>
        <w:t>We enter into financial derivative contracts to mitigate our risk of fuel market price</w:t>
      </w:r>
    </w:p>
    <w:p>
      <w:pPr>
        <w:ind w:left="20" w:right="20"/>
        <w:spacing w:after="0" w:line="208" w:lineRule="auto"/>
        <w:rPr>
          <w:sz w:val="20"/>
          <w:szCs w:val="20"/>
          <w:color w:val="auto"/>
        </w:rPr>
      </w:pPr>
      <w:r>
        <w:rPr>
          <w:rFonts w:ascii="Arial" w:cs="Arial" w:eastAsia="Arial" w:hAnsi="Arial"/>
          <w:sz w:val="18"/>
          <w:szCs w:val="18"/>
          <w:i w:val="1"/>
          <w:iCs w:val="1"/>
          <w:color w:val="auto"/>
        </w:rPr>
        <w:t>fluctuations in aviation, land, and marine as well as changes in interest and foreign currency exchange rates and also to offer</w:t>
      </w:r>
    </w:p>
    <w:p>
      <w:pPr>
        <w:spacing w:after="0" w:line="2" w:lineRule="exact"/>
        <w:rPr>
          <w:sz w:val="20"/>
          <w:szCs w:val="20"/>
          <w:color w:val="auto"/>
        </w:rPr>
      </w:pPr>
    </w:p>
    <w:p>
      <w:pPr>
        <w:jc w:val="both"/>
        <w:ind w:left="20" w:right="160"/>
        <w:spacing w:after="0" w:line="208" w:lineRule="auto"/>
        <w:rPr>
          <w:sz w:val="20"/>
          <w:szCs w:val="20"/>
          <w:color w:val="auto"/>
        </w:rPr>
      </w:pPr>
      <w:r>
        <w:rPr>
          <w:rFonts w:ascii="Arial" w:cs="Arial" w:eastAsia="Arial" w:hAnsi="Arial"/>
          <w:sz w:val="18"/>
          <w:szCs w:val="18"/>
          <w:i w:val="1"/>
          <w:iCs w:val="1"/>
          <w:color w:val="auto"/>
        </w:rPr>
        <w:t>our customers fuel pricing alternatives to meet their needs. These instruments may be designated as cash flow or fair value</w:t>
      </w:r>
    </w:p>
    <w:p>
      <w:pPr>
        <w:spacing w:after="0" w:line="2" w:lineRule="exact"/>
        <w:rPr>
          <w:sz w:val="20"/>
          <w:szCs w:val="20"/>
          <w:color w:val="auto"/>
        </w:rPr>
      </w:pPr>
    </w:p>
    <w:p>
      <w:pPr>
        <w:ind w:left="20" w:right="80"/>
        <w:spacing w:after="0" w:line="221" w:lineRule="auto"/>
        <w:rPr>
          <w:sz w:val="20"/>
          <w:szCs w:val="20"/>
          <w:color w:val="auto"/>
        </w:rPr>
      </w:pPr>
      <w:r>
        <w:rPr>
          <w:rFonts w:ascii="Arial" w:cs="Arial" w:eastAsia="Arial" w:hAnsi="Arial"/>
          <w:sz w:val="17"/>
          <w:szCs w:val="17"/>
          <w:i w:val="1"/>
          <w:iCs w:val="1"/>
          <w:color w:val="auto"/>
        </w:rPr>
        <w:t>hedges, or accounted for as non-designated derivatives. All derivative instruments are measured and recorded at</w:t>
      </w:r>
    </w:p>
    <w:p>
      <w:pPr>
        <w:ind w:left="20"/>
        <w:spacing w:after="0"/>
        <w:rPr>
          <w:sz w:val="20"/>
          <w:szCs w:val="20"/>
          <w:color w:val="auto"/>
        </w:rPr>
      </w:pPr>
      <w:r>
        <w:rPr>
          <w:rFonts w:ascii="Arial" w:cs="Arial" w:eastAsia="Arial" w:hAnsi="Arial"/>
          <w:sz w:val="18"/>
          <w:szCs w:val="18"/>
          <w:i w:val="1"/>
          <w:iCs w:val="1"/>
          <w:color w:val="auto"/>
        </w:rPr>
        <w:t>fair value.</w:t>
      </w:r>
    </w:p>
    <w:p>
      <w:pPr>
        <w:spacing w:after="0" w:line="196" w:lineRule="exact"/>
        <w:rPr>
          <w:sz w:val="20"/>
          <w:szCs w:val="20"/>
          <w:color w:val="auto"/>
        </w:rPr>
      </w:pPr>
    </w:p>
    <w:p>
      <w:pPr>
        <w:ind w:left="20"/>
        <w:spacing w:after="0" w:line="220" w:lineRule="auto"/>
        <w:rPr>
          <w:sz w:val="20"/>
          <w:szCs w:val="20"/>
          <w:color w:val="auto"/>
        </w:rPr>
      </w:pPr>
      <w:r>
        <w:rPr>
          <w:rFonts w:ascii="Arial" w:cs="Arial" w:eastAsia="Arial" w:hAnsi="Arial"/>
          <w:sz w:val="18"/>
          <w:szCs w:val="18"/>
          <w:i w:val="1"/>
          <w:iCs w:val="1"/>
          <w:color w:val="auto"/>
        </w:rPr>
        <w:t>We also assess convertible notes and other related contracts to determine if those</w:t>
      </w:r>
    </w:p>
    <w:p>
      <w:pPr>
        <w:spacing w:after="0" w:line="1" w:lineRule="exact"/>
        <w:rPr>
          <w:sz w:val="20"/>
          <w:szCs w:val="20"/>
          <w:color w:val="auto"/>
        </w:rPr>
      </w:pPr>
    </w:p>
    <w:p>
      <w:pPr>
        <w:ind w:left="20" w:right="20"/>
        <w:spacing w:after="0" w:line="221" w:lineRule="auto"/>
        <w:rPr>
          <w:sz w:val="20"/>
          <w:szCs w:val="20"/>
          <w:color w:val="auto"/>
        </w:rPr>
      </w:pPr>
      <w:r>
        <w:rPr>
          <w:rFonts w:ascii="Arial" w:cs="Arial" w:eastAsia="Arial" w:hAnsi="Arial"/>
          <w:sz w:val="18"/>
          <w:szCs w:val="18"/>
          <w:i w:val="1"/>
          <w:iCs w:val="1"/>
          <w:color w:val="auto"/>
        </w:rPr>
        <w:t>contracts or embedded components of those contracts meet the definition of a derivative that require separate accounting.</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right="120"/>
        <w:spacing w:after="0" w:line="224" w:lineRule="auto"/>
        <w:rPr>
          <w:sz w:val="20"/>
          <w:szCs w:val="20"/>
          <w:color w:val="auto"/>
        </w:rPr>
      </w:pPr>
      <w:r>
        <w:rPr>
          <w:rFonts w:ascii="Arial" w:cs="Arial" w:eastAsia="Arial" w:hAnsi="Arial"/>
          <w:sz w:val="17"/>
          <w:szCs w:val="17"/>
          <w:color w:val="auto"/>
        </w:rPr>
        <w:t>When available, quoted market prices or prices obtained through external sources are</w:t>
      </w:r>
    </w:p>
    <w:p>
      <w:pPr>
        <w:jc w:val="both"/>
        <w:ind w:right="120"/>
        <w:spacing w:after="0" w:line="208" w:lineRule="auto"/>
        <w:rPr>
          <w:sz w:val="20"/>
          <w:szCs w:val="20"/>
          <w:color w:val="auto"/>
        </w:rPr>
      </w:pPr>
      <w:r>
        <w:rPr>
          <w:rFonts w:ascii="Arial" w:cs="Arial" w:eastAsia="Arial" w:hAnsi="Arial"/>
          <w:sz w:val="18"/>
          <w:szCs w:val="18"/>
          <w:color w:val="auto"/>
        </w:rPr>
        <w:t>used to determine a contract's fair value. For contracts for which quoted market prices are not available, fair value is determined based</w:t>
      </w:r>
    </w:p>
    <w:p>
      <w:pPr>
        <w:spacing w:after="0" w:line="2" w:lineRule="exact"/>
        <w:rPr>
          <w:sz w:val="20"/>
          <w:szCs w:val="20"/>
          <w:color w:val="auto"/>
        </w:rPr>
      </w:pPr>
    </w:p>
    <w:p>
      <w:pPr>
        <w:ind w:right="240"/>
        <w:spacing w:after="0" w:line="208" w:lineRule="auto"/>
        <w:rPr>
          <w:sz w:val="20"/>
          <w:szCs w:val="20"/>
          <w:color w:val="auto"/>
        </w:rPr>
      </w:pPr>
      <w:r>
        <w:rPr>
          <w:rFonts w:ascii="Arial" w:cs="Arial" w:eastAsia="Arial" w:hAnsi="Arial"/>
          <w:sz w:val="18"/>
          <w:szCs w:val="18"/>
          <w:color w:val="auto"/>
        </w:rPr>
        <w:t>on pricing models developed primarily from historical information and the expected relationship with quoted market prices.</w:t>
      </w:r>
    </w:p>
    <w:p>
      <w:pPr>
        <w:spacing w:after="0" w:line="2" w:lineRule="exact"/>
        <w:rPr>
          <w:sz w:val="20"/>
          <w:szCs w:val="20"/>
          <w:color w:val="auto"/>
        </w:rPr>
      </w:pPr>
    </w:p>
    <w:p>
      <w:pPr>
        <w:ind w:right="220"/>
        <w:spacing w:after="0" w:line="208" w:lineRule="auto"/>
        <w:rPr>
          <w:sz w:val="20"/>
          <w:szCs w:val="20"/>
          <w:color w:val="auto"/>
        </w:rPr>
      </w:pPr>
      <w:r>
        <w:rPr>
          <w:rFonts w:ascii="Arial" w:cs="Arial" w:eastAsia="Arial" w:hAnsi="Arial"/>
          <w:sz w:val="18"/>
          <w:szCs w:val="18"/>
          <w:color w:val="auto"/>
        </w:rPr>
        <w:t>Measurement of the fair value of our derivatives also requires the assessment of certain risks related to non-performance,</w:t>
      </w:r>
    </w:p>
    <w:p>
      <w:pPr>
        <w:spacing w:after="0" w:line="2" w:lineRule="exact"/>
        <w:rPr>
          <w:sz w:val="20"/>
          <w:szCs w:val="20"/>
          <w:color w:val="auto"/>
        </w:rPr>
      </w:pPr>
    </w:p>
    <w:p>
      <w:pPr>
        <w:ind w:right="660"/>
        <w:spacing w:after="0" w:line="229" w:lineRule="auto"/>
        <w:rPr>
          <w:sz w:val="20"/>
          <w:szCs w:val="20"/>
          <w:color w:val="auto"/>
        </w:rPr>
      </w:pPr>
      <w:r>
        <w:rPr>
          <w:rFonts w:ascii="Arial" w:cs="Arial" w:eastAsia="Arial" w:hAnsi="Arial"/>
          <w:sz w:val="18"/>
          <w:szCs w:val="18"/>
          <w:color w:val="auto"/>
        </w:rPr>
        <w:t>which requires a significant amount of judgment.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is involved in assessing</w:t>
      </w:r>
    </w:p>
    <w:p>
      <w:pPr>
        <w:spacing w:after="0" w:line="208" w:lineRule="auto"/>
        <w:rPr>
          <w:sz w:val="20"/>
          <w:szCs w:val="20"/>
          <w:color w:val="auto"/>
        </w:rPr>
      </w:pPr>
      <w:r>
        <w:rPr>
          <w:rFonts w:ascii="Arial" w:cs="Arial" w:eastAsia="Arial" w:hAnsi="Arial"/>
          <w:sz w:val="18"/>
          <w:szCs w:val="18"/>
          <w:color w:val="auto"/>
        </w:rPr>
        <w:t>if the contracts are indexed to our own stock and if the contracts shall be classified as equity or liabilities in our statement of financial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40"/>
        <w:spacing w:after="0" w:line="224" w:lineRule="auto"/>
        <w:rPr>
          <w:sz w:val="20"/>
          <w:szCs w:val="20"/>
          <w:color w:val="auto"/>
        </w:rPr>
      </w:pPr>
      <w:r>
        <w:rPr>
          <w:rFonts w:ascii="Arial" w:cs="Arial" w:eastAsia="Arial" w:hAnsi="Arial"/>
          <w:sz w:val="17"/>
          <w:szCs w:val="17"/>
          <w:color w:val="auto"/>
        </w:rPr>
        <w:t>While we currently believe that our derivative contracts will be effective in mitigating the</w:t>
      </w:r>
    </w:p>
    <w:p>
      <w:pPr>
        <w:ind w:right="240"/>
        <w:spacing w:after="0" w:line="221" w:lineRule="auto"/>
        <w:rPr>
          <w:sz w:val="20"/>
          <w:szCs w:val="20"/>
          <w:color w:val="auto"/>
        </w:rPr>
      </w:pPr>
      <w:r>
        <w:rPr>
          <w:rFonts w:ascii="Arial" w:cs="Arial" w:eastAsia="Arial" w:hAnsi="Arial"/>
          <w:sz w:val="17"/>
          <w:szCs w:val="17"/>
          <w:color w:val="auto"/>
        </w:rPr>
        <w:t>associated price risks, it is possible that our derivative instruments will be ineffective at mitigating material changes in prices, which</w:t>
      </w:r>
    </w:p>
    <w:p>
      <w:pPr>
        <w:ind w:right="40"/>
        <w:spacing w:after="0" w:line="221" w:lineRule="auto"/>
        <w:rPr>
          <w:sz w:val="20"/>
          <w:szCs w:val="20"/>
          <w:color w:val="auto"/>
        </w:rPr>
      </w:pPr>
      <w:r>
        <w:rPr>
          <w:rFonts w:ascii="Arial" w:cs="Arial" w:eastAsia="Arial" w:hAnsi="Arial"/>
          <w:sz w:val="17"/>
          <w:szCs w:val="17"/>
          <w:color w:val="auto"/>
        </w:rPr>
        <w:t>could have an adverse impact on our financial position and results of operations. If our estimates of fair value are inaccurate, we may</w:t>
      </w:r>
    </w:p>
    <w:p>
      <w:pPr>
        <w:ind w:right="40"/>
        <w:spacing w:after="0" w:line="208" w:lineRule="auto"/>
        <w:rPr>
          <w:sz w:val="20"/>
          <w:szCs w:val="20"/>
          <w:color w:val="auto"/>
        </w:rPr>
      </w:pPr>
      <w:r>
        <w:rPr>
          <w:rFonts w:ascii="Arial" w:cs="Arial" w:eastAsia="Arial" w:hAnsi="Arial"/>
          <w:sz w:val="18"/>
          <w:szCs w:val="18"/>
          <w:color w:val="auto"/>
        </w:rPr>
        <w:t>be exposed to losses or gains that could be material. If contracts indexed to our own stock are derivatives or contain embedded</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7"/>
          <w:szCs w:val="17"/>
          <w:color w:val="auto"/>
        </w:rPr>
        <w:t>derivatives, they would be classified as a liability and remeasured to fair value through net income impacting future earnings. See</w:t>
      </w:r>
    </w:p>
    <w:p>
      <w:pPr>
        <w:ind w:right="80"/>
        <w:spacing w:after="0" w:line="221" w:lineRule="auto"/>
        <w:rPr>
          <w:sz w:val="20"/>
          <w:szCs w:val="20"/>
          <w:color w:val="auto"/>
        </w:rPr>
      </w:pPr>
      <w:r>
        <w:rPr>
          <w:rFonts w:ascii="Arial" w:cs="Arial" w:eastAsia="Arial" w:hAnsi="Arial"/>
          <w:sz w:val="18"/>
          <w:szCs w:val="18"/>
          <w:color w:val="auto"/>
        </w:rPr>
        <w:t>Item 7A. – Quantitative and Qualitative Disclosures About Market Risks for additional information.</w:t>
      </w:r>
    </w:p>
    <w:p>
      <w:pPr>
        <w:spacing w:after="0" w:line="618" w:lineRule="exact"/>
        <w:rPr>
          <w:sz w:val="20"/>
          <w:szCs w:val="20"/>
          <w:color w:val="auto"/>
        </w:rPr>
      </w:pPr>
    </w:p>
    <w:p>
      <w:pPr>
        <w:sectPr>
          <w:pgSz w:w="11900" w:h="16838" w:orient="portrait"/>
          <w:cols w:equalWidth="0" w:num="3">
            <w:col w:w="3500" w:space="180"/>
            <w:col w:w="3680" w:space="180"/>
            <w:col w:w="3700"/>
          </w:cols>
          <w:pgMar w:left="320" w:top="121" w:right="3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Financial Instruments Market Risk</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commodity-based derivative contracts and financial instruments, when we deem it appropriate, to manage the risks associated with changes in the prices of fuel and fuel-related products, fluctuations in foreign currency exchange rates and interest rates, or to capture market opportunities. We utilize hedge accounting and formally designate certain of our derivative instruments as either cash flow or fair value hedges. Derivative instruments that are not designated are designed to achieve an economic offset of the underlying price risk exposure. As a result, any changes in income associated with our derivatives contracts are substantially offset by corresponding changes in the value of the underlying risk being mitigated. However, in markets where the derivative instruments with longer maturities are automatically replaced by equivalent positions with shorter maturities, we may experience timing differences between the realized and unrealized gain or loss of the underlying transaction and hedged item although the underlying risk being mitigated is still offset. Financial instruments and positions affecting our financial statements are described below and are held primarily for hedging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commercial business segments use derivative instruments, primarily futures, forward, swap, and options contracts, in various markets to manage price risk inherent in the purchase and sale of fuel. Certain of these derivative instruments are utilized to mitigate the risk of price volatility in forecasted transactions in a cash flow hedge relationship and to mitigate the risk of changes in the price of our inventory in a fair value hedge relationship. In addition, we use derivatives as economic hedges or to optimize the value of our fuel inventory to capitalize on anticipated market opportunities.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notional and fair market values of our commodity-based derivative instrument positions were as follows (in millions, except weighted average contract price):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20" w:type="dxa"/>
            <w:vAlign w:val="bottom"/>
            <w:gridSpan w:val="6"/>
          </w:tcPr>
          <w:p>
            <w:pPr>
              <w:ind w:left="940"/>
              <w:spacing w:after="0"/>
              <w:rPr>
                <w:sz w:val="20"/>
                <w:szCs w:val="20"/>
                <w:color w:val="auto"/>
              </w:rPr>
            </w:pPr>
            <w:r>
              <w:rPr>
                <w:rFonts w:ascii="Arial" w:cs="Arial" w:eastAsia="Arial" w:hAnsi="Arial"/>
                <w:sz w:val="14"/>
                <w:szCs w:val="14"/>
                <w:b w:val="1"/>
                <w:bCs w:val="1"/>
                <w:color w:val="auto"/>
              </w:rPr>
              <w:t>Commodity Contracts (In millions of BBL)</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319"/>
              <w:spacing w:after="0" w:line="147" w:lineRule="exact"/>
              <w:rPr>
                <w:sz w:val="20"/>
                <w:szCs w:val="20"/>
                <w:color w:val="auto"/>
              </w:rPr>
            </w:pPr>
            <w:r>
              <w:rPr>
                <w:rFonts w:ascii="Arial" w:cs="Arial" w:eastAsia="Arial" w:hAnsi="Arial"/>
                <w:sz w:val="14"/>
                <w:szCs w:val="14"/>
                <w:b w:val="1"/>
                <w:bCs w:val="1"/>
                <w:color w:val="auto"/>
              </w:rPr>
              <w:t>Weighted</w:t>
            </w:r>
          </w:p>
        </w:tc>
        <w:tc>
          <w:tcPr>
            <w:tcW w:w="82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1080" w:type="dxa"/>
            <w:vAlign w:val="bottom"/>
            <w:tcBorders>
              <w:top w:val="single" w:sz="8" w:color="auto"/>
            </w:tcBorders>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Weighted</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14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w:t>
            </w:r>
          </w:p>
        </w:tc>
        <w:tc>
          <w:tcPr>
            <w:tcW w:w="10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1120" w:type="dxa"/>
            <w:vAlign w:val="bottom"/>
            <w:gridSpan w:val="3"/>
          </w:tcPr>
          <w:p>
            <w:pPr>
              <w:jc w:val="center"/>
              <w:ind w:right="319"/>
              <w:spacing w:after="0" w:line="145" w:lineRule="exact"/>
              <w:rPr>
                <w:sz w:val="20"/>
                <w:szCs w:val="20"/>
                <w:color w:val="auto"/>
              </w:rPr>
            </w:pPr>
            <w:r>
              <w:rPr>
                <w:rFonts w:ascii="Arial" w:cs="Arial" w:eastAsia="Arial" w:hAnsi="Arial"/>
                <w:sz w:val="14"/>
                <w:szCs w:val="14"/>
                <w:b w:val="1"/>
                <w:bCs w:val="1"/>
                <w:color w:val="auto"/>
              </w:rPr>
              <w:t>Average</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Hedge Strategy</w:t>
            </w:r>
          </w:p>
        </w:tc>
        <w:tc>
          <w:tcPr>
            <w:tcW w:w="100" w:type="dxa"/>
            <w:vAlign w:val="bottom"/>
            <w:vMerge w:val="restart"/>
          </w:tcPr>
          <w:p>
            <w:pPr>
              <w:spacing w:after="0"/>
              <w:rPr>
                <w:sz w:val="12"/>
                <w:szCs w:val="12"/>
                <w:color w:val="auto"/>
              </w:rPr>
            </w:pPr>
          </w:p>
        </w:tc>
        <w:tc>
          <w:tcPr>
            <w:tcW w:w="1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Derivative Instrument</w:t>
            </w:r>
          </w:p>
        </w:tc>
        <w:tc>
          <w:tcPr>
            <w:tcW w:w="10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2"/>
                <w:szCs w:val="12"/>
                <w:color w:val="auto"/>
              </w:rPr>
            </w:pPr>
          </w:p>
        </w:tc>
        <w:tc>
          <w:tcPr>
            <w:tcW w:w="1120" w:type="dxa"/>
            <w:vAlign w:val="bottom"/>
            <w:gridSpan w:val="3"/>
          </w:tcPr>
          <w:p>
            <w:pPr>
              <w:jc w:val="center"/>
              <w:ind w:right="339"/>
              <w:spacing w:after="0" w:line="149" w:lineRule="exact"/>
              <w:rPr>
                <w:sz w:val="20"/>
                <w:szCs w:val="20"/>
                <w:color w:val="auto"/>
              </w:rPr>
            </w:pPr>
            <w:r>
              <w:rPr>
                <w:rFonts w:ascii="Arial" w:cs="Arial" w:eastAsia="Arial" w:hAnsi="Arial"/>
                <w:sz w:val="14"/>
                <w:szCs w:val="14"/>
                <w:b w:val="1"/>
                <w:bCs w:val="1"/>
                <w:color w:val="auto"/>
              </w:rPr>
              <w:t>Contract</w:t>
            </w:r>
          </w:p>
        </w:tc>
        <w:tc>
          <w:tcPr>
            <w:tcW w:w="8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2"/>
                <w:szCs w:val="12"/>
                <w:color w:val="auto"/>
              </w:rPr>
            </w:pPr>
          </w:p>
        </w:tc>
        <w:tc>
          <w:tcPr>
            <w:tcW w:w="8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9"/>
        </w:trPr>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Period</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Price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Price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56"/>
        </w:trPr>
        <w:tc>
          <w:tcPr>
            <w:tcW w:w="16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Designated hedge</w:t>
            </w:r>
          </w:p>
        </w:tc>
        <w:tc>
          <w:tcPr>
            <w:tcW w:w="19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Commodity contracts</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94.97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1640" w:type="dxa"/>
            <w:vAlign w:val="bottom"/>
            <w:gridSpan w:val="2"/>
            <w:vMerge w:val="continue"/>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hedging inventory</w:t>
            </w: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93.74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105.07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51"/>
        </w:trPr>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6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Non-designated</w:t>
            </w:r>
          </w:p>
        </w:tc>
        <w:tc>
          <w:tcPr>
            <w:tcW w:w="20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Commodity contracts</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hedge</w:t>
            </w:r>
          </w:p>
        </w:tc>
        <w:tc>
          <w:tcPr>
            <w:tcW w:w="200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77.4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2027</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2029</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1060" w:type="dxa"/>
            <w:vAlign w:val="bottom"/>
            <w:gridSpan w:val="2"/>
          </w:tcPr>
          <w:p>
            <w:pPr>
              <w:jc w:val="right"/>
              <w:ind w:right="6"/>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Thereafter</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93.5</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35"/>
        </w:trPr>
        <w:tc>
          <w:tcPr>
            <w:tcW w:w="36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commodity derivative contracts</w:t>
            </w: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88.9</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hedge our exposure to currency exchange rate changes, such as foreign-currency-denominated trade receivables, payables, or local currency tax payments. The foreign currency exchange rate risk results primarily from our international operations and is economically hedged using forward and swap contracts. The changes in the fair value of these foreign currency exchange derivatives are recorded in earnings. Since the gains or losses on the forward and swap contracts are substantially offset by the gains or losses from remeasuring the hedged foreign-currency-denominated exposure, we do not believe that a hypothetical 10% change in exchange rates at December 31, 2024 would have a material impact on our income from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the foreign currency denominated notional amounts and fair value in U.S. dollars of our exposures from our foreign currency exchange derivatives, were primarily related to the following (in millions, except weighted average contract price):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Settlement Period</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Unit</w:t>
            </w:r>
          </w:p>
        </w:tc>
        <w:tc>
          <w:tcPr>
            <w:tcW w:w="2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Notional</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Weighted Average</w:t>
            </w:r>
          </w:p>
        </w:tc>
        <w:tc>
          <w:tcPr>
            <w:tcW w:w="200" w:type="dxa"/>
            <w:vAlign w:val="bottom"/>
          </w:tcPr>
          <w:p>
            <w:pPr>
              <w:spacing w:after="0"/>
              <w:rPr>
                <w:sz w:val="17"/>
                <w:szCs w:val="17"/>
                <w:color w:val="auto"/>
              </w:rPr>
            </w:pPr>
          </w:p>
        </w:tc>
        <w:tc>
          <w:tcPr>
            <w:tcW w:w="19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Fair Value Amount</w:t>
            </w:r>
          </w:p>
        </w:tc>
        <w:tc>
          <w:tcPr>
            <w:tcW w:w="0" w:type="dxa"/>
            <w:vAlign w:val="bottom"/>
          </w:tcPr>
          <w:p>
            <w:pPr>
              <w:spacing w:after="0"/>
              <w:rPr>
                <w:sz w:val="1"/>
                <w:szCs w:val="1"/>
                <w:color w:val="auto"/>
              </w:rPr>
            </w:pPr>
          </w:p>
        </w:tc>
      </w:tr>
      <w:tr>
        <w:trPr>
          <w:trHeight w:val="243"/>
        </w:trPr>
        <w:tc>
          <w:tcPr>
            <w:tcW w:w="2280" w:type="dxa"/>
            <w:vAlign w:val="bottom"/>
            <w:gridSpan w:val="2"/>
            <w:vMerge w:val="continue"/>
          </w:tcPr>
          <w:p>
            <w:pPr>
              <w:spacing w:after="0"/>
              <w:rPr>
                <w:sz w:val="21"/>
                <w:szCs w:val="21"/>
                <w:color w:val="auto"/>
              </w:rPr>
            </w:pPr>
          </w:p>
        </w:tc>
        <w:tc>
          <w:tcPr>
            <w:tcW w:w="2160" w:type="dxa"/>
            <w:vAlign w:val="bottom"/>
            <w:gridSpan w:val="2"/>
            <w:vMerge w:val="continue"/>
          </w:tcPr>
          <w:p>
            <w:pPr>
              <w:spacing w:after="0"/>
              <w:rPr>
                <w:sz w:val="21"/>
                <w:szCs w:val="21"/>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Net Long/(Short)</w:t>
            </w: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Contract Price</w:t>
            </w:r>
          </w:p>
        </w:tc>
        <w:tc>
          <w:tcPr>
            <w:tcW w:w="200" w:type="dxa"/>
            <w:vAlign w:val="bottom"/>
          </w:tcPr>
          <w:p>
            <w:pPr>
              <w:spacing w:after="0"/>
              <w:rPr>
                <w:sz w:val="21"/>
                <w:szCs w:val="21"/>
                <w:color w:val="auto"/>
              </w:rPr>
            </w:pP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AUD</w:t>
            </w:r>
          </w:p>
        </w:tc>
        <w:tc>
          <w:tcPr>
            <w:tcW w:w="14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0.667</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center"/>
              <w:ind w:left="1490"/>
              <w:spacing w:after="0"/>
              <w:rPr>
                <w:sz w:val="20"/>
                <w:szCs w:val="20"/>
                <w:color w:val="auto"/>
              </w:rPr>
            </w:pPr>
            <w:r>
              <w:rPr>
                <w:rFonts w:ascii="Arial" w:cs="Arial" w:eastAsia="Arial" w:hAnsi="Arial"/>
                <w:sz w:val="18"/>
                <w:szCs w:val="18"/>
                <w:color w:val="auto"/>
                <w:w w:val="95"/>
              </w:rPr>
              <w:t>0.5</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CAD</w:t>
            </w:r>
          </w:p>
        </w:tc>
        <w:tc>
          <w:tcPr>
            <w:tcW w:w="2160" w:type="dxa"/>
            <w:vAlign w:val="bottom"/>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90"/>
              <w:spacing w:after="0"/>
              <w:rPr>
                <w:sz w:val="20"/>
                <w:szCs w:val="20"/>
                <w:color w:val="auto"/>
              </w:rPr>
            </w:pPr>
            <w:r>
              <w:rPr>
                <w:rFonts w:ascii="Arial" w:cs="Arial" w:eastAsia="Arial" w:hAnsi="Arial"/>
                <w:sz w:val="18"/>
                <w:szCs w:val="18"/>
                <w:color w:val="auto"/>
                <w:w w:val="95"/>
              </w:rPr>
              <w:t>3.0</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CHF</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CLP</w:t>
            </w:r>
          </w:p>
        </w:tc>
        <w:tc>
          <w:tcPr>
            <w:tcW w:w="2160" w:type="dxa"/>
            <w:vAlign w:val="bottom"/>
          </w:tcPr>
          <w:p>
            <w:pPr>
              <w:jc w:val="right"/>
              <w:spacing w:after="0"/>
              <w:rPr>
                <w:sz w:val="20"/>
                <w:szCs w:val="20"/>
                <w:color w:val="auto"/>
              </w:rPr>
            </w:pPr>
            <w:r>
              <w:rPr>
                <w:rFonts w:ascii="Arial" w:cs="Arial" w:eastAsia="Arial" w:hAnsi="Arial"/>
                <w:sz w:val="18"/>
                <w:szCs w:val="18"/>
                <w:color w:val="auto"/>
              </w:rPr>
              <w:t>1,507.2</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967.914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90"/>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COP</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(94,759.5)</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4,352.445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CZK</w:t>
            </w:r>
          </w:p>
        </w:tc>
        <w:tc>
          <w:tcPr>
            <w:tcW w:w="2160" w:type="dxa"/>
            <w:vAlign w:val="bottom"/>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23.070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9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DKK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EUR</w:t>
            </w:r>
          </w:p>
        </w:tc>
        <w:tc>
          <w:tcPr>
            <w:tcW w:w="216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1.074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GBP</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HUF</w:t>
            </w:r>
          </w:p>
        </w:tc>
        <w:tc>
          <w:tcPr>
            <w:tcW w:w="2160" w:type="dxa"/>
            <w:vAlign w:val="bottom"/>
          </w:tcPr>
          <w:p>
            <w:pPr>
              <w:jc w:val="right"/>
              <w:spacing w:after="0"/>
              <w:rPr>
                <w:sz w:val="20"/>
                <w:szCs w:val="20"/>
                <w:color w:val="auto"/>
              </w:rPr>
            </w:pPr>
            <w:r>
              <w:rPr>
                <w:rFonts w:ascii="Arial" w:cs="Arial" w:eastAsia="Arial" w:hAnsi="Arial"/>
                <w:sz w:val="18"/>
                <w:szCs w:val="18"/>
                <w:color w:val="auto"/>
              </w:rPr>
              <w:t>890.5</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373.191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JPY</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KRW</w:t>
            </w:r>
          </w:p>
        </w:tc>
        <w:tc>
          <w:tcPr>
            <w:tcW w:w="2160" w:type="dxa"/>
            <w:vAlign w:val="bottom"/>
          </w:tcPr>
          <w:p>
            <w:pPr>
              <w:jc w:val="right"/>
              <w:spacing w:after="0"/>
              <w:rPr>
                <w:sz w:val="20"/>
                <w:szCs w:val="20"/>
                <w:color w:val="auto"/>
              </w:rPr>
            </w:pPr>
            <w:r>
              <w:rPr>
                <w:rFonts w:ascii="Arial" w:cs="Arial" w:eastAsia="Arial" w:hAnsi="Arial"/>
                <w:sz w:val="18"/>
                <w:szCs w:val="18"/>
                <w:color w:val="auto"/>
              </w:rPr>
              <w:t>(42,915.4)</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1,362.129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90"/>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MXN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NOK</w:t>
            </w:r>
          </w:p>
        </w:tc>
        <w:tc>
          <w:tcPr>
            <w:tcW w:w="2160" w:type="dxa"/>
            <w:vAlign w:val="bottom"/>
          </w:tcPr>
          <w:p>
            <w:pPr>
              <w:jc w:val="right"/>
              <w:spacing w:after="0"/>
              <w:rPr>
                <w:sz w:val="20"/>
                <w:szCs w:val="20"/>
                <w:color w:val="auto"/>
              </w:rPr>
            </w:pPr>
            <w:r>
              <w:rPr>
                <w:rFonts w:ascii="Arial" w:cs="Arial" w:eastAsia="Arial" w:hAnsi="Arial"/>
                <w:sz w:val="18"/>
                <w:szCs w:val="18"/>
                <w:color w:val="auto"/>
              </w:rPr>
              <w:t>(508.1)</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10.780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90"/>
              <w:spacing w:after="0"/>
              <w:rPr>
                <w:sz w:val="20"/>
                <w:szCs w:val="20"/>
                <w:color w:val="auto"/>
              </w:rPr>
            </w:pPr>
            <w:r>
              <w:rPr>
                <w:rFonts w:ascii="Arial" w:cs="Arial" w:eastAsia="Arial" w:hAnsi="Arial"/>
                <w:sz w:val="18"/>
                <w:szCs w:val="18"/>
                <w:color w:val="auto"/>
                <w:w w:val="95"/>
              </w:rPr>
              <w:t>4.0</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NZD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PLN</w:t>
            </w:r>
          </w:p>
        </w:tc>
        <w:tc>
          <w:tcPr>
            <w:tcW w:w="216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3.935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9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RON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0.4</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SEK</w:t>
            </w:r>
          </w:p>
        </w:tc>
        <w:tc>
          <w:tcPr>
            <w:tcW w:w="2160" w:type="dxa"/>
            <w:vAlign w:val="bottom"/>
          </w:tcPr>
          <w:p>
            <w:pPr>
              <w:jc w:val="right"/>
              <w:spacing w:after="0"/>
              <w:rPr>
                <w:sz w:val="20"/>
                <w:szCs w:val="20"/>
                <w:color w:val="auto"/>
              </w:rPr>
            </w:pPr>
            <w:r>
              <w:rPr>
                <w:rFonts w:ascii="Arial" w:cs="Arial" w:eastAsia="Arial" w:hAnsi="Arial"/>
                <w:sz w:val="18"/>
                <w:szCs w:val="18"/>
                <w:color w:val="auto"/>
              </w:rPr>
              <w:t>(515.3)</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9.519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90"/>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SGD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ZAR</w:t>
            </w:r>
          </w:p>
        </w:tc>
        <w:tc>
          <w:tcPr>
            <w:tcW w:w="2160" w:type="dxa"/>
            <w:vAlign w:val="bottom"/>
          </w:tcPr>
          <w:p>
            <w:pPr>
              <w:jc w:val="right"/>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17.810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EUR</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4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440" w:type="dxa"/>
            <w:vAlign w:val="bottom"/>
            <w:gridSpan w:val="4"/>
          </w:tcPr>
          <w:p>
            <w:pPr>
              <w:ind w:left="20"/>
              <w:spacing w:after="0"/>
              <w:rPr>
                <w:sz w:val="20"/>
                <w:szCs w:val="20"/>
                <w:color w:val="auto"/>
              </w:rPr>
            </w:pPr>
            <w:r>
              <w:rPr>
                <w:rFonts w:ascii="Arial" w:cs="Arial" w:eastAsia="Arial" w:hAnsi="Arial"/>
                <w:sz w:val="18"/>
                <w:szCs w:val="18"/>
                <w:color w:val="auto"/>
              </w:rPr>
              <w:t>Total foreign currency exchange derivative contracts</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color w:val="auto"/>
                <w:w w:val="95"/>
              </w:rPr>
              <w:t>6.2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total fair value of our foreign currency exchange derivative contracts was a net asset of $6.2 million and a net asset of $5.5 million as of December 31, 2024 and 2023, respectively. The majority of foreign currency exchange derivatives are settled within one year. See Note 4. Derivative Instruments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Borrowings under our Credit Facility and Term Loan related to base rate loans or Eurodollar rate loans bear floating interest rates plus applicable margins. As of December 31, 2024, the applicable margins for base rate loans and Eurodollar rate loans were 0.875% and 1.875%, respectively, and we had a $455.3 million Term Loan and no outstanding borrowings under our Credit Facility. The aggregate outstanding balance of our finance lease obligations was $29.9 million as of December 31, 2024, which bear interest at annual rates ranging from 2.6% to 7.2%. We also have other agreements, such as our RPAs, with exposure to interest rate risk. See Note 2. Accounts Receivable and Note 8. Debt, Interest Income, Expense, and Other Finance Costs for additional information.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entered into a $300 million, one-month Eurodollar, floating-for-fixed interest rate non-amortizing swap with a maturity date in March 2025 (the "Swap"). The Swap agreement effectively locks in the floating interest rate we will pay for a portion of our Eurodollar rate loans at 0.435%. The fair value of the interest rate swap contract was an asset of $2.9 million and an asset of $14.8 million as of December 31, 2024 and 2023, respectively.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contractual weighted average interest rates and expected cash flows by maturity dates (in millions, except weighted average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Expected Maturities as of 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Interest Rate Swap</w:t>
            </w:r>
          </w:p>
        </w:tc>
        <w:tc>
          <w:tcPr>
            <w:tcW w:w="5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Notional Value: $300</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Variable to Fixed</w:t>
            </w:r>
            <w:r>
              <w:rPr>
                <w:rFonts w:ascii="Arial" w:cs="Arial" w:eastAsia="Arial" w:hAnsi="Arial"/>
                <w:sz w:val="23"/>
                <w:szCs w:val="23"/>
                <w:color w:val="auto"/>
                <w:vertAlign w:val="superscript"/>
              </w:rPr>
              <w:t>(1)</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6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Average pay rate</w:t>
            </w:r>
          </w:p>
        </w:tc>
        <w:tc>
          <w:tcPr>
            <w:tcW w:w="5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0.435 %</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9"/>
        </w:trPr>
        <w:tc>
          <w:tcPr>
            <w:tcW w:w="6620" w:type="dxa"/>
            <w:vAlign w:val="bottom"/>
            <w:gridSpan w:val="2"/>
          </w:tcPr>
          <w:p>
            <w:pPr>
              <w:ind w:left="240"/>
              <w:spacing w:after="0"/>
              <w:rPr>
                <w:sz w:val="20"/>
                <w:szCs w:val="20"/>
                <w:color w:val="auto"/>
              </w:rPr>
            </w:pPr>
            <w:r>
              <w:rPr>
                <w:rFonts w:ascii="Arial" w:cs="Arial" w:eastAsia="Arial" w:hAnsi="Arial"/>
                <w:sz w:val="18"/>
                <w:szCs w:val="18"/>
                <w:color w:val="auto"/>
              </w:rPr>
              <w:t>Average receive rate</w:t>
            </w:r>
          </w:p>
        </w:tc>
        <w:tc>
          <w:tcPr>
            <w:tcW w:w="5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4.30 %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162"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discounted net cash flow receipts or (payments).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fluctuation of 100 bps in the interest rate as of December 31, 2024 would result in a $10.4 million change in interest expense during the next twelve months with respect to the outstanding amounts as of December 31, 2024 under these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our outstanding Convertible Notes is subject to market risk and other factors due to the convertible feature. The fair value of the Convertible Notes will generally increase as our common stock price increases and will generally decrease as our common stock price declines in value. The Convertible Notes are carried at amortized cost and their fair value is presented for disclosure purposes only. The interest and market value changes affect the fair value of our Convertible Notes, but do not impact our financial position, cash flows, or results of operations due to the fixed nature of the debt obligation.</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conversion of the Convertible Notes, we have the option to pay or deliver, as the case may be, cash, shares of our common stock or a combination of cash and shares of our common stock in respect of the portion, if any, of our conversion obligation in excess of the aggregate principal amount of the notes being converted. If we elect to settle the portion, if any, of our conversion obligation in excess of the aggregate principal amount of the Convertible Notes being converted in shares of our common stock or a combination of cash and shares of our common stock, any sales in the public market of our common stock issuable upon such conversion could adversely affect prevailing market prices of our common stock.</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pricing of the Convertible Notes, we entered into convertible note hedge transactions with certain of the initial purchasers or affiliates thereof and certain other financial institutions. We also entered into warrant transactions. The convertible note hedge transactions are expected generally to reduce the potential dilution upon conversion of the notes and/or offset any cash payments we are required to make in excess of the principal amount of converted notes, as the case may be. However, the warrant transactions could separately have a dilutive effect on our common stock to the extent that the market price per share of our common stock exceeds the strike price of the warrants. See Note 8. Debt, Interest Income, Expense, and Other Finance Costs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6"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The financial statements, together with the report thereon of PricewaterhouseCoopers LLP dated February 25, 2025, are set forth in Item 15 of this 2024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and communicated to our management, including our Chief Executive Officer ("CEO") and our Chief Financial Officer ("CFO"), as appropriate, to allow timely decisions regarding required financial disclosure.</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the end of the period covered by this 2024 10-K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December 31,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 xml:space="preserve"> 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 w:lineRule="exact"/>
        <w:rPr>
          <w:rFonts w:ascii="Arial" w:cs="Arial" w:eastAsia="Arial" w:hAnsi="Arial"/>
          <w:sz w:val="17"/>
          <w:szCs w:val="17"/>
          <w:color w:val="auto"/>
        </w:rPr>
      </w:pPr>
    </w:p>
    <w:p>
      <w:pPr>
        <w:jc w:val="both"/>
        <w:ind w:firstLine="8"/>
        <w:spacing w:after="0" w:line="255" w:lineRule="auto"/>
        <w:tabs>
          <w:tab w:leader="none" w:pos="2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2024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2024.</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2024 has been audited by PricewaterhouseCoopers LLP, an independent registered public accounting firm, as stated in their report appearing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Internal Control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three months ended December 31, 2024, none of our officers (as defined in Rule 16a-1(f) of the Exchange Act) or directors adopted or terminated a "Rule 10b5-1 trading arrangement" or "non-Rule 10b5-1 trading arrangement," as each term is defined in Item 408(a) of Regulation S-K.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Investor Relations website at ir.worldkinect.com under "Corporate Governance." We intend to disclose any amendments to our Code of Conduct or waivers with respect to our Code of Conduct granted to our principal executive, financial and accounting officers on our website.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adopted an insider trading policy applicable to our directors, officers and employees, governing the purchase, sale, and other dispositions of our securities. We believe our insider trading policies and procedures are reasonably designed to promote compliance with insider trading laws, rules, and regulations and listing standards applicable to the Company. A copy of our insider trading policy is filed as Exhibit 19.1 to this 2024 Form 10-K.</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"Proposal No. 1--Election of Directors," "Corporate Governance" and "Information Concerning Executive Officers" in our Definitive Proxy Statement for the 2025 Annual Meeting of Shareholders ("2025 Proxy") to be filed pursuant to Regulation 14A within 120 days after the close of the fiscal year ended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on executive compensation is incorporated herein by reference from "Corporate Governance--Director Compensation and Ownership Guidelines," "Compensation Discussion and Analysis," and "Executive Compensation Tables" in our 2025 Proxy to be filed pursuant to Regulation 14A within 120 days after the close of the fiscal year ended December 31, 2024.</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"Security Ownership of Certain Beneficial Owners and Management" in our 2025 Proxy to be filed pursuant to Regulation 14A within 120 days after the close of the fiscal year ended December 31, 2024.</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"Corporate Governance--Review and Approval of Related Person Transactions" and "Corporate Governance--Board and Committee Governance-- Director Independence" in our 2025 Proxy to be filed pursuant to Regulation 14A within 120 days after the close of the fiscal year ended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Information on principal accounting fees and services is incorporated herein by reference from "Proposal No. 3--Ratification of Independent Registered Public Accounting Firm--Fees and Services of PricewaterhouseCoopers LLP" in our 2025 Proxy to be filed pursuant to Regulation 14A within 120 days after the close of the fiscal year ended December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 and Financial Statement Schedules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820" w:type="dxa"/>
            <w:vAlign w:val="bottom"/>
          </w:tcPr>
          <w:p>
            <w:pPr>
              <w:spacing w:after="0"/>
              <w:rPr>
                <w:sz w:val="20"/>
                <w:szCs w:val="20"/>
                <w:color w:val="auto"/>
              </w:rPr>
            </w:pPr>
            <w:r>
              <w:rPr>
                <w:rFonts w:ascii="Arial" w:cs="Arial" w:eastAsia="Arial" w:hAnsi="Arial"/>
                <w:sz w:val="18"/>
                <w:szCs w:val="18"/>
                <w:color w:val="auto"/>
              </w:rPr>
              <w:t>(a)(1)</w:t>
            </w:r>
          </w:p>
        </w:tc>
        <w:tc>
          <w:tcPr>
            <w:tcW w:w="9800" w:type="dxa"/>
            <w:vAlign w:val="bottom"/>
            <w:gridSpan w:val="10"/>
          </w:tcPr>
          <w:p>
            <w:pPr>
              <w:spacing w:after="0" w:line="207" w:lineRule="exact"/>
              <w:rPr>
                <w:sz w:val="20"/>
                <w:szCs w:val="20"/>
                <w:color w:val="auto"/>
              </w:rPr>
            </w:pPr>
            <w:r>
              <w:rPr>
                <w:rFonts w:ascii="Arial" w:cs="Arial" w:eastAsia="Arial" w:hAnsi="Arial"/>
                <w:sz w:val="18"/>
                <w:szCs w:val="18"/>
                <w:color w:val="auto"/>
              </w:rPr>
              <w:t>The following Consolidated Financial Statements are filed as a part of this 2024 10</w:t>
            </w:r>
            <w:r>
              <w:rPr>
                <w:rFonts w:ascii="MS PGothic" w:cs="MS PGothic" w:eastAsia="MS PGothic" w:hAnsi="MS PGothic"/>
                <w:sz w:val="18"/>
                <w:szCs w:val="18"/>
                <w:color w:val="auto"/>
              </w:rPr>
              <w:t>‑</w:t>
            </w:r>
            <w:r>
              <w:rPr>
                <w:rFonts w:ascii="Arial" w:cs="Arial" w:eastAsia="Arial" w:hAnsi="Arial"/>
                <w:sz w:val="18"/>
                <w:szCs w:val="18"/>
                <w:color w:val="auto"/>
              </w:rPr>
              <w:t>K Report:</w:t>
            </w:r>
          </w:p>
        </w:tc>
        <w:tc>
          <w:tcPr>
            <w:tcW w:w="340" w:type="dxa"/>
            <w:vAlign w:val="bottom"/>
          </w:tcPr>
          <w:p>
            <w:pPr>
              <w:spacing w:after="0"/>
              <w:rPr>
                <w:sz w:val="24"/>
                <w:szCs w:val="24"/>
                <w:color w:val="auto"/>
              </w:rPr>
            </w:pPr>
          </w:p>
        </w:tc>
      </w:tr>
      <w:tr>
        <w:trPr>
          <w:trHeight w:val="215"/>
        </w:trPr>
        <w:tc>
          <w:tcPr>
            <w:tcW w:w="8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99"/>
              </w:rPr>
              <w:t>(i)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340" w:type="dxa"/>
            <w:vAlign w:val="bottom"/>
          </w:tcPr>
          <w:p>
            <w:pPr>
              <w:jc w:val="right"/>
              <w:spacing w:after="0"/>
              <w:rPr>
                <w:sz w:val="20"/>
                <w:szCs w:val="20"/>
                <w:color w:val="auto"/>
              </w:rPr>
            </w:pPr>
            <w:r>
              <w:rPr>
                <w:rFonts w:ascii="Arial" w:cs="Arial" w:eastAsia="Arial" w:hAnsi="Arial"/>
                <w:sz w:val="18"/>
                <w:szCs w:val="18"/>
                <w:color w:val="0000FF"/>
              </w:rPr>
              <w:t>44</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79"/>
              </w:rPr>
              <w:t>(ii)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Balance Sheets</w:t>
            </w:r>
          </w:p>
        </w:tc>
        <w:tc>
          <w:tcPr>
            <w:tcW w:w="340" w:type="dxa"/>
            <w:vAlign w:val="bottom"/>
          </w:tcPr>
          <w:p>
            <w:pPr>
              <w:jc w:val="right"/>
              <w:spacing w:after="0"/>
              <w:rPr>
                <w:sz w:val="20"/>
                <w:szCs w:val="20"/>
                <w:color w:val="auto"/>
              </w:rPr>
            </w:pPr>
            <w:r>
              <w:rPr>
                <w:rFonts w:ascii="Arial" w:cs="Arial" w:eastAsia="Arial" w:hAnsi="Arial"/>
                <w:sz w:val="18"/>
                <w:szCs w:val="18"/>
                <w:color w:val="0000FF"/>
              </w:rPr>
              <w:t>46</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0000FF"/>
                <w:w w:val="70"/>
              </w:rPr>
              <w:t>(iii)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Income and Comprehensive Income</w:t>
            </w:r>
          </w:p>
        </w:tc>
        <w:tc>
          <w:tcPr>
            <w:tcW w:w="340" w:type="dxa"/>
            <w:vAlign w:val="bottom"/>
          </w:tcPr>
          <w:p>
            <w:pPr>
              <w:jc w:val="right"/>
              <w:spacing w:after="0"/>
              <w:rPr>
                <w:sz w:val="20"/>
                <w:szCs w:val="20"/>
                <w:color w:val="auto"/>
              </w:rPr>
            </w:pPr>
            <w:r>
              <w:rPr>
                <w:rFonts w:ascii="Arial" w:cs="Arial" w:eastAsia="Arial" w:hAnsi="Arial"/>
                <w:sz w:val="18"/>
                <w:szCs w:val="18"/>
                <w:color w:val="0000FF"/>
              </w:rPr>
              <w:t>47</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0000FF"/>
                <w:w w:val="71"/>
              </w:rPr>
              <w:t>(iv)</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Shareholders’ Equity</w:t>
            </w:r>
          </w:p>
        </w:tc>
        <w:tc>
          <w:tcPr>
            <w:tcW w:w="340" w:type="dxa"/>
            <w:vAlign w:val="bottom"/>
          </w:tcPr>
          <w:p>
            <w:pPr>
              <w:jc w:val="right"/>
              <w:spacing w:after="0"/>
              <w:rPr>
                <w:sz w:val="20"/>
                <w:szCs w:val="20"/>
                <w:color w:val="auto"/>
              </w:rPr>
            </w:pPr>
            <w:r>
              <w:rPr>
                <w:rFonts w:ascii="Arial" w:cs="Arial" w:eastAsia="Arial" w:hAnsi="Arial"/>
                <w:sz w:val="18"/>
                <w:szCs w:val="18"/>
                <w:color w:val="0000FF"/>
              </w:rPr>
              <w:t>48</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75"/>
              </w:rPr>
              <w:t>(v)</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Cash Flows</w:t>
            </w:r>
          </w:p>
        </w:tc>
        <w:tc>
          <w:tcPr>
            <w:tcW w:w="340" w:type="dxa"/>
            <w:vAlign w:val="bottom"/>
          </w:tcPr>
          <w:p>
            <w:pPr>
              <w:jc w:val="right"/>
              <w:spacing w:after="0"/>
              <w:rPr>
                <w:sz w:val="20"/>
                <w:szCs w:val="20"/>
                <w:color w:val="auto"/>
              </w:rPr>
            </w:pPr>
            <w:r>
              <w:rPr>
                <w:rFonts w:ascii="Arial" w:cs="Arial" w:eastAsia="Arial" w:hAnsi="Arial"/>
                <w:sz w:val="18"/>
                <w:szCs w:val="18"/>
                <w:color w:val="0000FF"/>
              </w:rPr>
              <w:t>49</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0000FF"/>
                <w:w w:val="71"/>
              </w:rPr>
              <w:t>(vi)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Notes to the Consolidated Financial Statements</w:t>
            </w:r>
          </w:p>
        </w:tc>
        <w:tc>
          <w:tcPr>
            <w:tcW w:w="340" w:type="dxa"/>
            <w:vAlign w:val="bottom"/>
          </w:tcPr>
          <w:p>
            <w:pPr>
              <w:jc w:val="right"/>
              <w:spacing w:after="0"/>
              <w:rPr>
                <w:sz w:val="20"/>
                <w:szCs w:val="20"/>
                <w:color w:val="auto"/>
              </w:rPr>
            </w:pPr>
            <w:r>
              <w:rPr>
                <w:rFonts w:ascii="Arial" w:cs="Arial" w:eastAsia="Arial" w:hAnsi="Arial"/>
                <w:sz w:val="18"/>
                <w:szCs w:val="18"/>
                <w:color w:val="0000FF"/>
              </w:rPr>
              <w:t>51</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8"/>
        </w:trPr>
        <w:tc>
          <w:tcPr>
            <w:tcW w:w="820" w:type="dxa"/>
            <w:vAlign w:val="bottom"/>
          </w:tcPr>
          <w:p>
            <w:pPr>
              <w:spacing w:after="0"/>
              <w:rPr>
                <w:sz w:val="20"/>
                <w:szCs w:val="20"/>
                <w:color w:val="auto"/>
              </w:rPr>
            </w:pPr>
            <w:r>
              <w:rPr>
                <w:rFonts w:ascii="Arial" w:cs="Arial" w:eastAsia="Arial" w:hAnsi="Arial"/>
                <w:sz w:val="18"/>
                <w:szCs w:val="18"/>
                <w:color w:val="auto"/>
              </w:rPr>
              <w:t>(a)(2)</w:t>
            </w:r>
          </w:p>
        </w:tc>
        <w:tc>
          <w:tcPr>
            <w:tcW w:w="9800" w:type="dxa"/>
            <w:vAlign w:val="bottom"/>
            <w:gridSpan w:val="10"/>
          </w:tcPr>
          <w:p>
            <w:pPr>
              <w:spacing w:after="0"/>
              <w:rPr>
                <w:sz w:val="20"/>
                <w:szCs w:val="20"/>
                <w:color w:val="auto"/>
              </w:rPr>
            </w:pPr>
            <w:r>
              <w:rPr>
                <w:rFonts w:ascii="Arial" w:cs="Arial" w:eastAsia="Arial" w:hAnsi="Arial"/>
                <w:sz w:val="18"/>
                <w:szCs w:val="18"/>
                <w:color w:val="auto"/>
              </w:rPr>
              <w:t>Consolidated Financial Statement schedules have been omitted either because the required information is set forth in the</w:t>
            </w:r>
          </w:p>
        </w:tc>
        <w:tc>
          <w:tcPr>
            <w:tcW w:w="340" w:type="dxa"/>
            <w:vAlign w:val="bottom"/>
          </w:tcPr>
          <w:p>
            <w:pPr>
              <w:spacing w:after="0"/>
              <w:rPr>
                <w:sz w:val="22"/>
                <w:szCs w:val="22"/>
                <w:color w:val="auto"/>
              </w:rPr>
            </w:pPr>
          </w:p>
        </w:tc>
      </w:tr>
      <w:tr>
        <w:trPr>
          <w:trHeight w:val="239"/>
        </w:trPr>
        <w:tc>
          <w:tcPr>
            <w:tcW w:w="820" w:type="dxa"/>
            <w:vAlign w:val="bottom"/>
          </w:tcPr>
          <w:p>
            <w:pPr>
              <w:spacing w:after="0"/>
              <w:rPr>
                <w:sz w:val="20"/>
                <w:szCs w:val="20"/>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rPr>
              <w:t>Consolidated Financial Statements or Notes thereto, or the information called for is not required.</w:t>
            </w:r>
          </w:p>
        </w:tc>
        <w:tc>
          <w:tcPr>
            <w:tcW w:w="340" w:type="dxa"/>
            <w:vAlign w:val="bottom"/>
          </w:tcPr>
          <w:p>
            <w:pPr>
              <w:spacing w:after="0"/>
              <w:rPr>
                <w:sz w:val="20"/>
                <w:szCs w:val="20"/>
                <w:color w:val="auto"/>
              </w:rPr>
            </w:pPr>
          </w:p>
        </w:tc>
      </w:tr>
    </w:tbl>
    <w:p>
      <w:pPr>
        <w:spacing w:after="0" w:line="5" w:lineRule="exact"/>
        <w:rPr>
          <w:sz w:val="20"/>
          <w:szCs w:val="20"/>
          <w:color w:val="auto"/>
        </w:rPr>
      </w:pPr>
    </w:p>
    <w:p>
      <w:pPr>
        <w:ind w:left="840" w:hanging="814"/>
        <w:spacing w:after="0" w:line="207" w:lineRule="exact"/>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2024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340" w:type="dxa"/>
            <w:vAlign w:val="bottom"/>
            <w:tcBorders>
              <w:top w:val="single" w:sz="8" w:color="auto"/>
            </w:tcBorders>
            <w:gridSpan w:val="3"/>
          </w:tcPr>
          <w:p>
            <w:pPr>
              <w:ind w:left="20"/>
              <w:spacing w:after="0" w:line="170" w:lineRule="exact"/>
              <w:rPr>
                <w:rFonts w:ascii="Arial" w:cs="Arial" w:eastAsia="Arial" w:hAnsi="Arial"/>
                <w:sz w:val="16"/>
                <w:szCs w:val="16"/>
                <w:color w:val="0000FF"/>
              </w:rPr>
            </w:pPr>
            <w:hyperlink r:id="rId58">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Restated Articles of Incorporation of World Kinect Corporation (incorporated by reference herein from Exhibit 3.2 to our Quarterly Report on</w:t>
            </w:r>
          </w:p>
        </w:tc>
      </w:tr>
      <w:tr>
        <w:trPr>
          <w:trHeight w:val="146"/>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6" w:lineRule="exact"/>
              <w:rPr>
                <w:sz w:val="20"/>
                <w:szCs w:val="20"/>
                <w:color w:val="auto"/>
              </w:rPr>
            </w:pPr>
            <w:r>
              <w:rPr>
                <w:rFonts w:ascii="Arial" w:cs="Arial" w:eastAsia="Arial" w:hAnsi="Arial"/>
                <w:sz w:val="16"/>
                <w:szCs w:val="16"/>
                <w:color w:val="auto"/>
              </w:rPr>
              <w:t>Form 10-Q for the quarter ended June 30, 2023 filed on July 28, 2023).</w:t>
            </w:r>
          </w:p>
        </w:tc>
      </w:tr>
      <w:tr>
        <w:trPr>
          <w:trHeight w:val="205"/>
        </w:trPr>
        <w:tc>
          <w:tcPr>
            <w:tcW w:w="340" w:type="dxa"/>
            <w:vAlign w:val="bottom"/>
            <w:gridSpan w:val="3"/>
          </w:tcPr>
          <w:p>
            <w:pPr>
              <w:ind w:left="20"/>
              <w:spacing w:after="0"/>
              <w:rPr>
                <w:rFonts w:ascii="Arial" w:cs="Arial" w:eastAsia="Arial" w:hAnsi="Arial"/>
                <w:sz w:val="16"/>
                <w:szCs w:val="16"/>
                <w:color w:val="0000FF"/>
              </w:rPr>
            </w:pPr>
            <w:hyperlink r:id="rId59">
              <w:r>
                <w:rPr>
                  <w:rFonts w:ascii="Arial" w:cs="Arial" w:eastAsia="Arial" w:hAnsi="Arial"/>
                  <w:sz w:val="16"/>
                  <w:szCs w:val="16"/>
                  <w:color w:val="0000FF"/>
                </w:rPr>
                <w:t>3.</w:t>
              </w:r>
              <w:r>
                <w:rPr>
                  <w:rFonts w:ascii="Arial" w:cs="Arial" w:eastAsia="Arial" w:hAnsi="Arial"/>
                  <w:sz w:val="16"/>
                  <w:szCs w:val="16"/>
                  <w:u w:val="single" w:color="auto"/>
                  <w:color w:val="0000FF"/>
                </w:rPr>
                <w:t>2</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Laws, amended and restated as of August 26, 2011 (incorporated by reference herein from Exhibit 3.1 to our Current Report on</w:t>
            </w:r>
          </w:p>
        </w:tc>
      </w:tr>
      <w:tr>
        <w:trPr>
          <w:trHeight w:val="188"/>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Form 8</w:t>
            </w:r>
            <w:r>
              <w:rPr>
                <w:rFonts w:ascii="MS PGothic" w:cs="MS PGothic" w:eastAsia="MS PGothic" w:hAnsi="MS PGothic"/>
                <w:sz w:val="16"/>
                <w:szCs w:val="16"/>
                <w:color w:val="auto"/>
              </w:rPr>
              <w:t>‑</w:t>
            </w:r>
            <w:r>
              <w:rPr>
                <w:rFonts w:ascii="Arial" w:cs="Arial" w:eastAsia="Arial" w:hAnsi="Arial"/>
                <w:sz w:val="16"/>
                <w:szCs w:val="16"/>
                <w:color w:val="auto"/>
              </w:rPr>
              <w:t>K filed on August 29, 2011).</w:t>
            </w: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rPr>
            </w:pPr>
            <w:hyperlink r:id="rId60">
              <w:r>
                <w:rPr>
                  <w:rFonts w:ascii="Arial" w:cs="Arial" w:eastAsia="Arial" w:hAnsi="Arial"/>
                  <w:sz w:val="16"/>
                  <w:szCs w:val="16"/>
                  <w:color w:val="0000FF"/>
                </w:rPr>
                <w:t>4.</w:t>
              </w:r>
              <w:r>
                <w:rPr>
                  <w:rFonts w:ascii="Arial" w:cs="Arial" w:eastAsia="Arial" w:hAnsi="Arial"/>
                  <w:sz w:val="16"/>
                  <w:szCs w:val="16"/>
                  <w:u w:val="single" w:color="auto"/>
                  <w:color w:val="0000FF"/>
                </w:rPr>
                <w:t>1</w:t>
              </w:r>
            </w:hyperlink>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Description of Capital Stock (incorporated by reference herein from Exhibit 4.1 to our Annual Report on Form 10-K for the year ended</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December 31, 2019 filed on March 2, 2020 (the "2019 10-K").</w:t>
            </w: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rPr>
            </w:pPr>
            <w:hyperlink r:id="rId61">
              <w:r>
                <w:rPr>
                  <w:rFonts w:ascii="Arial" w:cs="Arial" w:eastAsia="Arial" w:hAnsi="Arial"/>
                  <w:sz w:val="16"/>
                  <w:szCs w:val="16"/>
                  <w:color w:val="0000FF"/>
                </w:rPr>
                <w:t>4.</w:t>
              </w:r>
              <w:r>
                <w:rPr>
                  <w:rFonts w:ascii="Arial" w:cs="Arial" w:eastAsia="Arial" w:hAnsi="Arial"/>
                  <w:sz w:val="16"/>
                  <w:szCs w:val="16"/>
                  <w:u w:val="single" w:color="auto"/>
                  <w:color w:val="0000FF"/>
                </w:rPr>
                <w:t>2</w:t>
              </w:r>
            </w:hyperlink>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Indenture, dated as of June 26, 2023, between World Kinect Corporation and U.S. Bank Trust Company, National Association (incorporated</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by reference herein from Exhibit 4.1 to our Current Report on Form 8-K filed on June 27, 2023).</w:t>
            </w: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rPr>
            </w:pPr>
            <w:hyperlink r:id="rId61">
              <w:r>
                <w:rPr>
                  <w:rFonts w:ascii="Arial" w:cs="Arial" w:eastAsia="Arial" w:hAnsi="Arial"/>
                  <w:sz w:val="16"/>
                  <w:szCs w:val="16"/>
                  <w:color w:val="0000FF"/>
                </w:rPr>
                <w:t>4.</w:t>
              </w:r>
              <w:r>
                <w:rPr>
                  <w:rFonts w:ascii="Arial" w:cs="Arial" w:eastAsia="Arial" w:hAnsi="Arial"/>
                  <w:sz w:val="16"/>
                  <w:szCs w:val="16"/>
                  <w:u w:val="single" w:color="auto"/>
                  <w:color w:val="0000FF"/>
                </w:rPr>
                <w:t>3</w:t>
              </w:r>
            </w:hyperlink>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3.250% Convertible Senior Note due 2028 (incorporated by reference herein from Exhibit 4.2 to our Current Report on Form 8-K</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filed on June 27, 2023).</w:t>
            </w:r>
          </w:p>
        </w:tc>
      </w:tr>
      <w:tr>
        <w:trPr>
          <w:trHeight w:val="176"/>
        </w:trPr>
        <w:tc>
          <w:tcPr>
            <w:tcW w:w="20" w:type="dxa"/>
            <w:vAlign w:val="bottom"/>
          </w:tcPr>
          <w:p>
            <w:pPr>
              <w:spacing w:after="0"/>
              <w:rPr>
                <w:sz w:val="15"/>
                <w:szCs w:val="15"/>
                <w:color w:val="auto"/>
              </w:rPr>
            </w:pPr>
          </w:p>
        </w:tc>
        <w:tc>
          <w:tcPr>
            <w:tcW w:w="320" w:type="dxa"/>
            <w:vAlign w:val="bottom"/>
            <w:tcBorders>
              <w:bottom w:val="single" w:sz="8" w:color="0000FF"/>
            </w:tcBorders>
            <w:gridSpan w:val="2"/>
          </w:tcPr>
          <w:p>
            <w:pPr>
              <w:spacing w:after="0" w:line="176" w:lineRule="exact"/>
              <w:rPr>
                <w:rFonts w:ascii="Arial" w:cs="Arial" w:eastAsia="Arial" w:hAnsi="Arial"/>
                <w:sz w:val="16"/>
                <w:szCs w:val="16"/>
                <w:color w:val="0000FF"/>
                <w:w w:val="96"/>
              </w:rPr>
            </w:pPr>
            <w:hyperlink r:id="rId62">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2016 Omnibus Plan (incorporated by reference herein from Exhibit 10.1 to our Current Report on Form 8-K filed on June 2, 2016). *</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63">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2020 Omnibus Plan (incorporated by reference herein from Exhibit 10.1 to our Current Report on Form 8-K filed on May 27, 2020). *</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64">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3</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2021 Omnibus Plan (incorporated by reference herein from Exhibit 10.1 to our Current Report on Form 8-K filed on May 25, 2021). *</w:t>
            </w:r>
          </w:p>
        </w:tc>
      </w:tr>
      <w:tr>
        <w:trPr>
          <w:trHeight w:val="196"/>
        </w:trPr>
        <w:tc>
          <w:tcPr>
            <w:tcW w:w="340" w:type="dxa"/>
            <w:vAlign w:val="bottom"/>
            <w:gridSpan w:val="3"/>
          </w:tcPr>
          <w:p>
            <w:pPr>
              <w:ind w:left="20"/>
              <w:spacing w:after="0"/>
              <w:rPr>
                <w:rFonts w:ascii="Arial" w:cs="Arial" w:eastAsia="Arial" w:hAnsi="Arial"/>
                <w:sz w:val="16"/>
                <w:szCs w:val="16"/>
                <w:color w:val="0000FF"/>
                <w:w w:val="96"/>
              </w:rPr>
            </w:pPr>
            <w:hyperlink r:id="rId65">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4</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Named Executive Officer Performance-based Restricted Stock Unit Agreement under the 2021 Omnibus Plan incorporated by</w:t>
            </w:r>
          </w:p>
        </w:tc>
      </w:tr>
      <w:tr>
        <w:trPr>
          <w:trHeight w:val="128"/>
        </w:trPr>
        <w:tc>
          <w:tcPr>
            <w:tcW w:w="2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reference herein from Exhibit 10.1 to our Current Report on Form 8-K filed on November 14, 2022 (SEC Accession No. 0001157523-22-</w:t>
            </w:r>
          </w:p>
        </w:tc>
      </w:t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001611). *</w:t>
            </w:r>
          </w:p>
        </w:tc>
      </w:tr>
      <w:tr>
        <w:trPr>
          <w:trHeight w:val="170"/>
        </w:trPr>
        <w:tc>
          <w:tcPr>
            <w:tcW w:w="340" w:type="dxa"/>
            <w:vAlign w:val="bottom"/>
            <w:gridSpan w:val="3"/>
          </w:tcPr>
          <w:p>
            <w:pPr>
              <w:ind w:left="20"/>
              <w:spacing w:after="0" w:line="164" w:lineRule="exact"/>
              <w:rPr>
                <w:rFonts w:ascii="Arial" w:cs="Arial" w:eastAsia="Arial" w:hAnsi="Arial"/>
                <w:sz w:val="16"/>
                <w:szCs w:val="16"/>
                <w:color w:val="0000FF"/>
                <w:w w:val="96"/>
              </w:rPr>
            </w:pPr>
            <w:hyperlink r:id="rId66">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5</w:t>
              </w:r>
            </w:hyperlink>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4" w:lineRule="exact"/>
              <w:rPr>
                <w:sz w:val="20"/>
                <w:szCs w:val="20"/>
                <w:color w:val="auto"/>
              </w:rPr>
            </w:pPr>
            <w:r>
              <w:rPr>
                <w:rFonts w:ascii="Arial" w:cs="Arial" w:eastAsia="Arial" w:hAnsi="Arial"/>
                <w:sz w:val="16"/>
                <w:szCs w:val="16"/>
                <w:color w:val="auto"/>
              </w:rPr>
              <w:t>Executive Severance Agreement between World Fuel Services Corporation and Ira M. Birns, dated April 16, 2007 (incorporated by</w:t>
            </w:r>
          </w:p>
        </w:tc>
      </w:tr>
      <w:tr>
        <w:trPr>
          <w:trHeight w:val="188"/>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reference herein from Exhibit 10.2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April 16, 2007). *</w:t>
            </w: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w w:val="96"/>
              </w:rPr>
            </w:pPr>
            <w:hyperlink r:id="rId67">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6</w:t>
              </w:r>
            </w:hyperlink>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World Fuel Services Corporation Executive Severance Policy, effective as of December 31, 2016 (incorporated by reference herein from</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Exhibit 10.1 to our Quarterly Report on Form 10-Q for the quarter ended June 30, 2017 filed on July 28, 2017 ("2017 10-Q")). *</w:t>
            </w: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w w:val="96"/>
              </w:rPr>
            </w:pPr>
            <w:hyperlink r:id="rId68">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7</w:t>
              </w:r>
            </w:hyperlink>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Executive Officer Performance-Based Restricted Stock Unit Award Agreement (incorporated by reference herein from Exhibit 10.7</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to our Annual Report on Form 10-K for the year ended December 31, 2022 filed on February 24, 2023 (the "2022 10-K")). *</w:t>
            </w: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10.8</w:t>
        </w:r>
      </w:hyperlink>
    </w:p>
    <w:p>
      <w:pPr>
        <w:spacing w:after="0" w:line="181" w:lineRule="exact"/>
        <w:rPr>
          <w:sz w:val="20"/>
          <w:szCs w:val="20"/>
          <w:color w:val="auto"/>
        </w:rPr>
      </w:pPr>
    </w:p>
    <w:p>
      <w:pPr>
        <w:ind w:left="20"/>
        <w:spacing w:after="0"/>
        <w:rPr>
          <w:rFonts w:ascii="Arial" w:cs="Arial" w:eastAsia="Arial" w:hAnsi="Arial"/>
          <w:sz w:val="16"/>
          <w:szCs w:val="16"/>
          <w:u w:val="single" w:color="auto"/>
          <w:color w:val="0000FF"/>
        </w:rPr>
      </w:pPr>
      <w:hyperlink r:id="rId70">
        <w:r>
          <w:rPr>
            <w:rFonts w:ascii="Arial" w:cs="Arial" w:eastAsia="Arial" w:hAnsi="Arial"/>
            <w:sz w:val="16"/>
            <w:szCs w:val="16"/>
            <w:u w:val="single" w:color="auto"/>
            <w:color w:val="0000FF"/>
          </w:rPr>
          <w:t>10.9</w:t>
        </w:r>
      </w:hyperlink>
    </w:p>
    <w:p>
      <w:pPr>
        <w:spacing w:after="0" w:line="20" w:lineRule="exact"/>
        <w:rPr>
          <w:sz w:val="20"/>
          <w:szCs w:val="20"/>
          <w:color w:val="auto"/>
        </w:rPr>
      </w:pPr>
      <w:r>
        <w:rPr>
          <w:sz w:val="20"/>
          <w:szCs w:val="20"/>
          <w:color w:val="auto"/>
        </w:rPr>
        <w:br w:type="column"/>
      </w:r>
    </w:p>
    <w:p>
      <w:pPr>
        <w:ind w:right="20"/>
        <w:spacing w:after="0" w:line="237" w:lineRule="auto"/>
        <w:rPr>
          <w:sz w:val="20"/>
          <w:szCs w:val="20"/>
          <w:color w:val="auto"/>
        </w:rPr>
      </w:pPr>
      <w:r>
        <w:rPr>
          <w:rFonts w:ascii="Arial" w:cs="Arial" w:eastAsia="Arial" w:hAnsi="Arial"/>
          <w:sz w:val="16"/>
          <w:szCs w:val="16"/>
          <w:color w:val="auto"/>
        </w:rPr>
        <w:t>Form of Executive Officer Service-Based Restricted Stock Unit Award Agreement (incorporated by reference herein from Exhibit 10.8 to our 2022 10-K). *</w:t>
      </w:r>
    </w:p>
    <w:p>
      <w:pPr>
        <w:spacing w:after="0" w:line="4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Form of Non-Employee Director 2017 Restricted Stock Unit Grant Agreement under the 2016 Omnibus Plan (incorporated by reference herein from Exhibit 10.24 to our Annual Report on Form 10-K for the year ended December 31, 2015 filed on February 16, 2016). *</w:t>
      </w:r>
    </w:p>
    <w:p>
      <w:pPr>
        <w:spacing w:after="0" w:line="1" w:lineRule="exact"/>
        <w:rPr>
          <w:sz w:val="20"/>
          <w:szCs w:val="20"/>
          <w:color w:val="auto"/>
        </w:rPr>
      </w:pPr>
    </w:p>
    <w:p>
      <w:pPr>
        <w:sectPr>
          <w:pgSz w:w="11900" w:h="16838" w:orient="portrait"/>
          <w:cols w:equalWidth="0" w:num="2">
            <w:col w:w="460" w:space="720"/>
            <w:col w:w="1006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420" w:type="dxa"/>
            <w:vAlign w:val="bottom"/>
            <w:tcBorders>
              <w:bottom w:val="single" w:sz="8" w:color="0000FF"/>
            </w:tcBorders>
            <w:gridSpan w:val="2"/>
          </w:tcPr>
          <w:p>
            <w:pPr>
              <w:spacing w:after="0" w:line="176" w:lineRule="exact"/>
              <w:rPr>
                <w:rFonts w:ascii="Arial" w:cs="Arial" w:eastAsia="Arial" w:hAnsi="Arial"/>
                <w:sz w:val="16"/>
                <w:szCs w:val="16"/>
                <w:color w:val="0000FF"/>
                <w:w w:val="99"/>
              </w:rPr>
            </w:pPr>
            <w:hyperlink r:id="rId71">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10</w:t>
              </w:r>
            </w:hyperlink>
          </w:p>
        </w:tc>
        <w:tc>
          <w:tcPr>
            <w:tcW w:w="360" w:type="dxa"/>
            <w:vAlign w:val="bottom"/>
          </w:tcPr>
          <w:p>
            <w:pPr>
              <w:spacing w:after="0"/>
              <w:rPr>
                <w:sz w:val="17"/>
                <w:szCs w:val="17"/>
                <w:color w:val="auto"/>
              </w:rPr>
            </w:pPr>
          </w:p>
        </w:tc>
        <w:tc>
          <w:tcPr>
            <w:tcW w:w="10420" w:type="dxa"/>
            <w:vAlign w:val="bottom"/>
          </w:tcPr>
          <w:p>
            <w:pPr>
              <w:ind w:left="380"/>
              <w:spacing w:after="0"/>
              <w:rPr>
                <w:sz w:val="20"/>
                <w:szCs w:val="20"/>
                <w:color w:val="auto"/>
              </w:rPr>
            </w:pPr>
            <w:r>
              <w:rPr>
                <w:rFonts w:ascii="Arial" w:cs="Arial" w:eastAsia="Arial" w:hAnsi="Arial"/>
                <w:sz w:val="16"/>
                <w:szCs w:val="16"/>
                <w:color w:val="auto"/>
              </w:rPr>
              <w:t>Form of Non-Employee Director Restricted Stock Unit Grant Agreement under the 2016 Omnibus Plan (incorporated by reference herein</w:t>
            </w:r>
          </w:p>
        </w:tc>
      </w:tr>
      <w:tr>
        <w:trPr>
          <w:trHeight w:val="215"/>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20" w:type="dxa"/>
            <w:vAlign w:val="bottom"/>
          </w:tcPr>
          <w:p>
            <w:pPr>
              <w:ind w:left="380"/>
              <w:spacing w:after="0"/>
              <w:rPr>
                <w:sz w:val="20"/>
                <w:szCs w:val="20"/>
                <w:color w:val="auto"/>
              </w:rPr>
            </w:pPr>
            <w:r>
              <w:rPr>
                <w:rFonts w:ascii="Arial" w:cs="Arial" w:eastAsia="Arial" w:hAnsi="Arial"/>
                <w:sz w:val="16"/>
                <w:szCs w:val="16"/>
                <w:color w:val="auto"/>
              </w:rPr>
              <w:t>from Exhibit 10.10 to our 2019 10-K). *</w:t>
            </w:r>
          </w:p>
        </w:tc>
      </w:tr>
      <w:tr>
        <w:trPr>
          <w:trHeight w:val="204"/>
        </w:trPr>
        <w:tc>
          <w:tcPr>
            <w:tcW w:w="420" w:type="dxa"/>
            <w:vAlign w:val="bottom"/>
            <w:gridSpan w:val="2"/>
          </w:tcPr>
          <w:p>
            <w:pPr>
              <w:spacing w:after="0"/>
              <w:rPr>
                <w:rFonts w:ascii="Arial" w:cs="Arial" w:eastAsia="Arial" w:hAnsi="Arial"/>
                <w:sz w:val="16"/>
                <w:szCs w:val="16"/>
                <w:color w:val="0000FF"/>
                <w:w w:val="99"/>
              </w:rPr>
            </w:pPr>
            <w:hyperlink r:id="rId72">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11</w:t>
              </w:r>
            </w:hyperlink>
          </w:p>
        </w:tc>
        <w:tc>
          <w:tcPr>
            <w:tcW w:w="360" w:type="dxa"/>
            <w:vAlign w:val="bottom"/>
          </w:tcPr>
          <w:p>
            <w:pPr>
              <w:spacing w:after="0"/>
              <w:rPr>
                <w:sz w:val="17"/>
                <w:szCs w:val="17"/>
                <w:color w:val="auto"/>
              </w:rPr>
            </w:pPr>
          </w:p>
        </w:tc>
        <w:tc>
          <w:tcPr>
            <w:tcW w:w="10420" w:type="dxa"/>
            <w:vAlign w:val="bottom"/>
          </w:tcPr>
          <w:p>
            <w:pPr>
              <w:ind w:left="380"/>
              <w:spacing w:after="0"/>
              <w:rPr>
                <w:sz w:val="20"/>
                <w:szCs w:val="20"/>
                <w:color w:val="auto"/>
              </w:rPr>
            </w:pPr>
            <w:r>
              <w:rPr>
                <w:rFonts w:ascii="Arial" w:cs="Arial" w:eastAsia="Arial" w:hAnsi="Arial"/>
                <w:sz w:val="16"/>
                <w:szCs w:val="16"/>
                <w:color w:val="auto"/>
              </w:rPr>
              <w:t>Form of Named Executive Officer Restricted Stock Unit Grant Agreement under the 2016 Omnibus Plan (incorporated by reference herein</w:t>
            </w:r>
          </w:p>
        </w:tc>
      </w:tr>
      <w:tr>
        <w:trPr>
          <w:trHeight w:val="195"/>
        </w:trPr>
        <w:tc>
          <w:tcPr>
            <w:tcW w:w="40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20" w:type="dxa"/>
            <w:vAlign w:val="bottom"/>
          </w:tcPr>
          <w:p>
            <w:pPr>
              <w:ind w:left="380"/>
              <w:spacing w:after="0"/>
              <w:rPr>
                <w:sz w:val="20"/>
                <w:szCs w:val="20"/>
                <w:color w:val="auto"/>
              </w:rPr>
            </w:pPr>
            <w:r>
              <w:rPr>
                <w:rFonts w:ascii="Arial" w:cs="Arial" w:eastAsia="Arial" w:hAnsi="Arial"/>
                <w:sz w:val="16"/>
                <w:szCs w:val="16"/>
                <w:color w:val="auto"/>
              </w:rPr>
              <w:t>from Exhibit 10.10 to our Annual Report on Form 10-K for the year ended December 31, 2017 filed on February 28, 2018 ("2017 10-K"). *</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1060" w:type="dxa"/>
            <w:vAlign w:val="bottom"/>
            <w:tcBorders>
              <w:top w:val="single" w:sz="8" w:color="auto"/>
            </w:tcBorders>
            <w:gridSpan w:val="3"/>
          </w:tcPr>
          <w:p>
            <w:pPr>
              <w:ind w:left="20"/>
              <w:spacing w:after="0" w:line="170" w:lineRule="exact"/>
              <w:rPr>
                <w:rFonts w:ascii="Arial" w:cs="Arial" w:eastAsia="Arial" w:hAnsi="Arial"/>
                <w:sz w:val="16"/>
                <w:szCs w:val="16"/>
                <w:color w:val="0000FF"/>
              </w:rPr>
            </w:pPr>
            <w:hyperlink r:id="rId74">
              <w:r>
                <w:rPr>
                  <w:rFonts w:ascii="Arial" w:cs="Arial" w:eastAsia="Arial" w:hAnsi="Arial"/>
                  <w:sz w:val="16"/>
                  <w:szCs w:val="16"/>
                  <w:color w:val="0000FF"/>
                </w:rPr>
                <w:t>10.</w:t>
              </w:r>
              <w:r>
                <w:rPr>
                  <w:rFonts w:ascii="Arial" w:cs="Arial" w:eastAsia="Arial" w:hAnsi="Arial"/>
                  <w:sz w:val="16"/>
                  <w:szCs w:val="16"/>
                  <w:u w:val="single" w:color="auto"/>
                  <w:color w:val="0000FF"/>
                </w:rPr>
                <w:t>12</w:t>
              </w:r>
            </w:hyperlink>
          </w:p>
        </w:tc>
        <w:tc>
          <w:tcPr>
            <w:tcW w:w="100" w:type="dxa"/>
            <w:vAlign w:val="bottom"/>
          </w:tcPr>
          <w:p>
            <w:pPr>
              <w:spacing w:after="0"/>
              <w:rPr>
                <w:sz w:val="14"/>
                <w:szCs w:val="14"/>
                <w:color w:val="auto"/>
              </w:rPr>
            </w:pPr>
          </w:p>
        </w:tc>
        <w:tc>
          <w:tcPr>
            <w:tcW w:w="100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Form of Michael J. Kasbar Restricted Stock Unit Grant Agreement under the 2006 and 2016 Omnibus Plan (incorporated by reference</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herein from Exhibit 10.14 to our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5">
              <w:r>
                <w:rPr>
                  <w:rFonts w:ascii="Arial" w:cs="Arial" w:eastAsia="Arial" w:hAnsi="Arial"/>
                  <w:sz w:val="16"/>
                  <w:szCs w:val="16"/>
                  <w:color w:val="0000FF"/>
                </w:rPr>
                <w:t>10.</w:t>
              </w:r>
              <w:r>
                <w:rPr>
                  <w:rFonts w:ascii="Arial" w:cs="Arial" w:eastAsia="Arial" w:hAnsi="Arial"/>
                  <w:sz w:val="16"/>
                  <w:szCs w:val="16"/>
                  <w:u w:val="single" w:color="auto"/>
                  <w:color w:val="0000FF"/>
                </w:rPr>
                <w:t>13</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Kasbar Stock-Settled Stock Appreciation Right Agreement under the 2006 Omnibus Plan (incorporated by reference</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herein from Exhibit 10.1 to our Quarterly Report on Form 10-Q for the quarter ended June 30, 2014 filed on July 30, 2014 ("2014 10-Q")).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6">
              <w:r>
                <w:rPr>
                  <w:rFonts w:ascii="Arial" w:cs="Arial" w:eastAsia="Arial" w:hAnsi="Arial"/>
                  <w:sz w:val="16"/>
                  <w:szCs w:val="16"/>
                  <w:color w:val="0000FF"/>
                </w:rPr>
                <w:t>10.</w:t>
              </w:r>
              <w:r>
                <w:rPr>
                  <w:rFonts w:ascii="Arial" w:cs="Arial" w:eastAsia="Arial" w:hAnsi="Arial"/>
                  <w:sz w:val="16"/>
                  <w:szCs w:val="16"/>
                  <w:u w:val="single" w:color="auto"/>
                  <w:color w:val="0000FF"/>
                </w:rPr>
                <w:t>14</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Kasbar Stock-Settled Stock Appreciation Right Agreement (3-year Cliff Vesting) under the 2006 and 2016 Omnibus Plan</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(incorporated by reference herein from Exhibit 10.15 to our Annual Report on Form 10-K for the year ended December 31, 2016 filed on</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February 21, 2017. *</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77">
              <w:r>
                <w:rPr>
                  <w:rFonts w:ascii="Arial" w:cs="Arial" w:eastAsia="Arial" w:hAnsi="Arial"/>
                  <w:sz w:val="16"/>
                  <w:szCs w:val="16"/>
                  <w:color w:val="0000FF"/>
                </w:rPr>
                <w:t>10.</w:t>
              </w:r>
              <w:r>
                <w:rPr>
                  <w:rFonts w:ascii="Arial" w:cs="Arial" w:eastAsia="Arial" w:hAnsi="Arial"/>
                  <w:sz w:val="16"/>
                  <w:szCs w:val="16"/>
                  <w:u w:val="single" w:color="auto"/>
                  <w:color w:val="0000FF"/>
                </w:rPr>
                <w:t>15</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Form of Ira M. Birns Restricted Stock Unit Grant Agreement under the 2016 Omnibus Plan (incorporated by reference herein from Exhibit</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10.17 to our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8">
              <w:r>
                <w:rPr>
                  <w:rFonts w:ascii="Arial" w:cs="Arial" w:eastAsia="Arial" w:hAnsi="Arial"/>
                  <w:sz w:val="16"/>
                  <w:szCs w:val="16"/>
                  <w:color w:val="0000FF"/>
                </w:rPr>
                <w:t>10.</w:t>
              </w:r>
              <w:r>
                <w:rPr>
                  <w:rFonts w:ascii="Arial" w:cs="Arial" w:eastAsia="Arial" w:hAnsi="Arial"/>
                  <w:sz w:val="16"/>
                  <w:szCs w:val="16"/>
                  <w:u w:val="single" w:color="auto"/>
                  <w:color w:val="0000FF"/>
                </w:rPr>
                <w:t>16</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Ira M. Birns Stock-Settled Stock Appreciation Right Agreement under the 2006 Omnibus Plan (incorporated by reference herein</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from Exhibit 10.2 to our 2014 10-Q).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9">
              <w:r>
                <w:rPr>
                  <w:rFonts w:ascii="Arial" w:cs="Arial" w:eastAsia="Arial" w:hAnsi="Arial"/>
                  <w:sz w:val="16"/>
                  <w:szCs w:val="16"/>
                  <w:color w:val="0000FF"/>
                </w:rPr>
                <w:t>10.</w:t>
              </w:r>
              <w:r>
                <w:rPr>
                  <w:rFonts w:ascii="Arial" w:cs="Arial" w:eastAsia="Arial" w:hAnsi="Arial"/>
                  <w:sz w:val="16"/>
                  <w:szCs w:val="16"/>
                  <w:u w:val="single" w:color="auto"/>
                  <w:color w:val="0000FF"/>
                </w:rPr>
                <w:t>17</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Crosby and John P. Rau 2016 Performance-Based Restricted Stock Unit Grant Agreement under the 2006 Omnibus</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Plan (incorporated by reference herein from Exhibit 10.21 to our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80">
              <w:r>
                <w:rPr>
                  <w:rFonts w:ascii="Arial" w:cs="Arial" w:eastAsia="Arial" w:hAnsi="Arial"/>
                  <w:sz w:val="16"/>
                  <w:szCs w:val="16"/>
                  <w:color w:val="0000FF"/>
                </w:rPr>
                <w:t>10.</w:t>
              </w:r>
              <w:r>
                <w:rPr>
                  <w:rFonts w:ascii="Arial" w:cs="Arial" w:eastAsia="Arial" w:hAnsi="Arial"/>
                  <w:sz w:val="16"/>
                  <w:szCs w:val="16"/>
                  <w:u w:val="single" w:color="auto"/>
                  <w:color w:val="0000FF"/>
                </w:rPr>
                <w:t>18</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Crosby and John P. Rau Restricted Stock Grant Agreement under the 2006 Omnibus Plan (incorporated by reference</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herein from Exhibit 10.4 to our 2017 10-Q).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81">
              <w:r>
                <w:rPr>
                  <w:rFonts w:ascii="Arial" w:cs="Arial" w:eastAsia="Arial" w:hAnsi="Arial"/>
                  <w:sz w:val="16"/>
                  <w:szCs w:val="16"/>
                  <w:color w:val="0000FF"/>
                </w:rPr>
                <w:t>10.</w:t>
              </w:r>
              <w:r>
                <w:rPr>
                  <w:rFonts w:ascii="Arial" w:cs="Arial" w:eastAsia="Arial" w:hAnsi="Arial"/>
                  <w:sz w:val="16"/>
                  <w:szCs w:val="16"/>
                  <w:u w:val="single" w:color="auto"/>
                  <w:color w:val="0000FF"/>
                </w:rPr>
                <w:t>19</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Crosby and John P. Rau Restricted Stock Unit Grant Agreement under the 2006 Omnibus Plan (incorporated by</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reference herein from Exhibit 10.24 to our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82">
              <w:r>
                <w:rPr>
                  <w:rFonts w:ascii="Arial" w:cs="Arial" w:eastAsia="Arial" w:hAnsi="Arial"/>
                  <w:sz w:val="16"/>
                  <w:szCs w:val="16"/>
                  <w:color w:val="0000FF"/>
                </w:rPr>
                <w:t>10.</w:t>
              </w:r>
              <w:r>
                <w:rPr>
                  <w:rFonts w:ascii="Arial" w:cs="Arial" w:eastAsia="Arial" w:hAnsi="Arial"/>
                  <w:sz w:val="16"/>
                  <w:szCs w:val="16"/>
                  <w:u w:val="single" w:color="auto"/>
                  <w:color w:val="0000FF"/>
                </w:rPr>
                <w:t>20</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Named Executive Officer Stock-Settled Stock Appreciation Right Agreement under the 2016 Omnibus Plan (incorporated by</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reference herein from Exhibit 10.24 to our Annual Report on Form 10-K for the year ended December 31, 2020 filed on March 1, 2021). *</w:t>
            </w:r>
          </w:p>
        </w:tc>
      </w:tr>
      <w:tr>
        <w:trPr>
          <w:trHeight w:val="170"/>
        </w:trPr>
        <w:tc>
          <w:tcPr>
            <w:tcW w:w="1060" w:type="dxa"/>
            <w:vAlign w:val="bottom"/>
            <w:gridSpan w:val="3"/>
          </w:tcPr>
          <w:p>
            <w:pPr>
              <w:ind w:left="20"/>
              <w:spacing w:after="0" w:line="163" w:lineRule="exact"/>
              <w:rPr>
                <w:rFonts w:ascii="Arial" w:cs="Arial" w:eastAsia="Arial" w:hAnsi="Arial"/>
                <w:sz w:val="16"/>
                <w:szCs w:val="16"/>
                <w:color w:val="0000FF"/>
              </w:rPr>
            </w:pPr>
            <w:hyperlink r:id="rId83">
              <w:r>
                <w:rPr>
                  <w:rFonts w:ascii="Arial" w:cs="Arial" w:eastAsia="Arial" w:hAnsi="Arial"/>
                  <w:sz w:val="16"/>
                  <w:szCs w:val="16"/>
                  <w:color w:val="0000FF"/>
                </w:rPr>
                <w:t>10.</w:t>
              </w:r>
              <w:r>
                <w:rPr>
                  <w:rFonts w:ascii="Arial" w:cs="Arial" w:eastAsia="Arial" w:hAnsi="Arial"/>
                  <w:sz w:val="16"/>
                  <w:szCs w:val="16"/>
                  <w:u w:val="single" w:color="auto"/>
                  <w:color w:val="0000FF"/>
                </w:rPr>
                <w:t>21</w:t>
              </w:r>
            </w:hyperlink>
          </w:p>
        </w:tc>
        <w:tc>
          <w:tcPr>
            <w:tcW w:w="100" w:type="dxa"/>
            <w:vAlign w:val="bottom"/>
          </w:tcPr>
          <w:p>
            <w:pPr>
              <w:spacing w:after="0"/>
              <w:rPr>
                <w:sz w:val="14"/>
                <w:szCs w:val="14"/>
                <w:color w:val="auto"/>
              </w:rPr>
            </w:pPr>
          </w:p>
        </w:tc>
        <w:tc>
          <w:tcPr>
            <w:tcW w:w="10080" w:type="dxa"/>
            <w:vAlign w:val="bottom"/>
          </w:tcPr>
          <w:p>
            <w:pPr>
              <w:ind w:left="20"/>
              <w:spacing w:after="0" w:line="163" w:lineRule="exact"/>
              <w:rPr>
                <w:sz w:val="20"/>
                <w:szCs w:val="20"/>
                <w:color w:val="auto"/>
              </w:rPr>
            </w:pPr>
            <w:r>
              <w:rPr>
                <w:rFonts w:ascii="Arial" w:cs="Arial" w:eastAsia="Arial" w:hAnsi="Arial"/>
                <w:sz w:val="16"/>
                <w:szCs w:val="16"/>
                <w:color w:val="auto"/>
              </w:rPr>
              <w:t>Amended and Restated Employment Agreement, dated November 10, 2022, between World Fuel Services Corporation and Michael J.</w:t>
            </w:r>
          </w:p>
        </w:tc>
      </w:tr>
      <w:tr>
        <w:trPr>
          <w:trHeight w:val="135"/>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35" w:lineRule="exact"/>
              <w:rPr>
                <w:sz w:val="20"/>
                <w:szCs w:val="20"/>
                <w:color w:val="auto"/>
              </w:rPr>
            </w:pPr>
            <w:r>
              <w:rPr>
                <w:rFonts w:ascii="Arial" w:cs="Arial" w:eastAsia="Arial" w:hAnsi="Arial"/>
                <w:sz w:val="15"/>
                <w:szCs w:val="15"/>
                <w:color w:val="auto"/>
              </w:rPr>
              <w:t>Kasbar (incorporated by reference herein from Exhibit 10.1 to our Current Report on Form 8</w:t>
            </w:r>
            <w:r>
              <w:rPr>
                <w:rFonts w:ascii="MS PGothic" w:cs="MS PGothic" w:eastAsia="MS PGothic" w:hAnsi="MS PGothic"/>
                <w:sz w:val="15"/>
                <w:szCs w:val="15"/>
                <w:color w:val="auto"/>
              </w:rPr>
              <w:t>‑</w:t>
            </w:r>
            <w:r>
              <w:rPr>
                <w:rFonts w:ascii="Arial" w:cs="Arial" w:eastAsia="Arial" w:hAnsi="Arial"/>
                <w:sz w:val="15"/>
                <w:szCs w:val="15"/>
                <w:color w:val="auto"/>
              </w:rPr>
              <w:t>K filed on November 14, 2022 (SEC Accession</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No. 0001157523-22-001610). *</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4">
              <w:r>
                <w:rPr>
                  <w:rFonts w:ascii="Arial" w:cs="Arial" w:eastAsia="Arial" w:hAnsi="Arial"/>
                  <w:sz w:val="16"/>
                  <w:szCs w:val="16"/>
                  <w:color w:val="0000FF"/>
                </w:rPr>
                <w:t>10.</w:t>
              </w:r>
              <w:r>
                <w:rPr>
                  <w:rFonts w:ascii="Arial" w:cs="Arial" w:eastAsia="Arial" w:hAnsi="Arial"/>
                  <w:sz w:val="16"/>
                  <w:szCs w:val="16"/>
                  <w:u w:val="single" w:color="auto"/>
                  <w:color w:val="0000FF"/>
                </w:rPr>
                <w:t>22</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Fourth Amended and Restated Credit Agreement, dated as of October 10, 2013, among World Fuel Services Corporation, World Fuel</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Services Europe, Ltd. and World Fuel Services (Singapore) Pte Ltd, as borrowers, Bank of America, N.A., as administrative agent, and the</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financial institutions named therein as lenders (incorporated herein by reference to Exhibit 10.1 to our Current Report on Form 8-K filed on</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October 11, 2013).</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5">
              <w:r>
                <w:rPr>
                  <w:rFonts w:ascii="Arial" w:cs="Arial" w:eastAsia="Arial" w:hAnsi="Arial"/>
                  <w:sz w:val="16"/>
                  <w:szCs w:val="16"/>
                  <w:color w:val="0000FF"/>
                </w:rPr>
                <w:t>10.</w:t>
              </w:r>
              <w:r>
                <w:rPr>
                  <w:rFonts w:ascii="Arial" w:cs="Arial" w:eastAsia="Arial" w:hAnsi="Arial"/>
                  <w:sz w:val="16"/>
                  <w:szCs w:val="16"/>
                  <w:u w:val="single" w:color="auto"/>
                  <w:color w:val="0000FF"/>
                </w:rPr>
                <w:t>23</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1 to the Fourth Amended and Restated Credit Agreement, and Joinder Agreement, dated as of January 30, 2015, among</w:t>
            </w:r>
          </w:p>
        </w:tc>
      </w:tr>
      <w:tr>
        <w:trPr>
          <w:trHeight w:val="129"/>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World Fuel Services Corporation, World Fuel Services Europe, Ltd. and World Fuel Services (Singapore) Pte Ltd, as borrowers, Bank of</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February 5, 2015).</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6">
              <w:r>
                <w:rPr>
                  <w:rFonts w:ascii="Arial" w:cs="Arial" w:eastAsia="Arial" w:hAnsi="Arial"/>
                  <w:sz w:val="16"/>
                  <w:szCs w:val="16"/>
                  <w:color w:val="0000FF"/>
                </w:rPr>
                <w:t>10.</w:t>
              </w:r>
              <w:r>
                <w:rPr>
                  <w:rFonts w:ascii="Arial" w:cs="Arial" w:eastAsia="Arial" w:hAnsi="Arial"/>
                  <w:sz w:val="16"/>
                  <w:szCs w:val="16"/>
                  <w:u w:val="single" w:color="auto"/>
                  <w:color w:val="0000FF"/>
                </w:rPr>
                <w:t>24</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2 to the Fourth Amended and Restated Credit Agreement, and Joinder Agreement, dated as of October 26, 2016, among</w:t>
            </w:r>
          </w:p>
        </w:tc>
      </w:tr>
      <w:tr>
        <w:trPr>
          <w:trHeight w:val="129"/>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World Fuel Services Corporation, World Fuel Services Europe, Ltd. and World Fuel Services (Singapore) Pte Ltd, as borrowers, Bank of</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October 27, 2016).</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7">
              <w:r>
                <w:rPr>
                  <w:rFonts w:ascii="Arial" w:cs="Arial" w:eastAsia="Arial" w:hAnsi="Arial"/>
                  <w:sz w:val="16"/>
                  <w:szCs w:val="16"/>
                  <w:color w:val="0000FF"/>
                </w:rPr>
                <w:t>10.</w:t>
              </w:r>
              <w:r>
                <w:rPr>
                  <w:rFonts w:ascii="Arial" w:cs="Arial" w:eastAsia="Arial" w:hAnsi="Arial"/>
                  <w:sz w:val="16"/>
                  <w:szCs w:val="16"/>
                  <w:u w:val="single" w:color="auto"/>
                  <w:color w:val="0000FF"/>
                </w:rPr>
                <w:t>25</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3 to the Fourth Amended and Restated Credit Agreement, dated as of May 12, 2017,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and World Fuel Services (Singapore) Pte Ltd, as borrowers, Bank of America, N.A., as</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administrative agent, and the financial institutions named therein as lenders (incorporated by reference herein from Exhibit 10.2 to our 2017</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10-Q).</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8">
              <w:r>
                <w:rPr>
                  <w:rFonts w:ascii="Arial" w:cs="Arial" w:eastAsia="Arial" w:hAnsi="Arial"/>
                  <w:sz w:val="16"/>
                  <w:szCs w:val="16"/>
                  <w:color w:val="0000FF"/>
                </w:rPr>
                <w:t>10.</w:t>
              </w:r>
              <w:r>
                <w:rPr>
                  <w:rFonts w:ascii="Arial" w:cs="Arial" w:eastAsia="Arial" w:hAnsi="Arial"/>
                  <w:sz w:val="16"/>
                  <w:szCs w:val="16"/>
                  <w:u w:val="single" w:color="auto"/>
                  <w:color w:val="0000FF"/>
                </w:rPr>
                <w:t>26</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4 to the Fourth Amended and Restated Credit Agreement, dated as January 30, 2018,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and World Fuel Services (Singapore) Pte Ltd, as borrowers, Bank of America, N.A., as</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administrative agent, and the financial institutions named therein as lenders (incorporated by reference herein from Exhibit 10.30 to our</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2017 10-K).</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9">
              <w:r>
                <w:rPr>
                  <w:rFonts w:ascii="Arial" w:cs="Arial" w:eastAsia="Arial" w:hAnsi="Arial"/>
                  <w:sz w:val="16"/>
                  <w:szCs w:val="16"/>
                  <w:color w:val="0000FF"/>
                </w:rPr>
                <w:t>10.</w:t>
              </w:r>
              <w:r>
                <w:rPr>
                  <w:rFonts w:ascii="Arial" w:cs="Arial" w:eastAsia="Arial" w:hAnsi="Arial"/>
                  <w:sz w:val="16"/>
                  <w:szCs w:val="16"/>
                  <w:u w:val="single" w:color="auto"/>
                  <w:color w:val="0000FF"/>
                </w:rPr>
                <w:t>27</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5 to the Fourth Amended and Restated Credit Agreement, dated as of October 26, 2016, among World Fuel Services</w:t>
            </w:r>
          </w:p>
        </w:tc>
      </w:tr>
      <w:tr>
        <w:trPr>
          <w:trHeight w:val="129"/>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July 24, 2019).</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90">
              <w:r>
                <w:rPr>
                  <w:rFonts w:ascii="Arial" w:cs="Arial" w:eastAsia="Arial" w:hAnsi="Arial"/>
                  <w:sz w:val="16"/>
                  <w:szCs w:val="16"/>
                  <w:color w:val="0000FF"/>
                </w:rPr>
                <w:t>10.</w:t>
              </w:r>
              <w:r>
                <w:rPr>
                  <w:rFonts w:ascii="Arial" w:cs="Arial" w:eastAsia="Arial" w:hAnsi="Arial"/>
                  <w:sz w:val="16"/>
                  <w:szCs w:val="16"/>
                  <w:u w:val="single" w:color="auto"/>
                  <w:color w:val="0000FF"/>
                </w:rPr>
                <w:t>28</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6 to the Fourth Amended and Restated Credit Agreement, dated as of November 24, 2021,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10.28 to our Annual Report on Form 10-K for the year ended December 31, 2021 filed on February 25, 2022 (the "2021 10-K")).</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91">
              <w:r>
                <w:rPr>
                  <w:rFonts w:ascii="Arial" w:cs="Arial" w:eastAsia="Arial" w:hAnsi="Arial"/>
                  <w:sz w:val="16"/>
                  <w:szCs w:val="16"/>
                  <w:color w:val="0000FF"/>
                </w:rPr>
                <w:t>10.</w:t>
              </w:r>
              <w:r>
                <w:rPr>
                  <w:rFonts w:ascii="Arial" w:cs="Arial" w:eastAsia="Arial" w:hAnsi="Arial"/>
                  <w:sz w:val="16"/>
                  <w:szCs w:val="16"/>
                  <w:u w:val="single" w:color="auto"/>
                  <w:color w:val="0000FF"/>
                </w:rPr>
                <w:t>29</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7 to the Fourth Amended and Restated Credit Agreement, dated as of November 26, 2021,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10.29 to our 2021 10-K).</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92">
              <w:r>
                <w:rPr>
                  <w:rFonts w:ascii="Arial" w:cs="Arial" w:eastAsia="Arial" w:hAnsi="Arial"/>
                  <w:sz w:val="16"/>
                  <w:szCs w:val="16"/>
                  <w:color w:val="0000FF"/>
                </w:rPr>
                <w:t>10.</w:t>
              </w:r>
              <w:r>
                <w:rPr>
                  <w:rFonts w:ascii="Arial" w:cs="Arial" w:eastAsia="Arial" w:hAnsi="Arial"/>
                  <w:sz w:val="16"/>
                  <w:szCs w:val="16"/>
                  <w:u w:val="single" w:color="auto"/>
                  <w:color w:val="0000FF"/>
                </w:rPr>
                <w:t>30</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8 to Fourth Amended and Restated Credit Agreement, dated as of April 1, 2022, among World Fuel Services Corporation,</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World Fuel Services Europe, Ltd., World Fuel Services (Singapore) Pte Ltd, and certain other Subsidiaries, as borrowers, Bank of America,</w:t>
            </w:r>
          </w:p>
        </w:tc>
      </w:tr>
    </w:tbl>
    <w:p>
      <w:pPr>
        <w:ind w:left="1180" w:right="20"/>
        <w:spacing w:after="0" w:line="235" w:lineRule="auto"/>
        <w:rPr>
          <w:sz w:val="20"/>
          <w:szCs w:val="20"/>
          <w:color w:val="auto"/>
        </w:rPr>
      </w:pPr>
      <w:r>
        <w:rPr>
          <w:rFonts w:ascii="Arial" w:cs="Arial" w:eastAsia="Arial" w:hAnsi="Arial"/>
          <w:sz w:val="16"/>
          <w:szCs w:val="16"/>
          <w:color w:val="auto"/>
        </w:rPr>
        <w:t>N.A., as administrative agent, and the financial institutions named therein as lenders (incorporated by reference herein from Exhibit 10.1 to our Current Report on Form 8-K filed on April 1, 2022).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1060" w:type="dxa"/>
            <w:vAlign w:val="bottom"/>
            <w:tcBorders>
              <w:top w:val="single" w:sz="8" w:color="auto"/>
            </w:tcBorders>
            <w:gridSpan w:val="4"/>
          </w:tcPr>
          <w:p>
            <w:pPr>
              <w:ind w:left="20"/>
              <w:spacing w:after="0" w:line="170" w:lineRule="exact"/>
              <w:rPr>
                <w:rFonts w:ascii="Arial" w:cs="Arial" w:eastAsia="Arial" w:hAnsi="Arial"/>
                <w:sz w:val="16"/>
                <w:szCs w:val="16"/>
                <w:color w:val="0000FF"/>
              </w:rPr>
            </w:pPr>
            <w:hyperlink r:id="rId94">
              <w:r>
                <w:rPr>
                  <w:rFonts w:ascii="Arial" w:cs="Arial" w:eastAsia="Arial" w:hAnsi="Arial"/>
                  <w:sz w:val="16"/>
                  <w:szCs w:val="16"/>
                  <w:color w:val="0000FF"/>
                </w:rPr>
                <w:t>10.</w:t>
              </w:r>
              <w:r>
                <w:rPr>
                  <w:rFonts w:ascii="Arial" w:cs="Arial" w:eastAsia="Arial" w:hAnsi="Arial"/>
                  <w:sz w:val="16"/>
                  <w:szCs w:val="16"/>
                  <w:u w:val="single" w:color="auto"/>
                  <w:color w:val="0000FF"/>
                </w:rPr>
                <w:t>31</w:t>
              </w:r>
            </w:hyperlink>
          </w:p>
        </w:tc>
        <w:tc>
          <w:tcPr>
            <w:tcW w:w="100" w:type="dxa"/>
            <w:vAlign w:val="bottom"/>
          </w:tcPr>
          <w:p>
            <w:pPr>
              <w:spacing w:after="0"/>
              <w:rPr>
                <w:sz w:val="14"/>
                <w:szCs w:val="14"/>
                <w:color w:val="auto"/>
              </w:rPr>
            </w:pPr>
          </w:p>
        </w:tc>
        <w:tc>
          <w:tcPr>
            <w:tcW w:w="100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Amendment No. 9 to the Fourth Amended and Restated Credit Agreement, dated as of July 12, 2022, among World Fuel Services</w:t>
            </w:r>
          </w:p>
        </w:tc>
      </w:tr>
      <w:tr>
        <w:trPr>
          <w:trHeight w:val="128"/>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 to our Quarterly Report on Form 10-Q for the quarter ended June 30, 2022 filed on July 29, 2022).</w:t>
            </w:r>
          </w:p>
        </w:tc>
      </w:tr>
      <w:tr>
        <w:trPr>
          <w:trHeight w:val="177"/>
        </w:trPr>
        <w:tc>
          <w:tcPr>
            <w:tcW w:w="1060" w:type="dxa"/>
            <w:vAlign w:val="bottom"/>
            <w:gridSpan w:val="4"/>
          </w:tcPr>
          <w:p>
            <w:pPr>
              <w:ind w:left="20"/>
              <w:spacing w:after="0" w:line="177" w:lineRule="exact"/>
              <w:rPr>
                <w:rFonts w:ascii="Arial" w:cs="Arial" w:eastAsia="Arial" w:hAnsi="Arial"/>
                <w:sz w:val="16"/>
                <w:szCs w:val="16"/>
                <w:color w:val="0000FF"/>
              </w:rPr>
            </w:pPr>
            <w:hyperlink r:id="rId95">
              <w:r>
                <w:rPr>
                  <w:rFonts w:ascii="Arial" w:cs="Arial" w:eastAsia="Arial" w:hAnsi="Arial"/>
                  <w:sz w:val="16"/>
                  <w:szCs w:val="16"/>
                  <w:color w:val="0000FF"/>
                </w:rPr>
                <w:t>10.</w:t>
              </w:r>
              <w:r>
                <w:rPr>
                  <w:rFonts w:ascii="Arial" w:cs="Arial" w:eastAsia="Arial" w:hAnsi="Arial"/>
                  <w:sz w:val="16"/>
                  <w:szCs w:val="16"/>
                  <w:u w:val="single" w:color="auto"/>
                  <w:color w:val="0000FF"/>
                </w:rPr>
                <w:t>32</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10 to the Fourth Amended and Restated Credit Agreement, dated as of January 19, 2024, among World Kinect</w:t>
            </w:r>
          </w:p>
        </w:tc>
      </w:tr>
      <w:tr>
        <w:trPr>
          <w:trHeight w:val="128"/>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World Fuel Services, Inc., WFS UK Holding</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Company IV Limited, Kinect Energy AS and Kinect Energy Spot AS, and Bank of America, N.A., as administrative agent (incorporated by</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reference herein from Exhibit 10.34 to our Annual Report on Form 10-K for the year ended December 31, 2023 filed on February 23, 2024</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(the "2023 10-K")).</w:t>
            </w:r>
          </w:p>
        </w:tc>
      </w:tr>
      <w:tr>
        <w:trPr>
          <w:trHeight w:val="177"/>
        </w:trPr>
        <w:tc>
          <w:tcPr>
            <w:tcW w:w="1060" w:type="dxa"/>
            <w:vAlign w:val="bottom"/>
            <w:gridSpan w:val="4"/>
          </w:tcPr>
          <w:p>
            <w:pPr>
              <w:ind w:left="20"/>
              <w:spacing w:after="0" w:line="177" w:lineRule="exact"/>
              <w:rPr>
                <w:rFonts w:ascii="Arial" w:cs="Arial" w:eastAsia="Arial" w:hAnsi="Arial"/>
                <w:sz w:val="16"/>
                <w:szCs w:val="16"/>
                <w:color w:val="0000FF"/>
              </w:rPr>
            </w:pPr>
            <w:hyperlink r:id="rId96">
              <w:r>
                <w:rPr>
                  <w:rFonts w:ascii="Arial" w:cs="Arial" w:eastAsia="Arial" w:hAnsi="Arial"/>
                  <w:sz w:val="16"/>
                  <w:szCs w:val="16"/>
                  <w:color w:val="0000FF"/>
                </w:rPr>
                <w:t>10.</w:t>
              </w:r>
              <w:r>
                <w:rPr>
                  <w:rFonts w:ascii="Arial" w:cs="Arial" w:eastAsia="Arial" w:hAnsi="Arial"/>
                  <w:sz w:val="16"/>
                  <w:szCs w:val="16"/>
                  <w:u w:val="single" w:color="auto"/>
                  <w:color w:val="0000FF"/>
                </w:rPr>
                <w:t>33</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Purchase Agreement, dated June 21, 2023, among World Kinect Corporation, Morgan Stanley &amp; Co. LLC, J.P. Morgan Securities LLC and</w:t>
            </w:r>
          </w:p>
        </w:tc>
      </w:tr>
      <w:tr>
        <w:trPr>
          <w:trHeight w:val="128"/>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BofA Securities, Inc. as representatives of the several initial purchasers listed on Schedule I thereto (incorporated by reference herein from</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June 27, 2023).</w:t>
            </w:r>
          </w:p>
        </w:tc>
      </w:tr>
      <w:tr>
        <w:trPr>
          <w:trHeight w:val="177"/>
        </w:trPr>
        <w:tc>
          <w:tcPr>
            <w:tcW w:w="1060" w:type="dxa"/>
            <w:vAlign w:val="bottom"/>
            <w:gridSpan w:val="4"/>
          </w:tcPr>
          <w:p>
            <w:pPr>
              <w:ind w:left="20"/>
              <w:spacing w:after="0" w:line="177" w:lineRule="exact"/>
              <w:rPr>
                <w:rFonts w:ascii="Arial" w:cs="Arial" w:eastAsia="Arial" w:hAnsi="Arial"/>
                <w:sz w:val="16"/>
                <w:szCs w:val="16"/>
                <w:color w:val="0000FF"/>
              </w:rPr>
            </w:pPr>
            <w:hyperlink r:id="rId97">
              <w:r>
                <w:rPr>
                  <w:rFonts w:ascii="Arial" w:cs="Arial" w:eastAsia="Arial" w:hAnsi="Arial"/>
                  <w:sz w:val="16"/>
                  <w:szCs w:val="16"/>
                  <w:color w:val="0000FF"/>
                </w:rPr>
                <w:t>10.</w:t>
              </w:r>
              <w:r>
                <w:rPr>
                  <w:rFonts w:ascii="Arial" w:cs="Arial" w:eastAsia="Arial" w:hAnsi="Arial"/>
                  <w:sz w:val="16"/>
                  <w:szCs w:val="16"/>
                  <w:u w:val="single" w:color="auto"/>
                  <w:color w:val="0000FF"/>
                </w:rPr>
                <w:t>34</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Form of Convertible Note Hedge Confirmation (incorporated by reference herein from Exhibit 10.2 to our Current Report on Form 8-K filed</w:t>
            </w:r>
          </w:p>
        </w:tc>
      </w:tr>
      <w:tr>
        <w:trPr>
          <w:trHeight w:val="182"/>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on June 27, 2023).</w:t>
            </w:r>
          </w:p>
        </w:tc>
      </w:tr>
      <w:tr>
        <w:trPr>
          <w:trHeight w:val="176"/>
        </w:trPr>
        <w:tc>
          <w:tcPr>
            <w:tcW w:w="1060" w:type="dxa"/>
            <w:vAlign w:val="bottom"/>
            <w:gridSpan w:val="4"/>
          </w:tcPr>
          <w:p>
            <w:pPr>
              <w:ind w:left="20"/>
              <w:spacing w:after="0" w:line="176" w:lineRule="exact"/>
              <w:rPr>
                <w:rFonts w:ascii="Arial" w:cs="Arial" w:eastAsia="Arial" w:hAnsi="Arial"/>
                <w:sz w:val="16"/>
                <w:szCs w:val="16"/>
                <w:color w:val="0000FF"/>
              </w:rPr>
            </w:pPr>
            <w:hyperlink r:id="rId98">
              <w:r>
                <w:rPr>
                  <w:rFonts w:ascii="Arial" w:cs="Arial" w:eastAsia="Arial" w:hAnsi="Arial"/>
                  <w:sz w:val="16"/>
                  <w:szCs w:val="16"/>
                  <w:color w:val="0000FF"/>
                </w:rPr>
                <w:t>10.</w:t>
              </w:r>
              <w:r>
                <w:rPr>
                  <w:rFonts w:ascii="Arial" w:cs="Arial" w:eastAsia="Arial" w:hAnsi="Arial"/>
                  <w:sz w:val="16"/>
                  <w:szCs w:val="16"/>
                  <w:u w:val="single" w:color="auto"/>
                  <w:color w:val="0000FF"/>
                </w:rPr>
                <w:t>35</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Warrant Confirmation (incorporated by reference herein from Exhibit 10.3 to our Current Report on Form 8-K filed on June 27,</w:t>
            </w:r>
          </w:p>
        </w:tc>
      </w:tr>
      <w:tr>
        <w:trPr>
          <w:trHeight w:val="182"/>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2023).</w:t>
            </w:r>
          </w:p>
        </w:tc>
      </w:tr>
      <w:tr>
        <w:trPr>
          <w:trHeight w:val="176"/>
        </w:trPr>
        <w:tc>
          <w:tcPr>
            <w:tcW w:w="20" w:type="dxa"/>
            <w:vAlign w:val="bottom"/>
          </w:tcPr>
          <w:p>
            <w:pPr>
              <w:spacing w:after="0"/>
              <w:rPr>
                <w:sz w:val="15"/>
                <w:szCs w:val="15"/>
                <w:color w:val="auto"/>
              </w:rPr>
            </w:pPr>
          </w:p>
        </w:tc>
        <w:tc>
          <w:tcPr>
            <w:tcW w:w="320" w:type="dxa"/>
            <w:vAlign w:val="bottom"/>
            <w:tcBorders>
              <w:bottom w:val="single" w:sz="8" w:color="0000FF"/>
            </w:tcBorders>
          </w:tcPr>
          <w:p>
            <w:pPr>
              <w:spacing w:after="0" w:line="176" w:lineRule="exact"/>
              <w:rPr>
                <w:sz w:val="20"/>
                <w:szCs w:val="20"/>
                <w:color w:val="auto"/>
              </w:rPr>
            </w:pPr>
            <w:r>
              <w:rPr>
                <w:rFonts w:ascii="Arial" w:cs="Arial" w:eastAsia="Arial" w:hAnsi="Arial"/>
                <w:sz w:val="16"/>
                <w:szCs w:val="16"/>
                <w:color w:val="0000FF"/>
                <w:w w:val="96"/>
              </w:rPr>
              <w:t>19.</w:t>
            </w:r>
            <w:r>
              <w:rPr>
                <w:rFonts w:ascii="Arial" w:cs="Arial" w:eastAsia="Arial" w:hAnsi="Arial"/>
                <w:sz w:val="16"/>
                <w:szCs w:val="16"/>
                <w:u w:val="single" w:color="auto"/>
                <w:color w:val="0000FF"/>
                <w:w w:val="96"/>
              </w:rPr>
              <w:t>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World Kinect Corporation Securities Trading Policy.</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21.</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Subsidiaries of the Registrant.</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Certification of the Chief Executive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or Rule 15d</w:t>
            </w:r>
            <w:r>
              <w:rPr>
                <w:rFonts w:ascii="MS PGothic" w:cs="MS PGothic" w:eastAsia="MS PGothic" w:hAnsi="MS PGothic"/>
                <w:sz w:val="16"/>
                <w:szCs w:val="16"/>
                <w:color w:val="auto"/>
              </w:rPr>
              <w:t>‑</w:t>
            </w:r>
            <w:r>
              <w:rPr>
                <w:rFonts w:ascii="Arial" w:cs="Arial" w:eastAsia="Arial" w:hAnsi="Arial"/>
                <w:sz w:val="16"/>
                <w:szCs w:val="16"/>
                <w:color w:val="auto"/>
              </w:rPr>
              <w:t>14(a).</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Certification of the Chief Financial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or Rule 15d</w:t>
            </w:r>
            <w:r>
              <w:rPr>
                <w:rFonts w:ascii="MS PGothic" w:cs="MS PGothic" w:eastAsia="MS PGothic" w:hAnsi="MS PGothic"/>
                <w:sz w:val="16"/>
                <w:szCs w:val="16"/>
                <w:color w:val="auto"/>
              </w:rPr>
              <w:t>‑</w:t>
            </w:r>
            <w:r>
              <w:rPr>
                <w:rFonts w:ascii="Arial" w:cs="Arial" w:eastAsia="Arial" w:hAnsi="Arial"/>
                <w:sz w:val="16"/>
                <w:szCs w:val="16"/>
                <w:color w:val="auto"/>
              </w:rPr>
              <w:t>14(a).</w:t>
            </w:r>
          </w:p>
        </w:tc>
      </w:tr>
      <w:tr>
        <w:trPr>
          <w:trHeight w:val="196"/>
        </w:trPr>
        <w:tc>
          <w:tcPr>
            <w:tcW w:w="340" w:type="dxa"/>
            <w:vAlign w:val="bottom"/>
            <w:gridSpan w:val="2"/>
          </w:tcPr>
          <w:p>
            <w:pPr>
              <w:ind w:left="20"/>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Statement of Chief Executive Officer and Chief Financial Officer under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(18 U.S.C.</w:t>
            </w:r>
          </w:p>
        </w:tc>
      </w:tr>
      <w:tr>
        <w:trPr>
          <w:trHeight w:val="182"/>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Section 1350).</w:t>
            </w:r>
          </w:p>
        </w:tc>
      </w:tr>
      <w:tr>
        <w:trPr>
          <w:trHeight w:val="176"/>
        </w:trPr>
        <w:tc>
          <w:tcPr>
            <w:tcW w:w="20" w:type="dxa"/>
            <w:vAlign w:val="bottom"/>
          </w:tcPr>
          <w:p>
            <w:pPr>
              <w:spacing w:after="0"/>
              <w:rPr>
                <w:sz w:val="15"/>
                <w:szCs w:val="15"/>
                <w:color w:val="auto"/>
              </w:rPr>
            </w:pPr>
          </w:p>
        </w:tc>
        <w:tc>
          <w:tcPr>
            <w:tcW w:w="320" w:type="dxa"/>
            <w:vAlign w:val="bottom"/>
            <w:tcBorders>
              <w:bottom w:val="single" w:sz="8" w:color="0000FF"/>
            </w:tcBorders>
          </w:tcPr>
          <w:p>
            <w:pPr>
              <w:spacing w:after="0" w:line="176" w:lineRule="exact"/>
              <w:rPr>
                <w:rFonts w:ascii="Arial" w:cs="Arial" w:eastAsia="Arial" w:hAnsi="Arial"/>
                <w:sz w:val="16"/>
                <w:szCs w:val="16"/>
                <w:color w:val="0000FF"/>
                <w:w w:val="96"/>
              </w:rPr>
            </w:pPr>
            <w:hyperlink r:id="rId99">
              <w:r>
                <w:rPr>
                  <w:rFonts w:ascii="Arial" w:cs="Arial" w:eastAsia="Arial" w:hAnsi="Arial"/>
                  <w:sz w:val="16"/>
                  <w:szCs w:val="16"/>
                  <w:color w:val="0000FF"/>
                  <w:w w:val="96"/>
                </w:rPr>
                <w:t>97.</w:t>
              </w:r>
              <w:r>
                <w:rPr>
                  <w:rFonts w:ascii="Arial" w:cs="Arial" w:eastAsia="Arial" w:hAnsi="Arial"/>
                  <w:sz w:val="16"/>
                  <w:szCs w:val="16"/>
                  <w:u w:val="single" w:color="auto"/>
                  <w:color w:val="0000FF"/>
                  <w:w w:val="96"/>
                </w:rPr>
                <w:t>1</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World Kinect Corporation Clawback Policy (incorporated by reference herein from Exhibit 97.1 to our 2023 10-K).</w:t>
            </w:r>
          </w:p>
        </w:tc>
      </w:tr>
    </w:tbl>
    <w:p>
      <w:pPr>
        <w:spacing w:after="0" w:line="26" w:lineRule="exact"/>
        <w:rPr>
          <w:sz w:val="20"/>
          <w:szCs w:val="20"/>
          <w:color w:val="auto"/>
        </w:rPr>
      </w:pPr>
    </w:p>
    <w:p>
      <w:pPr>
        <w:jc w:val="both"/>
        <w:ind w:left="1180" w:right="20" w:hanging="1154"/>
        <w:spacing w:after="0" w:line="228"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materials from World Kinect Corporation’s Annual Report on Form 10-K for the year ended December 31, 2024,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3"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file (formatted in Inline XBRL and contained in Exhibit 101).</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World Kinect Corporation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World Kinect Corporation and its subsidiaries (the "Company") as of December 31, 2024 and 2023, and the related consolidated statements of income and comprehensive income, of shareholders'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Aviation and Land Reporting Units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Notes 1 and 6 to the consolidated financial statements, the Company’s consolidated goodwill balance was $1,181.7 million as of December 31, 2024, which is allocated among the Aviation and Land reporting units. Goodwill is evaluated for impairment at the reporting unit level as of December 31 of each year, or more frequently if events or circumstances indicate that the carrying value of the goodwill may be impaired. To perform the quantitative impairment test, management compares the fair value of each reporting unit to its respective carrying amount, including goodwill. In calculating fair value, management uses a combination of both an income and market approach. As disclosed by management, under the income approach, management calculates the fair value of each reporting unit based on the present value of estimated future cash flows, which include assumptions related to expected growth rates, profitability, and a discount rate that corresponds to a weighted-average cost of capital. Under the market approach, management uses a selection of global companies that correspond to each reporting unit to derive a market based-multiple.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Aviation and Land reporting units is a critical audit matter are (i) the significant judgment by management when developing the fair value of the Aviation and Land reporting units; (ii) a high degree of auditor judgment, subjectivity, and effort in performing procedures and evaluating management’s significant assumptions related to expected growth rates, profitability, and the discount rates; and (iii) the audit effort involved the use of professionals with specialized skill and knowledge.</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determination of the reporting units and significant assumptions used in the estimated future cash flows. These procedures also included, among others (i) testing management’s process for developing the fair value of the Aviation and Land reporting units; (ii) evaluating the appropriateness of the income and market approaches; (iii) testing the completeness and accuracy of underlying data used in the income and market approaches; and (iv) evaluating the reasonableness of the significant assumptions related to expected growth rates, profitability, and the discount rates. Evaluating management’s assumptions related to expected growth rates and profitability involved evaluating whether the assumptions used were reasonable considering (i) the current and past performance of the Aviation and Land reporting units; (ii) the consistency with external market and industry data; and (iii) whether these assumptions were consistent with evidence obtained in other areas of the audit. Professionals with specialized skill and knowledge were used to assist in evaluating (i) the appropriateness of the income and market approaches and (ii) the reasonableness of the discount rate assumptions.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2024</w:t>
            </w:r>
          </w:p>
        </w:tc>
        <w:tc>
          <w:tcPr>
            <w:tcW w:w="200" w:type="dxa"/>
            <w:vAlign w:val="bottom"/>
          </w:tcPr>
          <w:p>
            <w:pPr>
              <w:spacing w:after="0"/>
              <w:rPr>
                <w:sz w:val="20"/>
                <w:szCs w:val="20"/>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184"/>
        </w:trPr>
        <w:tc>
          <w:tcPr>
            <w:tcW w:w="6700" w:type="dxa"/>
            <w:vAlign w:val="bottom"/>
          </w:tcPr>
          <w:p>
            <w:pPr>
              <w:ind w:left="140"/>
              <w:spacing w:after="0" w:line="183" w:lineRule="exact"/>
              <w:rPr>
                <w:sz w:val="20"/>
                <w:szCs w:val="20"/>
                <w:color w:val="auto"/>
              </w:rPr>
            </w:pPr>
            <w:r>
              <w:rPr>
                <w:rFonts w:ascii="Arial" w:cs="Arial" w:eastAsia="Arial" w:hAnsi="Arial"/>
                <w:sz w:val="18"/>
                <w:szCs w:val="18"/>
                <w:color w:val="auto"/>
              </w:rPr>
              <w:t>Accounts receivable, net of allowance for credit losses of $22.5 million and $18.3</w:t>
            </w:r>
          </w:p>
        </w:tc>
        <w:tc>
          <w:tcPr>
            <w:tcW w:w="20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2,432.6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2,735.5</w:t>
            </w:r>
          </w:p>
        </w:tc>
        <w:tc>
          <w:tcPr>
            <w:tcW w:w="0" w:type="dxa"/>
            <w:vAlign w:val="bottom"/>
          </w:tcPr>
          <w:p>
            <w:pPr>
              <w:spacing w:after="0"/>
              <w:rPr>
                <w:sz w:val="1"/>
                <w:szCs w:val="1"/>
                <w:color w:val="auto"/>
              </w:rPr>
            </w:pPr>
          </w:p>
        </w:tc>
      </w:tr>
      <w:tr>
        <w:trPr>
          <w:trHeight w:val="235"/>
        </w:trPr>
        <w:tc>
          <w:tcPr>
            <w:tcW w:w="6700" w:type="dxa"/>
            <w:vAlign w:val="bottom"/>
          </w:tcPr>
          <w:p>
            <w:pPr>
              <w:ind w:left="140"/>
              <w:spacing w:after="0"/>
              <w:rPr>
                <w:sz w:val="20"/>
                <w:szCs w:val="20"/>
                <w:color w:val="auto"/>
              </w:rPr>
            </w:pPr>
            <w:r>
              <w:rPr>
                <w:rFonts w:ascii="Arial" w:cs="Arial" w:eastAsia="Arial" w:hAnsi="Arial"/>
                <w:sz w:val="18"/>
                <w:szCs w:val="18"/>
                <w:color w:val="auto"/>
              </w:rPr>
              <w:t>million as of December 31, 2024 and 2023, respectively</w:t>
            </w:r>
          </w:p>
        </w:tc>
        <w:tc>
          <w:tcPr>
            <w:tcW w:w="20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4,503.8</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2,726.5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3,097.6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liabilities,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796.8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5,425.7</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Kinect shareholders' equity:</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200" w:type="dxa"/>
            <w:vAlign w:val="bottom"/>
          </w:tcPr>
          <w:p>
            <w:pPr>
              <w:spacing w:after="0"/>
              <w:rPr>
                <w:sz w:val="19"/>
                <w:szCs w:val="19"/>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670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Common stock, $0.01 par value; 100.0 shares authorized, 56.7 and 59.8 issued</w:t>
            </w:r>
          </w:p>
        </w:tc>
        <w:tc>
          <w:tcPr>
            <w:tcW w:w="20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5"/>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 as of December 31, 2024 and 2023, respectively</w:t>
            </w:r>
          </w:p>
        </w:tc>
        <w:tc>
          <w:tcPr>
            <w:tcW w:w="200" w:type="dxa"/>
            <w:vAlign w:val="bottom"/>
            <w:shd w:val="clear" w:color="auto" w:fill="CCEEFF"/>
          </w:tcPr>
          <w:p>
            <w:pPr>
              <w:spacing w:after="0"/>
              <w:rPr>
                <w:sz w:val="20"/>
                <w:szCs w:val="20"/>
                <w:color w:val="auto"/>
              </w:rPr>
            </w:pPr>
          </w:p>
        </w:tc>
        <w:tc>
          <w:tcPr>
            <w:tcW w:w="2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World Kinect shareholders' equity</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1,949.6</w:t>
            </w: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7,375.3</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42,168.0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47,710.6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59,043.1</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41,141.6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46,652.4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57,954.1</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60" w:type="dxa"/>
            <w:vAlign w:val="bottom"/>
          </w:tcPr>
          <w:p>
            <w:pPr>
              <w:ind w:left="20"/>
              <w:spacing w:after="0" w:line="203" w:lineRule="exact"/>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175"/>
        </w:trPr>
        <w:tc>
          <w:tcPr>
            <w:tcW w:w="6960" w:type="dxa"/>
            <w:vAlign w:val="bottom"/>
          </w:tcPr>
          <w:p>
            <w:pPr>
              <w:ind w:left="140"/>
              <w:spacing w:after="0" w:line="176" w:lineRule="exact"/>
              <w:rPr>
                <w:sz w:val="20"/>
                <w:szCs w:val="20"/>
                <w:color w:val="auto"/>
              </w:rPr>
            </w:pPr>
            <w:r>
              <w:rPr>
                <w:rFonts w:ascii="Arial" w:cs="Arial" w:eastAsia="Arial" w:hAnsi="Arial"/>
                <w:sz w:val="18"/>
                <w:szCs w:val="18"/>
                <w:color w:val="auto"/>
              </w:rPr>
              <w:t>Cash flow hedges, net of income tax expense (benefit) of ($3.5), ($2.7), and $7.6 for</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2024, 2023, and 2022, respectively</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Kinect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6" w:lineRule="exact"/>
        <w:rPr>
          <w:sz w:val="20"/>
          <w:szCs w:val="20"/>
          <w:color w:val="auto"/>
        </w:rPr>
      </w:pPr>
    </w:p>
    <w:p>
      <w:pPr>
        <w:ind w:right="4880"/>
        <w:spacing w:after="0" w:line="222" w:lineRule="auto"/>
        <w:rPr>
          <w:sz w:val="20"/>
          <w:szCs w:val="20"/>
          <w:color w:val="auto"/>
        </w:rPr>
      </w:pPr>
      <w:r>
        <w:rPr>
          <w:rFonts w:ascii="Arial" w:cs="Arial" w:eastAsia="Arial" w:hAnsi="Arial"/>
          <w:sz w:val="22"/>
          <w:szCs w:val="22"/>
          <w:b w:val="1"/>
          <w:bCs w:val="1"/>
          <w:color w:val="auto"/>
        </w:rPr>
        <w:t xml:space="preserve">CONSOLIDATED STATEMENTS OF SHAREHOLDERS’ EQUITY </w:t>
      </w:r>
      <w:r>
        <w:rPr>
          <w:rFonts w:ascii="Arial" w:cs="Arial" w:eastAsia="Arial" w:hAnsi="Arial"/>
          <w:sz w:val="17"/>
          <w:szCs w:val="17"/>
          <w:color w:val="auto"/>
        </w:rPr>
        <w:t>(In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 World</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66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Kinect</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ind w:left="80"/>
              <w:spacing w:after="0" w:line="122"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4"/>
                <w:szCs w:val="4"/>
                <w:color w:val="auto"/>
              </w:rPr>
            </w:pPr>
          </w:p>
        </w:tc>
        <w:tc>
          <w:tcPr>
            <w:tcW w:w="84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4"/>
                <w:szCs w:val="4"/>
                <w:color w:val="auto"/>
              </w:rPr>
            </w:pPr>
          </w:p>
        </w:tc>
        <w:tc>
          <w:tcPr>
            <w:tcW w:w="128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4"/>
                <w:szCs w:val="4"/>
                <w:color w:val="auto"/>
              </w:rPr>
            </w:pPr>
          </w:p>
        </w:tc>
        <w:tc>
          <w:tcPr>
            <w:tcW w:w="620" w:type="dxa"/>
            <w:vAlign w:val="bottom"/>
            <w:vMerge w:val="restart"/>
          </w:tcPr>
          <w:p>
            <w:pPr>
              <w:jc w:val="right"/>
              <w:ind w:right="148"/>
              <w:spacing w:after="0" w:line="12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Equity</w:t>
            </w:r>
          </w:p>
        </w:tc>
        <w:tc>
          <w:tcPr>
            <w:tcW w:w="14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1,916.8</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for acquisition</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of a business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withholding taxes related to share-based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awards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Balance as of December 31, 2022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1,962.5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1,984.9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1,990.7</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withholding taxes related to share-based</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awards</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Convertible note hedge transactions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transactions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Balance as of December 31, 2023</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1,981.6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1,943.0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1,949.6</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withholding taxes related to share-based</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awards</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00"/>
        </w:trPr>
        <w:tc>
          <w:tcPr>
            <w:tcW w:w="2740" w:type="dxa"/>
            <w:vAlign w:val="bottom"/>
          </w:tcPr>
          <w:p>
            <w:pPr>
              <w:ind w:left="20"/>
              <w:spacing w:after="0"/>
              <w:rPr>
                <w:sz w:val="20"/>
                <w:szCs w:val="20"/>
                <w:color w:val="auto"/>
              </w:rPr>
            </w:pPr>
            <w:r>
              <w:rPr>
                <w:rFonts w:ascii="Arial" w:cs="Arial" w:eastAsia="Arial" w:hAnsi="Arial"/>
                <w:sz w:val="14"/>
                <w:szCs w:val="14"/>
                <w:color w:val="auto"/>
              </w:rPr>
              <w:t>Balance as of December 31, 2024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1,948.7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1,955.9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6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184"/>
        </w:trPr>
        <w:tc>
          <w:tcPr>
            <w:tcW w:w="66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Adjustments to reconcile net income including noncontrolling interest to net cash</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5"/>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Unrealized (gain) loss on derivatives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179.9</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sale of business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operating lease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 award compensation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foreign currency (gains) losses,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collateral with counterparties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derivative assets and liabilities,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1,107.5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business, net of cash acquired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Proceeds from sale of business, net of divested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investing activities,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Cash flows from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6,944.9</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(6,611.2)</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Convertible Notes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Dividends paid on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Purchase of convertible note hedges</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warrants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Payments of deferred consideration for acquisitions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as of the beginning of the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and cash equivalents, as of the end of the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r>
      <w:tr>
        <w:trPr>
          <w:trHeight w:val="21"/>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 – (CONTINUED)</w:t>
      </w:r>
    </w:p>
    <w:p>
      <w:pPr>
        <w:spacing w:after="0"/>
        <w:rPr>
          <w:sz w:val="20"/>
          <w:szCs w:val="20"/>
          <w:color w:val="auto"/>
        </w:rPr>
      </w:pPr>
      <w:r>
        <w:rPr>
          <w:rFonts w:ascii="Arial" w:cs="Arial" w:eastAsia="Arial" w:hAnsi="Arial"/>
          <w:sz w:val="18"/>
          <w:szCs w:val="18"/>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7"/>
          </w:tcPr>
          <w:p>
            <w:pPr>
              <w:jc w:val="right"/>
              <w:ind w:right="79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year for: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40"/>
              <w:spacing w:after="0"/>
              <w:rPr>
                <w:sz w:val="20"/>
                <w:szCs w:val="20"/>
                <w:color w:val="auto"/>
              </w:rPr>
            </w:pPr>
            <w:r>
              <w:rPr>
                <w:rFonts w:ascii="Arial" w:cs="Arial" w:eastAsia="Arial" w:hAnsi="Arial"/>
                <w:sz w:val="18"/>
                <w:szCs w:val="18"/>
                <w:color w:val="auto"/>
              </w:rPr>
              <w:t>Interest, net of capitalized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113.6</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 NOTES TO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World Kinect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("2024 10</w:t>
      </w:r>
      <w:r>
        <w:rPr>
          <w:rFonts w:ascii="MS PGothic" w:cs="MS PGothic" w:eastAsia="MS PGothic" w:hAnsi="MS PGothic"/>
          <w:sz w:val="18"/>
          <w:szCs w:val="18"/>
          <w:color w:val="auto"/>
        </w:rPr>
        <w:t>‑</w:t>
      </w:r>
      <w:r>
        <w:rPr>
          <w:rFonts w:ascii="Arial" w:cs="Arial" w:eastAsia="Arial" w:hAnsi="Arial"/>
          <w:sz w:val="18"/>
          <w:szCs w:val="18"/>
          <w:color w:val="auto"/>
        </w:rPr>
        <w:t>K Report") as "World Kinect," "we," "our" and "us." On June 15, 2023, the Company's shareholders approved an amendment to the Company's Articles of Incorporation, as amended, changing the Company's name from World Fuel Services Corporation to World Kinect Corporation. This change is intended to better reflect the Company's ongoing transformation into a more resilient, diversified energy and solutions provider.</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global energy management company offering fulfillment and related services across the aviation, marine, and land-based transportation sectors. We also supply natural gas and power in the United States and Europe along with a growing suite of other sustainability-related products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and related Notes include our parent company and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Consolidated Financial Statements are prepared in accordance with accounting principles generally accepted in the United States of America ("U.S. GAAP"). Our fiscal year-end is as of and for the year ended December 31 for each year presented. All intercompany transactions among our consolidated subsidiaries have been eliminated.</w:t>
      </w:r>
    </w:p>
    <w:p>
      <w:pPr>
        <w:spacing w:after="0" w:line="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Certain amounts in the Consolidated Financial Statements and accompanying Notes may not add due to rounding. All percentages have been calculated using unrounded amounts. Certain prior period amounts have been reclassified to conform to the current presentation.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Segment Reporting</w:t>
      </w:r>
      <w:r>
        <w:rPr>
          <w:rFonts w:ascii="Arial" w:cs="Arial" w:eastAsia="Arial" w:hAnsi="Arial"/>
          <w:sz w:val="18"/>
          <w:szCs w:val="18"/>
          <w:color w:val="auto"/>
        </w:rPr>
        <w:t>. Accounting Standards Update ("ASU") 2023-07, Segment Reporting (Topic 280): Improvements to Reportable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was issued in November 2023. ASU 2023-07 amends the guidance in Accounting Standards Codification ("ASC") 280, Segment Reporting, to require public entities to disclose significant segment expenses and other segment items on an interim and annual basis. The amendment also requires disclosure of the chief operating decision maker's ("CODM") title and position on an annual basis, as well as an explanation of how the CODM uses the reported measure(s). Additionally, the amended guidance permits companies to disclose more than one measure of segment profit or loss used by the CODM provided that at least one of the reported measures includes the segment profit or loss measure that is most consistent with GAAP measurement principles. The amendment also requires all disclosures about a reportable segment’s assets and profit or loss, currently required only in annual periods, in all interim periods. The ASU does not change how a public entity identifies or aggregates its operating segments or how quantitative thresholds are applied to determine an entities' reportable segments. ASU 2023-07 is effective for fiscal years beginning after December 15, 2023 and interim periods within fiscal years beginning after December 15, 2024, and should be applied retrospectively to all periods presented in the financial statements. The Company adopted ASU 2023-07 in the fourth quarter of 2024 and has included the relevant disclosures in Note 15. Business Segments, Geographic Information, and Major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ASU 2023-09, Income Taxes (Topic 740): Improvements to Income Tax Disclosures, was issued in December 2023.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2023-09 amends the guidance in ASC 740, Income Taxes, to improve the transparency of income tax disclosures by amending the required rate reconciliation disclosures as well as requiring disclosure of income taxes paid disaggregated by jurisdiction. As amended, the rate reconciliation disclosure will be required to be presented in both percentages and reporting currency amounts, with consistent categories and greater disaggregation of information. The ASU also includes amendments intended to improve the effectiveness of income tax disclosures and eliminate certain existing disclosure requirements related to uncertain tax positions and unrecognized deferred tax liabilities. The amendments are effective for fiscal years beginning after December 15,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2024 and should be applied prospectively. Early adoption is permitted. The Company is currently evaluating the amendments to identify potential impacts to the Company's Notes to the Consolidated Financial Statements and processes.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Expense Disaggregation. </w:t>
      </w:r>
      <w:r>
        <w:rPr>
          <w:rFonts w:ascii="Arial" w:cs="Arial" w:eastAsia="Arial" w:hAnsi="Arial"/>
          <w:sz w:val="18"/>
          <w:szCs w:val="18"/>
          <w:color w:val="auto"/>
        </w:rPr>
        <w:t>ASU 2024-03, Income Statement - Reporting Comprehensive Income - Expense Disaggregation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(Subtopic 220-40): Disaggregation of Income Statement Expenses, was issued in November 2024. ASU 2024-03 does not change the expense captions an entity presents on the face of the income statement; rather, it requires disaggregation of certain expense captions into specified categories in disclosures within the footnotes to the financial statements at each interim and annual period. The amendments require disclosure of the amounts of (a) purchases of inventory, (b) employee compensation, (c) depreciation, (d) intangible asset amortization, and (e) depreciation, depletion, and amortization recognized as part of oil- and gas-producing activities included in each relevant expense caption. The amendments also require disclosure of certain amounts that are already required to be disclosed under current guidance in the same disclosure as the other disaggregation requirements, a qualitative description of the amounts remaining in relevant expense captions that are not separately disaggregated quantitatively, and the total amount of selling expenses and, in annual reporting periods, the entity's definition of selling expenses. ASU 2024-03 is effective for annual reporting periods beginning after December 15, 2026, and interim reporting periods within annual reporting periods beginning after December 15, 2027. Early adoption is permitted. The amendments should be applied prospectively to financial statements issued for reporting periods after the effective date of the update or retrospectively to any or all prior periods presented in the financial statements. The Company is currently evaluating the amendments to identify potential impacts to the Company's Notes to the Consolidated Financial Statements and processes.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are no other recently issued accounting standards not yet adopted by us that, upon adoption, are expected to have a material impact on the Company's Consolidated Financial Statements or processes.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Securities and Exchange Commission Final Rules Issued but Not Yet Effective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Climate-Related Disclosures. </w:t>
      </w:r>
      <w:r>
        <w:rPr>
          <w:rFonts w:ascii="Arial" w:cs="Arial" w:eastAsia="Arial" w:hAnsi="Arial"/>
          <w:sz w:val="18"/>
          <w:szCs w:val="18"/>
          <w:color w:val="auto"/>
        </w:rPr>
        <w:t>In March 2024, the Securities and Exchange Commission ("SEC") adopted final rules requiring registrants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certain climate-related information in their registration statements and annual reports. In April 2024, the SEC voluntarily stayed the rules pending judicial review. In February 2025, the Acting Chairman of the SEC announced that he does not support the SEC's climate disclosure rules and that he had directed the SEC staff to request that the Eighth Circuit Court of Appeals delay scheduling the case for arguments. The Company continues to monitor the status of these final rules.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Estimates and Assumptions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Accounts Receivable and Allowance for Credit Losses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measured at amortized cost. The collectability of our accounts receivable is continuously monitored using a risk-based model, taking into consideration both the timeliness and predictability of collections from our customers. We maintain a provision for estimated credit losses based upon our historical experience with our customers, along with any specific customer collection issues that we have identified from current financial information and business prospects, as well as any political or economic conditions or other market factors, including certain assumptions based on reasonable forward-looking information from market sources. Principally based on these credit risk factors, portfolio segments are defined and an internally derived risk-based credit loss reserve is established and applied to each portfolio segment. Customer account balances that are deemed to be at high risk of collectability are reserved at higher rates than customer account balances which we expect to collect without difficulty.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Individual receivables are written off when there is information indicating that the counterparty is in severe financial difficulty and the amounts are deemed uncollectible. An accounts receivable written off may still be subject to enforcement activities under our recovery procedures, taking into account legal advice where appropriate. Any subsequent recoveries made are recognized as income in the Consolidated Statements of Income and Comprehensive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2. 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Inventories are valued primarily using weighted average cost and first-in-first-out in certain limited locations. Inventory is stated at the lower of average cost or net realizable value. When evidence exists that the net realizable value of inventory is lower than its cost, the difference is recognized as a loss in the Consolidated Statements of Income and Comprehensive Income in the period in which it occurs. We utilize a variety of fuel indices and other indicators to calculate the net realizable value. The cost of inventory includes fuel purchase costs, any related transportation or distribution costs and changes in the estimated fair market values for inventories included in a fair value hedge relationship.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Business Combinations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business combination occurs when an entity obtains control of a business by acquiring its net assets, or some or all of its equity interests.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Before applying the acquisition method, we determine whether a transaction meets the definition of a business combination. For a transaction to be accounted for as a business combination, the entity or net assets acquired must meet the definition of a business as defined in ASC 805. Under the acquisition method, the purchase price is allocated to all identifiable assets acquired, all liabilities assumed and any noncontrolling interest at the fair value as of the acquisition date. Any residual difference with the consideration transferred is recognized as Goodwill. Goodwill arises because the purchase price paid reflects numerous factors, including the strategic value and expected synergies that the acquisition would bring to our existing operations. Acquisition-related costs incurred in connection with a business combination are expensed as incurred.</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assets acquired do not meet the definition of a business, we account for the transaction as an asset acquisition in which goodwill is not recognized, but rather any residual difference with the consideration transferred is allocated on a relative fair value basis to all qualifying identifiable net assets acquired.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3. 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Fair value is the price to sell an asset or transfer a liability and therefore represents an exit price in the principal market (or in the absence of a principal market, the most advantageous market). It represents a market-based measurement that contemplates a hypothetical transaction between market participants at the measurement date.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fair value using various methodologies, depending on the type of assets, including the income approach (e.g., based on the present value of estimated future cash flows), the market approach, the cost approach, or a combination thereof. The unique characteristics of an asset or liability and the availability of observable prices affect the number of valuation approaches and/or techniques used in a fair value analysis. We measure fair value using observable and unobservable inputs. We give the highest priority to quoted prices (unadjusted) in active markets for identical assets or liabilities (Level 1 inputs) and the lowest priority to unobservable inputs (Level 3 inputs).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fair value hierarchy:</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2 – Quoted prices in non-active markets or in active markets for similar assets or liabilities, observable inputs other than quoted prices; and inputs that are not directly observable but are corroborated by observable market data.</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 – Inputs that are unobservable.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5.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derivative contracts, except for those designated as normal purchase normal sale, are recognized at their estimated fair market value. The fair value of our derivatives is derived using observable and certain unobservable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inputs, such as basis differentials, which are based on the difference between the historical prices of our prior transactions and underlying observable data; and incorporates the effect of nonperformance risk.</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that qualify for hedge accounting may be designated as either a fair value or cash flow hedge. At the inception, and on an ongoing basis, we assess the hedging relationship to determine its effectiveness in offsetting changes in cash flows or fair value attributable to the hedged risk. For our fair value hedges, changes in the estimated fair market value of the hedging instrument and the hedged item are recognized in the same line item as the underlying transaction type in the Consolidated Statements of Income and Comprehensive Income. For our cash flow hedges, the changes in the fair market value of the hedging instrument are initially recognized in other comprehensive income as a separate component of shareholders’ equity and subsequently reclassified into the same line item as the underlying forecasted transaction in the Consolidated Statements of Income and Comprehensive Income when both are settled or deemed probable of not occurring.</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of derivatives that do not contain an other-than-insignificant financing element and are designated in cash flow or fair value hedges are classified in the same category as the cash flow from the hedged items in our Consolidated Statements of Cash Flows. If for any reason hedge accounting is discontinued, then any cash flows subsequent to the date of discontinuance will be classified in a manner consistent with the nature of the instrument. Cash flows related to all other non-hedging derivatives are classified in accordance with the nature of the derivative instrument and how it is used in the context of the entity’s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4. 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primarily by using the straight-line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(including property and equipment) are assessed for impairment whenever events or changes in circumstances indicate that the carrying amount of an asset may not be recoverable.</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Purchases of computer software and external costs and certain internal costs directly associated with developing significant computer software applications for internal use are capitalized within property and equipment, which also includes hosting arrangements when we have the contractual right to take possession of the software at any time during the hosting period and it is feasible for us to either run the software in our own hardware or contract with another unrelated party to host the software. Amortization of such costs is calculated primarily by using the straight-line method over the estimated useful life of the software.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9.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Goodwill is evaluated for impairment at the reporting unit level as of December 31 of each year, or more frequently if events or circumstances indicate that the carrying value of goodwill may be impaired.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the option to perform a qualitative assessment of goodwill rather than completing the quantitative impairment test. Under this qualitative assessment, if we conclude it is not more likely than not that the fair value of the reporting unit is less than its carrying amount, no further analysis is needed.</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perform the quantitative impairment test, we compare the fair value of each reporting unit to its respective carrying amount, including goodwill. In calculating the fair value, we use a combination of both an income and market approach. Under the market approach, we use a selection of global companies that correspond to each reporting unit to derive a market-based multiple. Under the income approach, we calculate the fair value of each reporting unit based on the present value of estimated future cash flows. The estimated future cash flows are based on the best information available as of the testing date, including our annual operating plan that is approved by our Board of Directors. The estimated cash flows are discounted using rates that correspond to a weighted-average cost of capital consistent with those used internally for investment decisions. All our estimates are considered supportable assumptions that are based on a number of factors including industry experience, internal benchmarks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and the economic environment. We believe these assumptions are reasonable and are consistent with those we believe a market participant would use.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6. Goodwill and Identifiable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Identifiable Intangible Assets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acquisitions, we recognize identifiable intangible assets at fair value. After the initial recognition of the asset, the accounting treatment depends on the period over which the asset is expected to contribute directly or indirectly to the future cash flows of the company. Identifiable intangible assets with finite useful lives are amortized over their estimated useful lives and are assessed for impairment at the asset group level whenever events or changes in circumstances indicate that the carrying amount of an asset may not be recoverable. Intangible assets with indefinite useful life are not subject to amortization but are tested for impairment at least annually during the fourth quarter. This analysis generally involves the use of qualitative and quantitative information to conclude whether the fair value is greater than or equal to the carrying value.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6. Goodwill and Identifiable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Investments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hold investments accounted for under the equity method as we have the ability to exercise significant influence over the operating and financial policies of the investee, but do not have control.</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carrying amount of an equity method investment is increased to reflect our share of income and is reduced to reflect our share of losses of the investee, dividends received and other-than-temporary impairments. Investments accounted for under the equity method are assessed for impairment whenever events or changes in circumstances indicate that the carrying amount of an investment may not be recoverable.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assess our intent and/or ability to recover the carrying amount of the investment over a long period. However, if the fair value of the investment is less than its carrying amount, and the investment will not recover in the near term, then an other-than-temporary impairment is recognized. Impairments of investments are classified as Asset impairments within the Consolidated Statements of Income and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Revenue Recognition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from the sale of fuel is recognized when our customers obtain control of the fuel, which is typically upon delivery of each promised gallon or barrel to an agreed-upon delivery point. Revenue from services, including energy procurement advisory services and international trip planning support, are recognized over the contract period when services have been performed and we have the right to invoice for those services.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long term contracts with customers, we may provide upfront payments that are not in exchange for a distinct good or service to be provided to us. The consideration paid to the customer is accounted for as a reduction of the transaction price, and therefore revenue, at the date the related goods are transferred to the customer. Consideration received from our vendors that is not in exchange for a distinct good or service and is not a reimbursement of costs is accounted for as a reduction of the purchase price of the goods or services.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Shipping and handling related fees incurred before control of the goods or services are transferred to the customer, are considered activities to fulfill the promise and not a separately promised service. When we coordinate shipping and handling activities after our customer obtains control of goods or services, we have elected to account for these shipping and handling costs as activities to fulfill the promise to transfer the goods.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elected not to adjust the contract consideration for the effect of a significant financing component for any contract in which the period between when the Company transfers the promises in the contract and when the customer pays is a year or less. In addition, we have elected to exclude from the transaction price the amount of certain taxes assessed by a government authority that we collect (or recover) from our customer and remit in connection with our sales transactions, such as certain sales or excise taxes.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elected to apply the optional exemption from estimating and disclosing the variable consideration from our remaining performance obligations when the transaction price is only estimated for disclosures purpose, including contracts in which the right to consideration corresponds directly with the value to the customer of the entity's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performance to date. Also, we have elected to apply the exemption for contracts with fixed consideration and original expected duration of less than one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10.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Share-Based Payment Awards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share-based payment awards on a fair value basis of the equity instrument issued. Under fair value accounting, the grant-date fair value of the share-based payment award is amortized as compensation expense, on a straight-line basis, over the service period (generally, the vesting period) for both graded and cliff vesting awards. We have elected to account for forfeitures as they occur. For additional information, see Note 13. Shareholders'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Foreign Currency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Generally, the functional currency of our subsidiaries is the U.S. dollar, except for certain foreign subsidiaries which utilize their respective local currency as their functional currency. Monetary assets and liabilities denominated in a currency that is different from the functional currency are remeasured from the applicable currency to the functional currency using month-end exchange rates. Foreign currency transaction gains and losses are included in other income (expense), net, in the accompanying Consolidated Statements of Income and Comprehensive Income in the period incurred.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Income Taxes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remaining carrying value of our deferred tax assets, after recording the valuation allowance on our deferred tax assets, is based on our present belief that it is more likely than not that we will be able to generate sufficient future taxable income in certain tax jurisdictions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of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11. Income Taxes.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Earnings per Common Share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common share is computed by dividing net income attributable to World Kinect and available to common shareholders by the weighted average number of shares of common stock outstanding for the period. Diluted earnings per common share is computed by dividing net income attributable to World Kinect and available to common shareholders by the sum of the weighted average number of shares of common stock outstanding for the period and the number of additional shares of common stock that would have been outstanding if our outstanding potentially dilutive securities had been issued.</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Potentially dilutive securities include share-based compensation awards, such as restricted stock subject to forfeitable dividends, non-vested restricted stock units ("RSUs"), performance stock units where the performance requirements have been met, and settled stock appreciation rights awards ("SSARs"), as well as the Convertible Notes discussed in Note 8. Debt, Interest Income, Expense, and Other Finance Costs. The dilutive effect of potentially dilutive share-based compensation awards is reflected in diluted earnings per common share by application of the treasury stock method, unless its impact is anti-dilutive. Under the treasury stock method, an increase in the fair market value of our common stock can result in a greater dilutive effect from potentially dilutive securities. The dilutive effect of the Convertible Notes is determined by application of the if-converted method. The if-converted method assumes that these securities were converted at the beginning of the reporting period to the extend that the effect is dilutive. The Convertible Notes would have a dilutive impact when the average market price of the Company's common stock for a given period exceeds the respective conversion price of the Convertible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17. Earnings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Leases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determine if an arrangement is a lease at contract inception. Determining whether a contract contains a lease includes judgment regarding whether the contract conveys the right to control the use of identified property or equipment for a period of time in exchange for consideration.</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lessee, we account for our lease-related assets and liabilities based on their classification as operating leases or finance leases, following the relevant accounting guidance. We have elected an accounting policy to combine non-lease components with the related-lease components and treat the combined items as a lease for accounting purposes.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lease-related assets and liabilities.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assess right-of-use assets for impairment at the asset group level whenever events or changes in circumstances indicate that the carrying amount of an asset may not be recoverable. Impairments are classified as Asset impairments within the Consolidated Statements of Income and Comprehensive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14.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Loss Contingencies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is accrued. However, if no amount within the range is a better estimate, the minimum amount in the range should be accrued.</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When a loss is reasonably possible (the chance of the future event or events occurring is more than remote but less than likely), no accrual is recognized.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11. Income Taxes and Note 12.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When we extend credit on an unsecured basis, our exposure to credit losses depends on the financial condition of our customers and macroeconomic factors beyond our control, such as global economic conditions or adverse impacts in the industries we serve, changes in energy prices and political instability.</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actively monitor and manage our credit exposure and work to respond to both changes in our customers' financial conditions and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accounts receivable, net, of $2.4 billion and $2.7 billion and an allowance for expected credit losses, primarily related to accounts receivable, of $23.7 million and $20.8 million, as of December 31, 2024 and 2023, respectively. Changes to the expected credit loss provision during the year ended December 31, 2024 resulted from the Company's assessment of reasonable and supportable forward-looking information, including global economic outlook considerations; in addition to the impact of exiting certain activities as described in Note 16. Restructuring and Exit Activities. Based on an aging analysis as of December 31, 2024, 95% of our accounts receivable were outstanding less than 60 days.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expected credit losses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Charges to allowance for credit losses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1"/>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During 2023, we amended one of our RPAs to, among other things, reduce the overall fee structure.</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sold under the RPAs are accounted for as sales and excluded from Accounts receivable, net of allowance for credit losses on the accompanying Consolidated Balance Sheets. Fees paid under the RPAs are recorded within Interest expense and other financing costs, net on the Consolidated Statements of Income and Comprehensive Income.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years ended December 31, 2024, 2023, and 2022, respectively, we sold receivables under the RPAs with an aggregate face value of $11.9 billion, $9.5 billion, and $13.1 billion and recognized fees of $38.5 million, $37.6 million, and $44.5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Divestitures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 2024, we completed the sale of our Avinode Group and our portfolio of aviation fixed-based operator software products (the "Avinode disposal group") for cash proceeds, net of cash sold, of $200.1 million (the "Avinode sale"). The Avinode sale resulted in a pre-tax gain of $ 96.0 million, net of costs to sell and after the reclassification of cumulative translation losses of $17.1 million to net income, that is included in Other income (expense), net within our Consolidated Statements of Income and Comprehensive Income. The related tax expense of $12.4 million is included in the Provision for income taxes within our Consolidated Statements of Income and Comprehensive Income. Prior to the Avinode sale, the Avinode disposal group was reported within the aviation segment. The Avinode sale did not meet the criteria to be reported as a discontinued operation.</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December 13, 2024, we completed the sale of our land and marine subsidiaries in Brazil (the "Brazil disposal group") for cash proceeds, net of cash sold, of $8.9 million (the "Brazil sale"). The Brazil sale resulted in a pre-tax</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of $ 111.2 million, net of costs to sell and after the reclassification of cumulative translation losses of $80.0 million to net income, that is included in Other income (expense), net within our Consolidated Statements of Income and Comprehensive Income. The related tax benefit of $6.0 million is included in the Provision for income taxes within our Consolidated Statements of Income and Comprehensive Income. Prior to the Brazil sale, the Brazil disposal group was reported within the land and marine segments. The Brazil sale did not meet the criteria to be reported as a discontinued operation.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Acquisition</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first quarter of 2022, we completed the acquisition of Flyers Energy Group, LLC ("Flyers") for a total purchase price of $795.0 million. Flyers' operations include transportation, commercial fleet fueling, lubricants distribution, and the supply of wholesale, branded and renewable fuels. The acquisition was accounted for as a business combination and is reported in the land segment.</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purchase price allocation was finalized during the third quarter of 2022. The following table summarizes the fair value of the aggregate consideration as well as the final allocation of the purchase price to the fair value of the assets acquired and liabilities assumed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b w:val="1"/>
                <w:bCs w:val="1"/>
                <w:color w:val="auto"/>
              </w:rPr>
              <w:t>Final Purchase Price</w:t>
            </w:r>
          </w:p>
        </w:tc>
      </w:tr>
      <w:tr>
        <w:trPr>
          <w:trHeight w:val="243"/>
        </w:trPr>
        <w:tc>
          <w:tcPr>
            <w:tcW w:w="90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Allocation</w:t>
            </w:r>
          </w:p>
        </w:tc>
      </w:tr>
      <w:tr>
        <w:trPr>
          <w:trHeight w:val="20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Cash paid at closing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642.7</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adjustment paid to seller</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Common stock issued to seller</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9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Amount due to sellers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9040" w:type="dxa"/>
            <w:vAlign w:val="bottom"/>
          </w:tcPr>
          <w:p>
            <w:pPr>
              <w:ind w:left="20"/>
              <w:spacing w:after="0"/>
              <w:rPr>
                <w:sz w:val="20"/>
                <w:szCs w:val="20"/>
                <w:color w:val="auto"/>
              </w:rPr>
            </w:pPr>
            <w:r>
              <w:rPr>
                <w:rFonts w:ascii="Arial" w:cs="Arial" w:eastAsia="Arial" w:hAnsi="Arial"/>
                <w:sz w:val="18"/>
                <w:szCs w:val="18"/>
                <w:color w:val="auto"/>
              </w:rPr>
              <w:t>Total fair value of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9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30"/>
        </w:trPr>
        <w:tc>
          <w:tcPr>
            <w:tcW w:w="9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Identifiable intangible assets subject to amortization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29"/>
        </w:trPr>
        <w:tc>
          <w:tcPr>
            <w:tcW w:w="9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Identifiable intangible assets not subject to amortization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9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assets and liabilities, net </w:t>
            </w:r>
            <w:r>
              <w:rPr>
                <w:rFonts w:ascii="Arial" w:cs="Arial" w:eastAsia="Arial" w:hAnsi="Arial"/>
                <w:sz w:val="23"/>
                <w:szCs w:val="23"/>
                <w:color w:val="auto"/>
                <w:vertAlign w:val="superscript"/>
              </w:rPr>
              <w:t>(4)</w:t>
            </w: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30"/>
        </w:trPr>
        <w:tc>
          <w:tcPr>
            <w:tcW w:w="9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(5)</w:t>
            </w: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As of December 31, 2024, the amount due to sellers has been paid in full and no amount remains outstanding.</w:t>
      </w:r>
    </w:p>
    <w:p>
      <w:pPr>
        <w:spacing w:after="0" w:line="98"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Identifiable intangible assets subject to amortization primarily consist of customer and network relationships and other identifiable assets which will be amortized over a weighted average life of 11.6 years.</w:t>
      </w:r>
    </w:p>
    <w:p>
      <w:pPr>
        <w:sectPr>
          <w:pgSz w:w="11900" w:h="16838" w:orient="portrait"/>
          <w:cols w:equalWidth="0" w:num="1">
            <w:col w:w="11240"/>
          </w:cols>
          <w:pgMar w:left="320" w:top="122" w:right="3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not subject to amortization include trademarks and trade names acquired.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Includes the recognition of right of use assets of $45.0 million and lease liabilities of $46.0 million.</w:t>
      </w:r>
    </w:p>
    <w:p>
      <w:pPr>
        <w:spacing w:after="0" w:line="131" w:lineRule="exact"/>
        <w:rPr>
          <w:sz w:val="20"/>
          <w:szCs w:val="20"/>
          <w:color w:val="auto"/>
        </w:rPr>
      </w:pPr>
    </w:p>
    <w:p>
      <w:pPr>
        <w:sectPr>
          <w:pgSz w:w="11900" w:h="16838" w:orient="portrait"/>
          <w:cols w:equalWidth="0" w:num="2">
            <w:col w:w="160" w:space="160"/>
            <w:col w:w="10920"/>
          </w:cols>
          <w:pgMar w:left="320" w:top="122" w:right="339" w:bottom="1440" w:gutter="0" w:footer="0" w:header="0"/>
          <w:type w:val="continuous"/>
        </w:sectPr>
      </w:pPr>
    </w:p>
    <w:p>
      <w:pPr>
        <w:ind w:left="340" w:hanging="332"/>
        <w:spacing w:after="0" w:line="231"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Goodwill is attributable primarily to the expected synergies and other benefits that we believe will result from combining the acquired operations with the operations of our land segment. All of the goodwill assigned to the land segment was deductible for tax purposes.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Total revenue and income before income taxes of Flyers included in the Company's Consolidated Statement of Income and Comprehensive Income for the period from the date of acquisition through December 31, 2022 were $3.4 billion and $71.2 million, respectively.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risk management program includes the following types of 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Derivative contracts we hold to hedge the risk of changes in the price of our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Derivative contracts we execute to mitigate the risk of price and interest rate volatility in forecasted transactions.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Derivatives we primarily transact to mitigate the risk of market price fluctuations in swaps or futures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certain forward fixed price purchase and sale contracts to hedge the risk of currency rate fluctuations and for portfolio optimization.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gross notional values of our derivative contracts used for risk management purposes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00" w:type="dxa"/>
            <w:vAlign w:val="bottom"/>
          </w:tcPr>
          <w:p>
            <w:pPr>
              <w:spacing w:after="0"/>
              <w:rPr>
                <w:sz w:val="20"/>
                <w:szCs w:val="20"/>
                <w:color w:val="auto"/>
              </w:rPr>
            </w:pP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333333"/>
              </w:rPr>
              <w:t>Unit</w:t>
            </w:r>
          </w:p>
        </w:tc>
        <w:tc>
          <w:tcPr>
            <w:tcW w:w="234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2024</w:t>
            </w:r>
          </w:p>
        </w:tc>
      </w:tr>
      <w:tr>
        <w:trPr>
          <w:trHeight w:val="209"/>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Long</w:t>
            </w:r>
          </w:p>
        </w:tc>
        <w:tc>
          <w:tcPr>
            <w:tcW w:w="1900" w:type="dxa"/>
            <w:vAlign w:val="bottom"/>
            <w:gridSpan w:val="2"/>
          </w:tcPr>
          <w:p>
            <w:pPr>
              <w:ind w:left="700"/>
              <w:spacing w:after="0"/>
              <w:rPr>
                <w:sz w:val="20"/>
                <w:szCs w:val="20"/>
                <w:color w:val="auto"/>
              </w:rPr>
            </w:pPr>
            <w:r>
              <w:rPr>
                <w:rFonts w:ascii="Arial" w:cs="Arial" w:eastAsia="Arial" w:hAnsi="Arial"/>
                <w:sz w:val="18"/>
                <w:szCs w:val="18"/>
                <w:color w:val="auto"/>
              </w:rPr>
              <w:t>BBL</w:t>
            </w:r>
          </w:p>
        </w:tc>
        <w:tc>
          <w:tcPr>
            <w:tcW w:w="234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w:t>
            </w: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BBL</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57"/>
        </w:trPr>
        <w:tc>
          <w:tcPr>
            <w:tcW w:w="70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Sell U.S. dollar, buy other currencies</w:t>
            </w:r>
          </w:p>
        </w:tc>
        <w:tc>
          <w:tcPr>
            <w:tcW w:w="190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2340" w:type="dxa"/>
            <w:vAlign w:val="bottom"/>
          </w:tcPr>
          <w:p>
            <w:pPr>
              <w:jc w:val="right"/>
              <w:spacing w:after="0"/>
              <w:rPr>
                <w:sz w:val="20"/>
                <w:szCs w:val="20"/>
                <w:color w:val="auto"/>
              </w:rPr>
            </w:pPr>
            <w:r>
              <w:rPr>
                <w:rFonts w:ascii="Arial" w:cs="Arial" w:eastAsia="Arial" w:hAnsi="Arial"/>
                <w:sz w:val="18"/>
                <w:szCs w:val="18"/>
                <w:color w:val="auto"/>
              </w:rPr>
              <w:t>(675.1)</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Buy U.S. dollar, sell other currencies</w:t>
            </w:r>
          </w:p>
        </w:tc>
        <w:tc>
          <w:tcPr>
            <w:tcW w:w="1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USD</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r>
      <w:tr>
        <w:trPr>
          <w:trHeight w:val="216"/>
        </w:trPr>
        <w:tc>
          <w:tcPr>
            <w:tcW w:w="7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39"/>
        </w:trPr>
        <w:tc>
          <w:tcPr>
            <w:tcW w:w="700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190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234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28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majority of our foreign currency exchange contracts and the volume related to our commodities contracts are expected to settle within the next year and our interest rate swap agreement matures in March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Consolidated Balance Sheets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Gross Derivative Assets</w:t>
            </w:r>
          </w:p>
        </w:tc>
        <w:tc>
          <w:tcPr>
            <w:tcW w:w="180" w:type="dxa"/>
            <w:vAlign w:val="bottom"/>
          </w:tcPr>
          <w:p>
            <w:pPr>
              <w:spacing w:after="0"/>
              <w:rPr>
                <w:sz w:val="17"/>
                <w:szCs w:val="17"/>
                <w:color w:val="auto"/>
              </w:rPr>
            </w:pPr>
          </w:p>
        </w:tc>
        <w:tc>
          <w:tcPr>
            <w:tcW w:w="22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Gross Derivative Liabilities</w:t>
            </w:r>
          </w:p>
        </w:tc>
      </w:tr>
      <w:tr>
        <w:trPr>
          <w:trHeight w:val="203"/>
        </w:trPr>
        <w:tc>
          <w:tcPr>
            <w:tcW w:w="20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7"/>
                <w:szCs w:val="17"/>
                <w:color w:val="auto"/>
              </w:rPr>
            </w:pPr>
          </w:p>
        </w:tc>
        <w:tc>
          <w:tcPr>
            <w:tcW w:w="22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As of December 31,</w:t>
            </w:r>
          </w:p>
        </w:tc>
      </w:tr>
      <w:tr>
        <w:trPr>
          <w:trHeight w:val="197"/>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Consolidated Balance Sheets location</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r>
      <w:tr>
        <w:trPr>
          <w:trHeight w:val="197"/>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w:t>
            </w:r>
          </w:p>
        </w:tc>
      </w:tr>
      <w:tr>
        <w:trPr>
          <w:trHeight w:val="274"/>
        </w:trPr>
        <w:tc>
          <w:tcPr>
            <w:tcW w:w="2020" w:type="dxa"/>
            <w:vAlign w:val="bottom"/>
            <w:shd w:val="clear" w:color="auto" w:fill="CCEEFF"/>
          </w:tcPr>
          <w:p>
            <w:pPr>
              <w:spacing w:after="0"/>
              <w:rPr>
                <w:sz w:val="23"/>
                <w:szCs w:val="23"/>
                <w:color w:val="auto"/>
              </w:rPr>
            </w:pPr>
          </w:p>
        </w:tc>
        <w:tc>
          <w:tcPr>
            <w:tcW w:w="4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98"/>
        </w:trPr>
        <w:tc>
          <w:tcPr>
            <w:tcW w:w="2020" w:type="dxa"/>
            <w:vAlign w:val="bottom"/>
          </w:tcPr>
          <w:p>
            <w:pPr>
              <w:ind w:left="20"/>
              <w:spacing w:after="0"/>
              <w:rPr>
                <w:sz w:val="20"/>
                <w:szCs w:val="20"/>
                <w:color w:val="auto"/>
              </w:rPr>
            </w:pPr>
            <w:r>
              <w:rPr>
                <w:rFonts w:ascii="Arial" w:cs="Arial" w:eastAsia="Arial" w:hAnsi="Arial"/>
                <w:sz w:val="14"/>
                <w:szCs w:val="14"/>
                <w:color w:val="auto"/>
              </w:rPr>
              <w:t>Interest rate contract</w:t>
            </w: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63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1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22.4</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r>
      <w:tr>
        <w:trPr>
          <w:trHeight w:val="251"/>
        </w:trPr>
        <w:tc>
          <w:tcPr>
            <w:tcW w:w="202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02"/>
        </w:trPr>
        <w:tc>
          <w:tcPr>
            <w:tcW w:w="6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r>
      <w:tr>
        <w:trPr>
          <w:trHeight w:val="198"/>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207"/>
        </w:trPr>
        <w:tc>
          <w:tcPr>
            <w:tcW w:w="20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w:t>
            </w:r>
          </w:p>
        </w:tc>
      </w:tr>
      <w:tr>
        <w:trPr>
          <w:trHeight w:val="198"/>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217.9</w:t>
            </w:r>
          </w:p>
        </w:tc>
      </w:tr>
      <w:tr>
        <w:trPr>
          <w:trHeight w:val="274"/>
        </w:trPr>
        <w:tc>
          <w:tcPr>
            <w:tcW w:w="2020" w:type="dxa"/>
            <w:vAlign w:val="bottom"/>
            <w:shd w:val="clear" w:color="auto" w:fill="CCEEFF"/>
          </w:tcPr>
          <w:p>
            <w:pPr>
              <w:spacing w:after="0"/>
              <w:rPr>
                <w:sz w:val="23"/>
                <w:szCs w:val="23"/>
                <w:color w:val="auto"/>
              </w:rPr>
            </w:pPr>
          </w:p>
        </w:tc>
        <w:tc>
          <w:tcPr>
            <w:tcW w:w="4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98"/>
        </w:trPr>
        <w:tc>
          <w:tcPr>
            <w:tcW w:w="202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07"/>
        </w:trPr>
        <w:tc>
          <w:tcPr>
            <w:tcW w:w="20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8"/>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207"/>
        </w:trPr>
        <w:tc>
          <w:tcPr>
            <w:tcW w:w="20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63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478.9</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800.8</w:t>
            </w:r>
          </w:p>
        </w:tc>
        <w:tc>
          <w:tcPr>
            <w:tcW w:w="1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379.2</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676.8</w:t>
            </w:r>
          </w:p>
        </w:tc>
      </w:tr>
      <w:tr>
        <w:trPr>
          <w:trHeight w:val="222"/>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4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499.6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401.6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697.8</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5. Fair Value Measurements.</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amounts were recorded within our Consolidated Balance Sheets related to cumulative basis adjustments for fair value hedges (in millions):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Line Item in the Consolidated Balance Sheets</w:t>
            </w:r>
          </w:p>
        </w:tc>
        <w:tc>
          <w:tcPr>
            <w:tcW w:w="3660" w:type="dxa"/>
            <w:vAlign w:val="bottom"/>
          </w:tcPr>
          <w:p>
            <w:pPr>
              <w:spacing w:after="0"/>
              <w:rPr>
                <w:sz w:val="14"/>
                <w:szCs w:val="14"/>
                <w:color w:val="auto"/>
              </w:rPr>
            </w:pPr>
          </w:p>
        </w:tc>
        <w:tc>
          <w:tcPr>
            <w:tcW w:w="3980" w:type="dxa"/>
            <w:vAlign w:val="bottom"/>
          </w:tcPr>
          <w:p>
            <w:pPr>
              <w:jc w:val="center"/>
              <w:ind w:left="208"/>
              <w:spacing w:after="0"/>
              <w:rPr>
                <w:sz w:val="20"/>
                <w:szCs w:val="20"/>
                <w:color w:val="auto"/>
              </w:rPr>
            </w:pPr>
            <w:r>
              <w:rPr>
                <w:rFonts w:ascii="Arial" w:cs="Arial" w:eastAsia="Arial" w:hAnsi="Arial"/>
                <w:sz w:val="14"/>
                <w:szCs w:val="14"/>
                <w:b w:val="1"/>
                <w:bCs w:val="1"/>
                <w:color w:val="auto"/>
              </w:rPr>
              <w:t>Cumulative Amount of Fair Value Hedging Adjustment</w:t>
            </w:r>
          </w:p>
        </w:tc>
        <w:tc>
          <w:tcPr>
            <w:tcW w:w="0" w:type="dxa"/>
            <w:vAlign w:val="bottom"/>
          </w:tcPr>
          <w:p>
            <w:pPr>
              <w:spacing w:after="0"/>
              <w:rPr>
                <w:sz w:val="1"/>
                <w:szCs w:val="1"/>
                <w:color w:val="auto"/>
              </w:rPr>
            </w:pPr>
          </w:p>
        </w:tc>
      </w:tr>
      <w:tr>
        <w:trPr>
          <w:trHeight w:val="144"/>
        </w:trPr>
        <w:tc>
          <w:tcPr>
            <w:tcW w:w="3340" w:type="dxa"/>
            <w:vAlign w:val="bottom"/>
            <w:vMerge w:val="continue"/>
          </w:tcPr>
          <w:p>
            <w:pPr>
              <w:spacing w:after="0"/>
              <w:rPr>
                <w:sz w:val="12"/>
                <w:szCs w:val="12"/>
                <w:color w:val="auto"/>
              </w:rPr>
            </w:pPr>
          </w:p>
        </w:tc>
        <w:tc>
          <w:tcPr>
            <w:tcW w:w="3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Carrying Amount of Hedged Asset/(Liabilities)</w:t>
            </w:r>
          </w:p>
        </w:tc>
        <w:tc>
          <w:tcPr>
            <w:tcW w:w="3980" w:type="dxa"/>
            <w:vAlign w:val="bottom"/>
          </w:tcPr>
          <w:p>
            <w:pPr>
              <w:jc w:val="center"/>
              <w:ind w:left="208"/>
              <w:spacing w:after="0" w:line="145" w:lineRule="exact"/>
              <w:rPr>
                <w:sz w:val="20"/>
                <w:szCs w:val="20"/>
                <w:color w:val="auto"/>
              </w:rPr>
            </w:pPr>
            <w:r>
              <w:rPr>
                <w:rFonts w:ascii="Arial" w:cs="Arial" w:eastAsia="Arial" w:hAnsi="Arial"/>
                <w:sz w:val="14"/>
                <w:szCs w:val="14"/>
                <w:b w:val="1"/>
                <w:bCs w:val="1"/>
                <w:color w:val="auto"/>
              </w:rPr>
              <w:t>Included in the Carrying Amount of the Hedged</w:t>
            </w:r>
          </w:p>
        </w:tc>
        <w:tc>
          <w:tcPr>
            <w:tcW w:w="0" w:type="dxa"/>
            <w:vAlign w:val="bottom"/>
          </w:tcPr>
          <w:p>
            <w:pPr>
              <w:spacing w:after="0"/>
              <w:rPr>
                <w:sz w:val="1"/>
                <w:szCs w:val="1"/>
                <w:color w:val="auto"/>
              </w:rPr>
            </w:pPr>
          </w:p>
        </w:tc>
      </w:tr>
      <w:tr>
        <w:trPr>
          <w:trHeight w:val="201"/>
        </w:trPr>
        <w:tc>
          <w:tcPr>
            <w:tcW w:w="3340" w:type="dxa"/>
            <w:vAlign w:val="bottom"/>
          </w:tcPr>
          <w:p>
            <w:pPr>
              <w:jc w:val="center"/>
              <w:ind w:right="168"/>
              <w:spacing w:after="0"/>
              <w:rPr>
                <w:sz w:val="20"/>
                <w:szCs w:val="20"/>
                <w:color w:val="auto"/>
              </w:rPr>
            </w:pPr>
            <w:r>
              <w:rPr>
                <w:rFonts w:ascii="Arial" w:cs="Arial" w:eastAsia="Arial" w:hAnsi="Arial"/>
                <w:sz w:val="14"/>
                <w:szCs w:val="14"/>
                <w:b w:val="1"/>
                <w:bCs w:val="1"/>
                <w:color w:val="auto"/>
              </w:rPr>
              <w:t>in Which the Hedged Item is Included</w:t>
            </w:r>
          </w:p>
        </w:tc>
        <w:tc>
          <w:tcPr>
            <w:tcW w:w="3660" w:type="dxa"/>
            <w:vAlign w:val="bottom"/>
            <w:vMerge w:val="continue"/>
          </w:tcPr>
          <w:p>
            <w:pPr>
              <w:spacing w:after="0"/>
              <w:rPr>
                <w:sz w:val="17"/>
                <w:szCs w:val="17"/>
                <w:color w:val="auto"/>
              </w:rPr>
            </w:pPr>
          </w:p>
        </w:tc>
        <w:tc>
          <w:tcPr>
            <w:tcW w:w="3980" w:type="dxa"/>
            <w:vAlign w:val="bottom"/>
          </w:tcPr>
          <w:p>
            <w:pPr>
              <w:jc w:val="center"/>
              <w:ind w:left="228"/>
              <w:spacing w:after="0"/>
              <w:rPr>
                <w:sz w:val="20"/>
                <w:szCs w:val="20"/>
                <w:color w:val="auto"/>
              </w:rPr>
            </w:pPr>
            <w:r>
              <w:rPr>
                <w:rFonts w:ascii="Arial" w:cs="Arial" w:eastAsia="Arial" w:hAnsi="Arial"/>
                <w:sz w:val="14"/>
                <w:szCs w:val="14"/>
                <w:b w:val="1"/>
                <w:bCs w:val="1"/>
                <w:color w:val="auto"/>
              </w:rPr>
              <w:t>Asset/(Liabilities)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719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jc w:val="center"/>
        <w:ind w:left="316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15875</wp:posOffset>
            </wp:positionV>
            <wp:extent cx="23914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 w:lineRule="exact"/>
        <w:rPr>
          <w:sz w:val="20"/>
          <w:szCs w:val="20"/>
          <w:color w:val="auto"/>
        </w:rPr>
      </w:pPr>
    </w:p>
    <w:p>
      <w:pPr>
        <w:ind w:left="4000"/>
        <w:spacing w:after="0"/>
        <w:tabs>
          <w:tab w:leader="none" w:pos="5940" w:val="left"/>
        </w:tabs>
        <w:rPr>
          <w:sz w:val="20"/>
          <w:szCs w:val="20"/>
          <w:color w:val="auto"/>
        </w:rPr>
      </w:pPr>
      <w:r>
        <w:rPr>
          <w:rFonts w:ascii="Arial" w:cs="Arial" w:eastAsia="Arial" w:hAnsi="Arial"/>
          <w:sz w:val="17"/>
          <w:szCs w:val="17"/>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7199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15875</wp:posOffset>
            </wp:positionV>
            <wp:extent cx="25031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7" w:lineRule="exact"/>
        <w:rPr>
          <w:sz w:val="20"/>
          <w:szCs w:val="20"/>
          <w:color w:val="auto"/>
        </w:rPr>
      </w:pPr>
    </w:p>
    <w:p>
      <w:pPr>
        <w:spacing w:after="0"/>
        <w:tabs>
          <w:tab w:leader="none" w:pos="2020" w:val="left"/>
        </w:tabs>
        <w:rPr>
          <w:sz w:val="20"/>
          <w:szCs w:val="20"/>
          <w:color w:val="auto"/>
        </w:rPr>
      </w:pPr>
      <w:r>
        <w:rPr>
          <w:rFonts w:ascii="Arial" w:cs="Arial" w:eastAsia="Arial" w:hAnsi="Arial"/>
          <w:sz w:val="17"/>
          <w:szCs w:val="17"/>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48" w:lineRule="exact"/>
        <w:rPr>
          <w:sz w:val="20"/>
          <w:szCs w:val="20"/>
          <w:color w:val="auto"/>
        </w:rPr>
      </w:pPr>
    </w:p>
    <w:p>
      <w:pPr>
        <w:sectPr>
          <w:pgSz w:w="11900" w:h="16838" w:orient="portrait"/>
          <w:cols w:equalWidth="0" w:num="2">
            <w:col w:w="7220" w:space="720"/>
            <w:col w:w="3300"/>
          </w:cols>
          <w:pgMar w:left="320" w:top="122" w:right="339" w:bottom="1440" w:gutter="0" w:footer="0" w:header="0"/>
          <w:type w:val="continuous"/>
        </w:sectPr>
      </w:pPr>
    </w:p>
    <w:p>
      <w:pPr>
        <w:ind w:left="20"/>
        <w:spacing w:after="0"/>
        <w:tabs>
          <w:tab w:leader="none" w:pos="3300" w:val="left"/>
          <w:tab w:leader="none" w:pos="4660" w:val="left"/>
          <w:tab w:leader="none" w:pos="5240" w:val="left"/>
          <w:tab w:leader="none" w:pos="6620" w:val="left"/>
          <w:tab w:leader="none" w:pos="7200" w:val="left"/>
          <w:tab w:leader="none" w:pos="8720" w:val="left"/>
          <w:tab w:leader="none" w:pos="9200" w:val="left"/>
          <w:tab w:leader="none" w:pos="10720" w:val="left"/>
        </w:tabs>
        <w:rPr>
          <w:sz w:val="20"/>
          <w:szCs w:val="20"/>
          <w:color w:val="auto"/>
        </w:rPr>
      </w:pPr>
      <w:r>
        <w:rPr>
          <w:rFonts w:ascii="Arial" w:cs="Arial" w:eastAsia="Arial" w:hAnsi="Arial"/>
          <w:sz w:val="18"/>
          <w:szCs w:val="18"/>
          <w:color w:val="auto"/>
        </w:rPr>
        <w:t>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95.2</w:t>
        <w:tab/>
        <w:t>$</w:t>
      </w:r>
      <w:r>
        <w:rPr>
          <w:sz w:val="20"/>
          <w:szCs w:val="20"/>
          <w:color w:val="auto"/>
        </w:rPr>
        <w:tab/>
      </w:r>
      <w:r>
        <w:rPr>
          <w:rFonts w:ascii="Arial" w:cs="Arial" w:eastAsia="Arial" w:hAnsi="Arial"/>
          <w:sz w:val="18"/>
          <w:szCs w:val="18"/>
          <w:color w:val="auto"/>
        </w:rPr>
        <w:t>55.3</w:t>
        <w:tab/>
        <w:t>$</w:t>
      </w:r>
      <w:r>
        <w:rPr>
          <w:sz w:val="20"/>
          <w:szCs w:val="20"/>
          <w:color w:val="auto"/>
        </w:rPr>
        <w:tab/>
      </w:r>
      <w:r>
        <w:rPr>
          <w:rFonts w:ascii="Arial" w:cs="Arial" w:eastAsia="Arial" w:hAnsi="Arial"/>
          <w:sz w:val="18"/>
          <w:szCs w:val="18"/>
          <w:color w:val="auto"/>
        </w:rPr>
        <w:t>3.8</w:t>
        <w:tab/>
        <w:t>$</w:t>
      </w:r>
      <w:r>
        <w:rPr>
          <w:sz w:val="20"/>
          <w:szCs w:val="20"/>
          <w:color w:val="auto"/>
        </w:rPr>
        <w:tab/>
      </w: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and Other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table presents, on a pre-tax basis, the location and amount of gains (losses) on fair value and cash flow hedges recognized in income in our Consolidated Statements of Income and Comprehensive Income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expense and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expense and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expense and</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Cost of</w:t>
            </w:r>
          </w:p>
        </w:tc>
        <w:tc>
          <w:tcPr>
            <w:tcW w:w="120" w:type="dxa"/>
            <w:vAlign w:val="bottom"/>
          </w:tcPr>
          <w:p>
            <w:pPr>
              <w:spacing w:after="0"/>
              <w:rPr>
                <w:sz w:val="12"/>
                <w:szCs w:val="12"/>
                <w:color w:val="auto"/>
              </w:rPr>
            </w:pPr>
          </w:p>
        </w:tc>
        <w:tc>
          <w:tcPr>
            <w:tcW w:w="82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costs, net</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costs, net</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costs, net</w:t>
            </w:r>
          </w:p>
        </w:tc>
        <w:tc>
          <w:tcPr>
            <w:tcW w:w="0" w:type="dxa"/>
            <w:vAlign w:val="bottom"/>
          </w:tcPr>
          <w:p>
            <w:pPr>
              <w:spacing w:after="0"/>
              <w:rPr>
                <w:sz w:val="1"/>
                <w:szCs w:val="1"/>
                <w:color w:val="auto"/>
              </w:rPr>
            </w:pPr>
          </w:p>
        </w:tc>
      </w:tr>
      <w:tr>
        <w:trPr>
          <w:trHeight w:val="133"/>
        </w:trPr>
        <w:tc>
          <w:tcPr>
            <w:tcW w:w="20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Total amounts of income and</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expense line items in which the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effects of fair value or cash flow</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42,168.0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41,141.6</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47,710.6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46,652.4</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59,043.1</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57,954.1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hedged are recorded</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140"/>
              <w:spacing w:after="0" w:line="153" w:lineRule="exact"/>
              <w:rPr>
                <w:sz w:val="20"/>
                <w:szCs w:val="20"/>
                <w:color w:val="auto"/>
              </w:rPr>
            </w:pPr>
            <w:r>
              <w:rPr>
                <w:rFonts w:ascii="Arial" w:cs="Arial" w:eastAsia="Arial" w:hAnsi="Arial"/>
                <w:sz w:val="14"/>
                <w:szCs w:val="14"/>
                <w:color w:val="auto"/>
              </w:rPr>
              <w:t>Gains (losses) on fair value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80" w:type="dxa"/>
            <w:vAlign w:val="bottom"/>
          </w:tcPr>
          <w:p>
            <w:pPr>
              <w:ind w:left="140"/>
              <w:spacing w:after="0"/>
              <w:rPr>
                <w:sz w:val="20"/>
                <w:szCs w:val="20"/>
                <w:color w:val="auto"/>
              </w:rPr>
            </w:pPr>
            <w:r>
              <w:rPr>
                <w:rFonts w:ascii="Arial" w:cs="Arial" w:eastAsia="Arial" w:hAnsi="Arial"/>
                <w:sz w:val="14"/>
                <w:szCs w:val="14"/>
                <w:color w:val="auto"/>
              </w:rPr>
              <w:t>hedge relationships: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360"/>
              <w:spacing w:after="0"/>
              <w:rPr>
                <w:sz w:val="20"/>
                <w:szCs w:val="20"/>
                <w:color w:val="auto"/>
              </w:rPr>
            </w:pPr>
            <w:r>
              <w:rPr>
                <w:rFonts w:ascii="Arial" w:cs="Arial" w:eastAsia="Arial" w:hAnsi="Arial"/>
                <w:sz w:val="14"/>
                <w:szCs w:val="14"/>
                <w:color w:val="auto"/>
              </w:rPr>
              <w:t>Hedged item</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Derivatives designated as</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hedging instruments</w:t>
            </w: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140"/>
              <w:spacing w:after="0" w:line="153" w:lineRule="exact"/>
              <w:rPr>
                <w:sz w:val="20"/>
                <w:szCs w:val="20"/>
                <w:color w:val="auto"/>
              </w:rPr>
            </w:pPr>
            <w:r>
              <w:rPr>
                <w:rFonts w:ascii="Arial" w:cs="Arial" w:eastAsia="Arial" w:hAnsi="Arial"/>
                <w:sz w:val="14"/>
                <w:szCs w:val="14"/>
                <w:color w:val="auto"/>
              </w:rPr>
              <w:t>Gains (losses) on cash flow</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80" w:type="dxa"/>
            <w:vAlign w:val="bottom"/>
          </w:tcPr>
          <w:p>
            <w:pPr>
              <w:ind w:left="140"/>
              <w:spacing w:after="0"/>
              <w:rPr>
                <w:sz w:val="20"/>
                <w:szCs w:val="20"/>
                <w:color w:val="auto"/>
              </w:rPr>
            </w:pPr>
            <w:r>
              <w:rPr>
                <w:rFonts w:ascii="Arial" w:cs="Arial" w:eastAsia="Arial" w:hAnsi="Arial"/>
                <w:sz w:val="14"/>
                <w:szCs w:val="14"/>
                <w:color w:val="auto"/>
              </w:rPr>
              <w:t>hedge relationships: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360"/>
              <w:spacing w:after="0" w:line="153" w:lineRule="exact"/>
              <w:rPr>
                <w:sz w:val="20"/>
                <w:szCs w:val="20"/>
                <w:color w:val="auto"/>
              </w:rPr>
            </w:pPr>
            <w:r>
              <w:rPr>
                <w:rFonts w:ascii="Arial" w:cs="Arial" w:eastAsia="Arial" w:hAnsi="Arial"/>
                <w:sz w:val="14"/>
                <w:szCs w:val="14"/>
                <w:color w:val="auto"/>
              </w:rPr>
              <w:t>Amount of gains (losses)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reclassified from</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360"/>
              <w:spacing w:after="0" w:line="139" w:lineRule="exact"/>
              <w:rPr>
                <w:sz w:val="20"/>
                <w:szCs w:val="20"/>
                <w:color w:val="auto"/>
              </w:rPr>
            </w:pPr>
            <w:r>
              <w:rPr>
                <w:rFonts w:ascii="Arial" w:cs="Arial" w:eastAsia="Arial" w:hAnsi="Arial"/>
                <w:sz w:val="14"/>
                <w:szCs w:val="14"/>
                <w:color w:val="auto"/>
              </w:rPr>
              <w:t>Accumulated 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360"/>
              <w:spacing w:after="0" w:line="149" w:lineRule="exact"/>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(loss) into Net income</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tcPr>
          <w:p>
            <w:pPr>
              <w:ind w:left="360"/>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rate contract: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360"/>
              <w:spacing w:after="0" w:line="153" w:lineRule="exact"/>
              <w:rPr>
                <w:sz w:val="20"/>
                <w:szCs w:val="20"/>
                <w:color w:val="auto"/>
              </w:rPr>
            </w:pPr>
            <w:r>
              <w:rPr>
                <w:rFonts w:ascii="Arial" w:cs="Arial" w:eastAsia="Arial" w:hAnsi="Arial"/>
                <w:sz w:val="14"/>
                <w:szCs w:val="14"/>
                <w:color w:val="auto"/>
              </w:rPr>
              <w:t>Amount of gains (losses)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reclassified from</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360"/>
              <w:spacing w:after="0" w:line="139" w:lineRule="exact"/>
              <w:rPr>
                <w:sz w:val="20"/>
                <w:szCs w:val="20"/>
                <w:color w:val="auto"/>
              </w:rPr>
            </w:pPr>
            <w:r>
              <w:rPr>
                <w:rFonts w:ascii="Arial" w:cs="Arial" w:eastAsia="Arial" w:hAnsi="Arial"/>
                <w:sz w:val="14"/>
                <w:szCs w:val="14"/>
                <w:color w:val="auto"/>
              </w:rPr>
              <w:t>Accumulated 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360"/>
              <w:spacing w:after="0" w:line="149" w:lineRule="exact"/>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(loss) into Net income</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2080" w:type="dxa"/>
            <w:vAlign w:val="bottom"/>
          </w:tcPr>
          <w:p>
            <w:pPr>
              <w:ind w:left="360"/>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Total amount of income and</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expense line items excluding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42,171.4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41,148.9</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47,710.4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46,656.7</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59,207.7</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57,948.6</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8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the impact of hedges</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on a pre-tax basis, the amounts not recorded in Accumulated other comprehensive income (loss) due to intra-period settlement but recognized in Revenue and Cost of revenue in our Consolidated Statements of Income and Comprehensive Income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Gain (Loss) Not Recorded in Accumulated other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6"/>
            <w:vMerge w:val="restart"/>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4740" w:type="dxa"/>
            <w:vAlign w:val="bottom"/>
            <w:gridSpan w:val="2"/>
            <w:vMerge w:val="restart"/>
          </w:tcPr>
          <w:p>
            <w:pPr>
              <w:jc w:val="center"/>
              <w:ind w:right="120"/>
              <w:spacing w:after="0" w:line="181" w:lineRule="exact"/>
              <w:rPr>
                <w:sz w:val="20"/>
                <w:szCs w:val="20"/>
                <w:color w:val="auto"/>
              </w:rPr>
            </w:pPr>
            <w:r>
              <w:rPr>
                <w:rFonts w:ascii="Arial" w:cs="Arial" w:eastAsia="Arial" w:hAnsi="Arial"/>
                <w:sz w:val="18"/>
                <w:szCs w:val="18"/>
                <w:b w:val="1"/>
                <w:bCs w:val="1"/>
                <w:color w:val="auto"/>
                <w:w w:val="99"/>
              </w:rPr>
              <w:t>comprehensive income (loss) Due to Intra-Period</w:t>
            </w:r>
          </w:p>
        </w:tc>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30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6"/>
            <w:vMerge w:val="continue"/>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continue"/>
          </w:tcPr>
          <w:p>
            <w:pPr>
              <w:spacing w:after="0" w:line="20" w:lineRule="exact"/>
              <w:rPr>
                <w:sz w:val="1"/>
                <w:szCs w:val="1"/>
                <w:color w:val="auto"/>
              </w:rPr>
            </w:pPr>
          </w:p>
        </w:tc>
        <w:tc>
          <w:tcPr>
            <w:tcW w:w="21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line="20" w:lineRule="exact"/>
              <w:rPr>
                <w:sz w:val="1"/>
                <w:szCs w:val="1"/>
                <w:color w:val="auto"/>
              </w:rPr>
            </w:pPr>
          </w:p>
        </w:tc>
      </w:tr>
      <w:tr>
        <w:trPr>
          <w:trHeight w:val="230"/>
        </w:trPr>
        <w:tc>
          <w:tcPr>
            <w:tcW w:w="4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Settlement</w:t>
            </w:r>
          </w:p>
        </w:tc>
        <w:tc>
          <w:tcPr>
            <w:tcW w:w="21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years ended December 31, 2024, 2023 and 2022, there were no gains or losses recognized in earnings related to our fair value or cash flow hedges that were excluded from the assessment of hedge effectiveness.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on a pre-tax basis, $2.6 million and $0.8 million is scheduled to be reclassified from Accumulated other comprehensive loss over the next twelve months as a decrease to Revenue and a decrease to Cost of revenue, respectively, related to designated commodity cash flow hedges that will mature within the next twelve months.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and financial statement location of our derivative instruments in cash flow hedging relationships 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and in our Consolidated Statements of Income and Comprehensive Income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gridSpan w:val="2"/>
          </w:tcPr>
          <w:p>
            <w:pPr>
              <w:ind w:left="260"/>
              <w:spacing w:after="0"/>
              <w:rPr>
                <w:sz w:val="20"/>
                <w:szCs w:val="20"/>
                <w:color w:val="auto"/>
              </w:rPr>
            </w:pPr>
            <w:r>
              <w:rPr>
                <w:rFonts w:ascii="Arial" w:cs="Arial" w:eastAsia="Arial" w:hAnsi="Arial"/>
                <w:sz w:val="18"/>
                <w:szCs w:val="18"/>
                <w:b w:val="1"/>
                <w:bCs w:val="1"/>
                <w:color w:val="auto"/>
              </w:rPr>
              <w:t>Amount of Gain (Loss) Recognized in Accumulated other comprehensive</w:t>
            </w: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50"/>
        </w:trPr>
        <w:tc>
          <w:tcPr>
            <w:tcW w:w="6900" w:type="dxa"/>
            <w:vAlign w:val="bottom"/>
            <w:gridSpan w:val="2"/>
          </w:tcPr>
          <w:p>
            <w:pPr>
              <w:ind w:left="1200"/>
              <w:spacing w:after="0"/>
              <w:rPr>
                <w:sz w:val="20"/>
                <w:szCs w:val="20"/>
                <w:color w:val="auto"/>
              </w:rPr>
            </w:pPr>
            <w:r>
              <w:rPr>
                <w:rFonts w:ascii="Arial" w:cs="Arial" w:eastAsia="Arial" w:hAnsi="Arial"/>
                <w:sz w:val="18"/>
                <w:szCs w:val="18"/>
                <w:b w:val="1"/>
                <w:bCs w:val="1"/>
                <w:color w:val="auto"/>
              </w:rPr>
              <w:t>income (loss), Net of Income Tax (Expense) Benefit</w:t>
            </w:r>
          </w:p>
        </w:tc>
        <w:tc>
          <w:tcPr>
            <w:tcW w:w="28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 (Revenue)</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7"/>
              </w:rPr>
              <w:t>(4.3)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Commodity contracts (Cost of revenue)</w:t>
            </w:r>
          </w:p>
        </w:tc>
        <w:tc>
          <w:tcPr>
            <w:tcW w:w="280" w:type="dxa"/>
            <w:vAlign w:val="bottom"/>
          </w:tcPr>
          <w:p>
            <w:pPr>
              <w:spacing w:after="0"/>
              <w:rPr>
                <w:sz w:val="19"/>
                <w:szCs w:val="19"/>
                <w:color w:val="auto"/>
              </w:rPr>
            </w:pPr>
          </w:p>
        </w:tc>
        <w:tc>
          <w:tcPr>
            <w:tcW w:w="1040" w:type="dxa"/>
            <w:vAlign w:val="bottom"/>
          </w:tcPr>
          <w:p>
            <w:pPr>
              <w:jc w:val="center"/>
              <w:ind w:left="53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 and other financing costs,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r>
      <w:tr>
        <w:trPr>
          <w:trHeight w:val="20"/>
        </w:trPr>
        <w:tc>
          <w:tcPr>
            <w:tcW w:w="6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96" w:lineRule="exact"/>
        <w:rPr>
          <w:sz w:val="20"/>
          <w:szCs w:val="20"/>
          <w:color w:val="auto"/>
        </w:rPr>
      </w:pPr>
    </w:p>
    <w:p>
      <w:pPr>
        <w:jc w:val="center"/>
        <w:ind w:left="60"/>
        <w:spacing w:after="0" w:line="221" w:lineRule="auto"/>
        <w:rPr>
          <w:sz w:val="20"/>
          <w:szCs w:val="20"/>
          <w:color w:val="auto"/>
        </w:rPr>
      </w:pPr>
      <w:r>
        <w:rPr>
          <w:rFonts w:ascii="Arial" w:cs="Arial" w:eastAsia="Arial" w:hAnsi="Arial"/>
          <w:sz w:val="14"/>
          <w:szCs w:val="14"/>
          <w:b w:val="1"/>
          <w:bCs w:val="1"/>
          <w:color w:val="auto"/>
        </w:rPr>
        <w:t>Amount of Gain (Loss) Reclassified from Accumulated other comprehensive income (loss) into Net income (loss),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Net of Income Tax (Expense) Benefit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contracts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contracts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contracts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gain (loss)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26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8"/>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1"/>
        </w:trPr>
        <w:tc>
          <w:tcPr>
            <w:tcW w:w="268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Interest expense and other</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financing costs, net</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-454025</wp:posOffset>
            </wp:positionV>
            <wp:extent cx="7132320"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-753745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160"/>
            <w:col w:w="7020"/>
          </w:cols>
          <w:pgMar w:left="320" w:top="122"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table presents the amount and financial statement location in our Consolidated Statements of Income and Comprehensive Income of realized and unrealized gains (losses) recognized on derivative instruments not designated as hedging instruments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Instruments -</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50"/>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Non-designated</w:t>
            </w:r>
          </w:p>
        </w:tc>
        <w:tc>
          <w:tcPr>
            <w:tcW w:w="310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30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r>
      <w:tr>
        <w:trPr>
          <w:trHeight w:val="230"/>
        </w:trPr>
        <w:tc>
          <w:tcPr>
            <w:tcW w:w="3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r>
      <w:tr>
        <w:trPr>
          <w:trHeight w:val="22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3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gains (losses)</w:t>
            </w: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such as a credit downgrade or if certain defined financial ratios fall below an established threshold. The occurrence of these credit events may require us to post additional collateral or immediately settle the derivative instrument.</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potential collateral requirements for derivative liabilities with credit-risk-related contingent features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liability positions with credit contingent features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Collateral posted and held by our counterparties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additional potential collateral requirements</w:t>
            </w:r>
          </w:p>
        </w:tc>
        <w:tc>
          <w:tcPr>
            <w:tcW w:w="23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788"/>
              <w:spacing w:after="0"/>
              <w:rPr>
                <w:sz w:val="20"/>
                <w:szCs w:val="20"/>
                <w:color w:val="auto"/>
              </w:rPr>
            </w:pPr>
            <w:r>
              <w:rPr>
                <w:rFonts w:ascii="Arial" w:cs="Arial" w:eastAsia="Arial" w:hAnsi="Arial"/>
                <w:sz w:val="14"/>
                <w:szCs w:val="14"/>
                <w:color w:val="auto"/>
              </w:rPr>
              <w:t>63</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2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24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their short-term maturities. With the exception of the Convertible Notes, as discussed in Note 8. Debt, Interest Income, Expense, and Other Finance Costs,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tables present information about our gross assets and liabilities that are measured at fair value on a recurring basis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rPr>
              <w:t>Fair Value Measurements as of December 31, 2024</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1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2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3 Inputs</w:t>
            </w:r>
          </w:p>
        </w:tc>
        <w:tc>
          <w:tcPr>
            <w:tcW w:w="18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300.8</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rPr>
              <w:t>Fair Value Measurements as of December 31, 2023</w:t>
            </w:r>
          </w:p>
        </w:tc>
        <w:tc>
          <w:tcPr>
            <w:tcW w:w="0" w:type="dxa"/>
            <w:vAlign w:val="bottom"/>
          </w:tcPr>
          <w:p>
            <w:pPr>
              <w:spacing w:after="0"/>
              <w:rPr>
                <w:sz w:val="1"/>
                <w:szCs w:val="1"/>
                <w:color w:val="auto"/>
              </w:rPr>
            </w:pPr>
          </w:p>
        </w:tc>
      </w:tr>
      <w:tr>
        <w:trPr>
          <w:trHeight w:val="177"/>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1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2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3 Inputs</w:t>
            </w:r>
          </w:p>
        </w:tc>
        <w:tc>
          <w:tcPr>
            <w:tcW w:w="180" w:type="dxa"/>
            <w:vAlign w:val="bottom"/>
          </w:tcPr>
          <w:p>
            <w:pPr>
              <w:spacing w:after="0"/>
              <w:rPr>
                <w:sz w:val="15"/>
                <w:szCs w:val="15"/>
                <w:color w:val="auto"/>
              </w:rPr>
            </w:pPr>
          </w:p>
        </w:tc>
        <w:tc>
          <w:tcPr>
            <w:tcW w:w="114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235"/>
        </w:trPr>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560.2</w:t>
            </w:r>
          </w:p>
        </w:tc>
        <w:tc>
          <w:tcPr>
            <w:tcW w:w="14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625.6</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Consolidated Balance Sheets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8"/>
              </w:rPr>
              <w:t>Fair Value as of December 31, 2024</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Amounts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333333"/>
              </w:rPr>
              <w:t>Net Amounts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8"/>
              </w:rPr>
              <w:t>Without</w:t>
            </w:r>
          </w:p>
        </w:tc>
        <w:tc>
          <w:tcPr>
            <w:tcW w:w="140" w:type="dxa"/>
            <w:vAlign w:val="bottom"/>
          </w:tcPr>
          <w:p>
            <w:pPr>
              <w:spacing w:after="0"/>
              <w:rPr>
                <w:sz w:val="15"/>
                <w:szCs w:val="15"/>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333333"/>
                <w:w w:val="96"/>
              </w:rPr>
              <w:t>Net</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6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Right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Presented</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333333"/>
                <w:w w:val="97"/>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8"/>
              </w:rPr>
              <w:t>Fair Value as of December 31, 2023</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Amounts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333333"/>
              </w:rPr>
              <w:t>Net Amounts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8"/>
              </w:rPr>
              <w:t>Without</w:t>
            </w:r>
          </w:p>
        </w:tc>
        <w:tc>
          <w:tcPr>
            <w:tcW w:w="140" w:type="dxa"/>
            <w:vAlign w:val="bottom"/>
          </w:tcPr>
          <w:p>
            <w:pPr>
              <w:spacing w:after="0"/>
              <w:rPr>
                <w:sz w:val="15"/>
                <w:szCs w:val="15"/>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333333"/>
                <w:w w:val="96"/>
              </w:rPr>
              <w:t>Net</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6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Right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Presented</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333333"/>
                <w:w w:val="97"/>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399.0</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399.0</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2024 and 2023, we did not present any amounts gross on our Consolidated Balance Sheets where we had the right to offset.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individual over-the-counter ("OTC") counterparty exposure is managed within predetermined credit limits and includes the use of cash-call margins when appropriate, thereby reducing the risk of significant nonperformance. At December 31, 2024, two of our counterparties with a total exposure of $36.2 million represented over 10% of our credit exposure to OTC derivative counterparties, for which we held cash collateral of $6.7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fourth quarter of 2023, we identified an other-than-temporary impairment indicator with respect to an equity method investment in a non-core business due to the inability of the investee to sustain an earning capacity at its pre-pandemic levels. At that time, the investment was written down to its fair value of $19.1 million (15.0 million GBP) as of December 31, 2023, resulting in the recognition of an impairment loss of $ 14.1 million during the three months ended December 31, 2023. During the fourth quarter of 2024, we identified an impairment indicator with respect to the same investment, as the investee continues to incur operating losses and has been unable to achieve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expected results. The fair value of the investment was determined to be nominal and as a result the full carrying amount of the investment was impaired. An impairment loss of $18.2 million was recognized during the three months ended December 31, 2024. The impairment losses recognized during 2024 and 2023 are recorded within Asset impairments on the Consolidated Statements of Income and Comprehensive Income and reported in our corporate segment. The fair value of the investment was measured in each period using a combination of an income approach based on estimated future cash flows available to us as of the measurement dates and a market approach using a selection of global companies comparable with the operations of the investee to derive market-based multiples. Due to the significance of unobservable inputs, the measurements are categorized as Level 3.</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2023, we also identified an impairment indicator with respect to one of our investee's, accounted for as a cost method investment, which we were notified is not able to raise capital and therefore intends to restructure its operations. As a result, the fair value of the investment was determined to be nominal and the investment was fully impaired. An impairment loss of $5.0 million was recognized during the three months ended December 31, 2023 and is recorded within Asset impairments on the Consolidated Statements of Income and Comprehensive Income and reported in our corporate segment. Due to the significance of unobservable inputs, the measurement is categorized as Level 3.</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during the fourth quarter of 2023, we identified an impairment indicator with respect to an asset group within the land segment. We determined that the carrying amount was not recoverable and recognized an asset impairment charge of $2.2 million during the year ended December 31, 2023. The impairment is recorded within Asset impairments on the Consolidated Statements of Income and Comprehensive Income and reported in our land segment. The fair value of the asset group was measured using an income approach based on estimated future cash flows as of the measurement date. Due to the significance of unobservable inputs, the measurements are categorized as Level 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Identifiable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Aviation</w:t>
            </w:r>
          </w:p>
        </w:tc>
        <w:tc>
          <w:tcPr>
            <w:tcW w:w="28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Land</w:t>
            </w:r>
          </w:p>
        </w:tc>
        <w:tc>
          <w:tcPr>
            <w:tcW w:w="360" w:type="dxa"/>
            <w:vAlign w:val="bottom"/>
          </w:tcPr>
          <w:p>
            <w:pPr>
              <w:spacing w:after="0"/>
              <w:rPr>
                <w:sz w:val="17"/>
                <w:szCs w:val="17"/>
                <w:color w:val="auto"/>
              </w:rPr>
            </w:pPr>
          </w:p>
        </w:tc>
        <w:tc>
          <w:tcPr>
            <w:tcW w:w="13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Segment</w:t>
            </w:r>
          </w:p>
        </w:tc>
        <w:tc>
          <w:tcPr>
            <w:tcW w:w="28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Segment</w:t>
            </w:r>
          </w:p>
        </w:tc>
        <w:tc>
          <w:tcPr>
            <w:tcW w:w="3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2022</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2023 acquisitions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for sale of business</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75"/>
        </w:trPr>
        <w:tc>
          <w:tcPr>
            <w:tcW w:w="598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2023</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2024 acquisitions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 for sale of business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175"/>
        </w:trPr>
        <w:tc>
          <w:tcPr>
            <w:tcW w:w="598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20" w:hanging="332"/>
        <w:spacing w:after="0" w:line="231"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During the years ended December 31, 2024 and 2023, we completed acquisitions that did not have a material impact on our Consolidated Financial Statements.</w:t>
      </w:r>
    </w:p>
    <w:p>
      <w:pPr>
        <w:spacing w:after="0" w:line="6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See Note 3. Acquisitions and Divestitures for additional information.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As of December 31, 2024</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As of December 31, 2023</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1"/>
                <w:szCs w:val="21"/>
                <w:color w:val="auto"/>
              </w:rPr>
            </w:pPr>
          </w:p>
        </w:tc>
        <w:tc>
          <w:tcPr>
            <w:tcW w:w="1660" w:type="dxa"/>
            <w:vAlign w:val="bottom"/>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5"/>
              </w:rPr>
              <w:t xml:space="preserve">Amortization </w:t>
            </w:r>
            <w:r>
              <w:rPr>
                <w:rFonts w:ascii="Arial" w:cs="Arial" w:eastAsia="Arial" w:hAnsi="Arial"/>
                <w:sz w:val="23"/>
                <w:szCs w:val="23"/>
                <w:b w:val="1"/>
                <w:bCs w:val="1"/>
                <w:color w:val="auto"/>
                <w:w w:val="95"/>
                <w:vertAlign w:val="superscript"/>
              </w:rPr>
              <w:t>(1)</w:t>
            </w:r>
          </w:p>
        </w:tc>
        <w:tc>
          <w:tcPr>
            <w:tcW w:w="2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1"/>
                <w:szCs w:val="21"/>
                <w:color w:val="auto"/>
              </w:rPr>
            </w:pPr>
          </w:p>
        </w:tc>
        <w:tc>
          <w:tcPr>
            <w:tcW w:w="1680" w:type="dxa"/>
            <w:vAlign w:val="bottom"/>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7"/>
              </w:rPr>
              <w:t xml:space="preserve">Amortization </w:t>
            </w:r>
            <w:r>
              <w:rPr>
                <w:rFonts w:ascii="Arial" w:cs="Arial" w:eastAsia="Arial" w:hAnsi="Arial"/>
                <w:sz w:val="23"/>
                <w:szCs w:val="23"/>
                <w:b w:val="1"/>
                <w:bCs w:val="1"/>
                <w:color w:val="auto"/>
                <w:w w:val="97"/>
                <w:vertAlign w:val="superscript"/>
              </w:rPr>
              <w:t>(1)</w:t>
            </w: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0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Intangible assets subject to</w:t>
            </w: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339.8</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512.4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322.6</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agreements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55"/>
        </w:trPr>
        <w:tc>
          <w:tcPr>
            <w:tcW w:w="30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intangible assets subject to</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Intangible assets not subject to</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 / trade name rights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687.1</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foreign exchange.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2024, 2023 and 2022 was $34.1 million, $36.2 million and $43.4 million,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60" w:type="dxa"/>
            <w:vAlign w:val="bottom"/>
          </w:tcPr>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millions):</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0"/>
        </w:trPr>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2028</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Supplier Finance Programs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various supplier finance programs, we agree to pay counterparties engaged as paying agents the stated amount of confirmed invoices from our designated suppliers on the original maturity date of the invoices. Under certain of these arrangements, we may also pay fees for the supplier finance platform and related support.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rollforward of our outstanding obligations confirmed under our supplier finance programs, included in Accounts payable within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is as follows (in millions):</w:t>
      </w:r>
    </w:p>
    <w:p>
      <w:pPr>
        <w:sectPr>
          <w:pgSz w:w="11900" w:h="16838" w:orient="portrait"/>
          <w:cols w:equalWidth="0" w:num="1">
            <w:col w:w="11240"/>
          </w:cols>
          <w:pgMar w:left="320" w:top="122" w:right="339" w:bottom="1440" w:gutter="0" w:footer="0" w:header="0"/>
        </w:sect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Confirmed obligations outstanding 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Obligations confirmed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Confirmed invoices paid during the period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Confirmed obligations outstanding as of December 31,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2024</w:t>
            </w:r>
          </w:p>
        </w:tc>
      </w:tr>
      <w:tr>
        <w:trPr>
          <w:trHeight w:val="218"/>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30"/>
        </w:trPr>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1,213.1</w:t>
            </w:r>
          </w:p>
        </w:tc>
      </w:tr>
      <w:tr>
        <w:trPr>
          <w:trHeight w:val="235"/>
        </w:trPr>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(1,243.1)</w:t>
            </w: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200"/>
          </w:cols>
          <w:pgMar w:left="320" w:top="122"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80" w:type="dxa"/>
            <w:vAlign w:val="bottom"/>
          </w:tcPr>
          <w:p>
            <w:pPr>
              <w:spacing w:after="0"/>
              <w:rPr>
                <w:sz w:val="20"/>
                <w:szCs w:val="20"/>
                <w:color w:val="auto"/>
              </w:rPr>
            </w:pPr>
            <w:r>
              <w:rPr>
                <w:rFonts w:ascii="Arial" w:cs="Arial" w:eastAsia="Arial" w:hAnsi="Arial"/>
                <w:sz w:val="18"/>
                <w:szCs w:val="18"/>
                <w:b w:val="1"/>
                <w:bCs w:val="1"/>
                <w:color w:val="auto"/>
              </w:rPr>
              <w:t>8. Debt, Interest Income, Expense, and Other Finance Costs</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01"/>
        </w:trPr>
        <w:tc>
          <w:tcPr>
            <w:tcW w:w="778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9"/>
        </w:trPr>
        <w:tc>
          <w:tcPr>
            <w:tcW w:w="7780" w:type="dxa"/>
            <w:vAlign w:val="bottom"/>
          </w:tcPr>
          <w:p>
            <w:pPr>
              <w:spacing w:after="0"/>
              <w:rPr>
                <w:sz w:val="20"/>
                <w:szCs w:val="20"/>
                <w:color w:val="auto"/>
              </w:rPr>
            </w:pPr>
            <w:r>
              <w:rPr>
                <w:rFonts w:ascii="Arial" w:cs="Arial" w:eastAsia="Arial" w:hAnsi="Arial"/>
                <w:sz w:val="18"/>
                <w:szCs w:val="18"/>
                <w:color w:val="auto"/>
              </w:rPr>
              <w:t>Our outstanding debt consists of the following (in millions):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74"/>
        </w:trPr>
        <w:tc>
          <w:tcPr>
            <w:tcW w:w="778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4"/>
                <w:szCs w:val="24"/>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455.3</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476.4</w:t>
            </w:r>
          </w:p>
        </w:tc>
      </w:tr>
      <w:tr>
        <w:trPr>
          <w:trHeight w:val="229"/>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Notes </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r>
      <w:tr>
        <w:trPr>
          <w:trHeight w:val="229"/>
        </w:trPr>
        <w:tc>
          <w:tcPr>
            <w:tcW w:w="7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(2)</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880.8</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887.9</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 of long-term debt and finance leases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796.8</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r>
      <w:tr>
        <w:trPr>
          <w:trHeight w:val="21"/>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As of December 31, 2024 and 2023 the net carrying amount of the Convertible Notes includes the aggregate principal amount of $350.0 million, net of unamortized debt issuance costs of $9.1 million and $11.5 million, respectively. The fair value of the Convertible Notes was estimated to be approximately $395.7 million and $354.1 million as of December 31, 2024 and 2023, respectively, using the Level 2 observable input of quoted market prices in an inactive market.</w:t>
      </w:r>
    </w:p>
    <w:p>
      <w:pPr>
        <w:spacing w:after="0" w:line="6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Note 14. Leases for additional information.</w:t>
      </w:r>
    </w:p>
    <w:p>
      <w:pPr>
        <w:spacing w:after="0" w:line="85"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secured borrowings for the transfer of tax receivables of $50.3 million (EUR 48.5 million) and $53.6 million (EUR 48.5 million) as of December 31, 2024 and 2023,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Maturities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the aggregate annual maturities of debt are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46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2028</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350.9</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Convertible Debt</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On June 26, 2023, we issued $350.0 million aggregate principal amount of 3.250% Convertible Senior Notes due 2028 (the "Convertible Notes"), which reflects the exercise in full of an option to purchase up to an additional $50.0 million in principal amount of the Convertible Notes.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Convertible Notes mature on July 1, 2028, unless earlier converted, redeemed or repurchased. We may not redeem the Convertible Notes prior to July 6, 2026. Thereafter and until the 61st scheduled trading day immediately preceding the maturity date, we may redeem for cash,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related Notice of Redemption. Prior to March 1, 2028, the Convertible Notes will be convertible at the option of the holders only under the following circumstances: (1) during any calendar quarter commencing after the calendar quarter ending on September 30, 2023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in which, for each trading day of that period, the Trading Price (as defined in the Indenture), as determined following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request by a holder of Convertible Notes in accordance with the procedures described in the Indenture, per $1,000 principal amount of Convertible Notes for such trading day was less than 98% of the product of the last reported sale price of our common stock and the conversion rate on each such trading day; (3) if we call such Convertible Notes for redemption, at any time prior to the close of business on the scheduled trading day immediately preceding the redemption date, but only with respect to the Convertible Notes called (or deemed called) for redemption; or (4) upon the occurrence of specified corporate events described in the Indenture. Thereafter and until the second scheduled trading day immediately preceding the maturity date of the Convertible Notes, holders may convert regardless of the foregoing conditions.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Convertible Notes are senior, unsecured obligations that bear interest at a rate of 3.250% per year, payable semiannually in arrears on January 1 and July 1 of each year, beginning on January 1, 2024. The initial conversion rate was 35.1710 shares of common stock per $1,000 principal amount of Convertible Notes, which is equivalent to an initial conversion price of approximately $28.43 per share. The conversion rate is subject to adjustment upon the occurrence of certain events, including quarterly cash dividends in excess of $0.14 per share, subject to an elective deferral provision that permits us to defer adjustments until they would cumulatively result in an aggregate change of at least 1% to the conversion rate. The conversion rate will not be adjusted for accrued and unpaid interest. Our Board of Directors has declared quarterly dividends of $ 0.17 per share since the first quarter of 2024, and we are currently electing to defer the adjustments otherwise required by the payment of these dividends until such time as the deferred adjustments would result in an aggregate change of at least 1% to the conversion rate or we are otherwise required to make such an adjustment. 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pricing of the Convertible Notes, we entered into convertible note hedge transactions and warrant transactions. The cost of the convertible note hedge transactions was approximately $70.5 million. The convertible note hedge transactions cover, subject to customary anti-dilution adjustments, the number of shares of common stock that initially underlie the Convertible Notes, and have an initial strike price equal to the initial conversion price of the Convertible Notes. The strike price of the convertible note hedges has since been adjusted to $28.31 per share as a result of the payment of dividends on our common stock in excess of $0.14 per share. Separately, we received $40.0 million of proceeds from the sale of warrants to acquire, subject to anti-dilution adjustments, the same amount of shares at an initial strike price of $40.14 per share. The strike price of the warrants has since been adjusted to $39.96 per share as a result of the payment of dividends on our common stock in excess of $0.14 per share. The net cost of $30.5 million was recorded as a reduction to additional paid-in capital in the Consolidated Statements of Shareholders’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Agreement matures in April 2027 and provides for a revolving credit facility and term loan borrowings. On April 1, 2022, we entered into Amendment No. 8 to the Fourth Amended and Restated Credit Agreement, as further modified by Amendment No. 9 dated July 12, 2022 (as amended, the "Credit Agreement"), to: (i) increase the revolving credit facility provided under the Credit Agreement (the "Credit Facility") to $1.5 billion and provide a term loan of $500.0 million ("Term Loan"), thereby replacing the existing term loan and increasing the total facility to $2.0 billion; (ii) modify the pricing of the loans, including the reference rates for various currencies to reflect the discontinuation of LIBOR; (iii) extend the maturity to April 1, 2027; and (iv) modify certain financial and other covenants to provide greater operating flexibility.</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Credit Facility, up to $1.5 billion aggregate principal amount may be borrowed, repaid and redrawn, based upon specific financial ratios and subject to the satisfaction of other customary conditions to borrowing. Our Credit Facility includes a sublimit of $400.0 million for the issuance of letters of credit and bankers' acceptances, and we have the right to request increases in available borrowings up to an additional $200.0 million, subject to the satisfaction of certain conditions.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2024 and 2023, we had issued letters of credit under the Credit Facility totaling $17.9 million and $138.1 million, respectively. As of December 31, 2024 and 2023, the unused portion of our Credit Facility was $1.5 billion and $1.4 billion, respectively. The unused portion of our Credit Facility is limited by, among other things, our consolidated total leverage ratio, which limits the total amount of indebtedness we may incur, and may, therefore, fluctuate from period to period.</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Borrowings under our Credit Facility and Term Loan related to base rate loans or Eurodollar rate loans bear floating interest rates plus applicable margins. As of December 31, 2024, the applicable margins for base rate loans and Eurodollar rate loans were 0.875% and 1.875%,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Credit Agreement contains certain financial and other covenants with which we are required to comply. As of December 31, 2024, we were in compliance with all financial covenants contained in our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Lines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2024 and 2023, our outstanding letters of credit and bank guarantees under these credit lines totaled $360.1 million and $437.1 million, respectively.</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Expense, and Other Financing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weighted average interest rate on our short-term debt, excluding secured borrowings, was 6.7% and 6.9% as of December 31, 2024 and 2023, respectively.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years ended December 31, 2024 and 2023, we recognized interest expense of $13.6 million and $7.2 million associated with our Convertible Notes, which consisted of $11.2 million and $6.0 million, respectively, related to the 3.250% coupon rate and $2.4 million and $1.2 million, respectively, from the amortization of debt issuance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Estimated</w:t>
            </w:r>
          </w:p>
        </w:tc>
      </w:tr>
      <w:tr>
        <w:trPr>
          <w:trHeight w:val="223"/>
        </w:trPr>
        <w:tc>
          <w:tcPr>
            <w:tcW w:w="60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Useful Lives</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3 - 40 years</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furniture and fixtures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3 - 9 years</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Computer equipment and software costs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301.4</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329.2</w:t>
            </w: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3 - 9 years</w:t>
            </w: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Machinery, equipment and vehicles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3 - 40 years</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989.1</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966.9</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Accumulated depreciation and amortization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right of use assets associated with finance leases. See Note 14. Leases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2024, 2023 and 2022, we recorded depreciation expense of $72.3 million, $68.3 million and $64.4 million,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amount of computer software costs, including capitalized internally developed software costs and certain hosting arrangement costs, included in property and equipment are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costs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costs, net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$0.1 million and $0.9 million as of December 31, 2024 and 2023, respectively. For 2024, 2023 and 2022, we recorded amortization expense related to computer software costs of $23.2 million, $25.4 million and $21.0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Our contracts with customers, which are primarily master sales agreements in combination with different types of nominations or standalone agreements, generally require us to deliver fuel and fuel-related products, while other arrangements require us to complete agreed-upon services. As our contracts go through a formal credit approval process, we only enter into contracts when we determine the amount we expect to be entitled to is probable of collection. Our billing and payment terms generally include monthly invoicing with average payment terms of one to three months.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concluded that each gallon or barrel represents a separate performance obligation, and revenue is recognized at the point in time when control of each gallon or barrel transfers to our customer. We may incur costs for the transportation of products to the delivery points. Reimbursements of such costs are normally included in the transaction price.</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contracts may contain fixed pricing, variable pricing, or a combination. The pricing structures of our fuel sales that involve variable prices, such as market or index-based pricing or reimbursements of costs, typically correspond to our efforts to transfer the promised fuel, and we recognize revenue based on those variable prices for the related gallons or barrels that we have delivered.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also have fixed price fuel and fuel-related product sale contracts with a contract term of less than one year (typically one month).</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earn an immaterial amount of revenue from contracts to provide services, including energy procurement advisory services, international trip planning support, and transaction and payment management processing, which typically represent a single performance obligation for the series of daily services.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based on the country of incorporation of the relevant subsidiary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1,106.8</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1,151.9</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1,200.9</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4,235.6</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5,851.6</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5,541.5</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7,062.4</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2,798.2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3,224.8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4,141.1</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2,475.9</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3,739.7</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EMEA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9,653.5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10,021.2</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12,361.8</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3,785.7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4,167.4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4,703.5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1,099.7</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LATAM</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5,983.8</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6,710.3</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9,108.6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10,993.5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14,028.8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21,742.5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26,347.3</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32,981.6</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revenues (excluded from ASC 606)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42,168.0</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47,710.6</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59,043.1</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Includes revenue from derivatives, leases, and other transactions that we account for under separate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nature of the receivables related to revenue from contracts with customers and other types of contracts (excluded from ASC 606) are substantially similar, as they are both generated from transactions with the same type of counterparties (e.g., sale of fuel and storage that meet the definition of a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Sheets. Furthermore, as of December 31, 2024 and 2023, the contract assets and contracts liabilities recognized by the Company were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Contract Balances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Outside of contract assets and liabilities recognized by the Company, as of December 31, 2024, we had consideration paid to our customers of $55.1 million and $371.4 million classified as current and non-current assets, respectively. As of December 31, 2023, the current and non-current portion were $41.3 million and $286.3 million, respectively. As of December 31, 2024, we had consideration received from our vendors of $25.8 million and $ 207.6 million classified as current and non-current liabilities, respectively. As of December 31, 2023, the current and non-current portion were $16.4 million and $142.2 million. Consideration paid to a customer is presented within Other current assets and Other non-current assets in our Consolidated Balance Sheets. Consideration received from our vendors is presented within Accrued expenses and other current liabilities and Other long-term liabilities in our Consolidated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0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1"/>
        </w:trPr>
        <w:tc>
          <w:tcPr>
            <w:tcW w:w="6000" w:type="dxa"/>
            <w:vAlign w:val="bottom"/>
          </w:tcPr>
          <w:p>
            <w:pPr>
              <w:spacing w:after="0"/>
              <w:rPr>
                <w:sz w:val="20"/>
                <w:szCs w:val="20"/>
                <w:color w:val="auto"/>
              </w:rPr>
            </w:pPr>
            <w:r>
              <w:rPr>
                <w:rFonts w:ascii="Arial" w:cs="Arial" w:eastAsia="Arial" w:hAnsi="Arial"/>
                <w:sz w:val="18"/>
                <w:szCs w:val="18"/>
                <w:b w:val="1"/>
                <w:bCs w:val="1"/>
                <w:color w:val="auto"/>
              </w:rPr>
              <w:t>Income Tax Provision (Benefit)</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9"/>
        </w:trPr>
        <w:tc>
          <w:tcPr>
            <w:tcW w:w="7080" w:type="dxa"/>
            <w:vAlign w:val="bottom"/>
            <w:gridSpan w:val="2"/>
          </w:tcPr>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60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4"/>
                <w:szCs w:val="24"/>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total income tax provision (benefit) related to income before income taxes consists of the following components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U.S. federal statutory tax</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09"/>
        </w:trPr>
        <w:tc>
          <w:tcPr>
            <w:tcW w:w="6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 statutory tax</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State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 (benefit)</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6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tax expense (income)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0"/>
        </w:trPr>
        <w:tc>
          <w:tcPr>
            <w:tcW w:w="6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Non-current tax expense (income) is primarily related to income tax associated with the reserve for uncertain tax positions, including associated interest and penalties.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Rate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tax provision calculated using the U.S. federal statutory income tax rate to our tax provision is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based on U.S. federal statutory tax rate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Foreign rates varying from federal statutory tax rate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U.S. federal income tax benefit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U.S. taxes on foreign earnings and other tax reform impacts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Statutory adjustments, including foreign currency and tax rate changes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interest income &amp; non-deductible interest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Valuation allowances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officer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Withholding tax</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Sale of Avinode business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Brazil business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Worthless stock deduction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2024, our income tax provision was $27.6 million and our effective income tax rate was 28.9%. Our income tax provision for the year ended December 31, 2024 includes a net discrete income tax expense of $3.2 million, of which a net tax expense of $12.4 million relates to the tax on gain from the Avinode sale and a net tax expense of $3.0 million relates to worldwide return-to-provision adjustments, partially offset by a net tax benefit of $8.4 million related to remeasurement of uncertain tax positions as well as a net tax benefit of $4.4 million related to the tax loss from the Brazil sale.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2023, our income tax provision was $13.0 million and our effective income tax rate was 19.5%. Our income tax provision for the year ended December 31, 2023 included a net discrete income tax benefit of $5.4 million, of which a benefit of $7.5 million related to the reversal of valuation allowances previously recorded against the deferred tax assets of certain foreign subsidiaries and states and a benefit of $4.8 million related to return-to-provision adjustments, partially offset by a net expense of $6.9 million related to the remeasurement of uncertain tax positions and other worldwide tax adjustments.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analyzed our global working capital and cash requirements and the potential tax liabilities attributable to repatriation and have determined that we intend to continue our assertion that the earnings of certain of our non-U.S. subsidiaries are indefinitely reinvested. At December 31, 2024, $1.1 billion of our foreign earnings were permanently reinvested in non-US business operations. For these investments, if not reinvested indefinitely, we could potentially owe approximately $234.2 million in foreign withholding tax. We also have $817.9 million of accumulated foreign earnings that are actually or deemed repatriated, for which we have estimated the associated foreign withholding and state income tax effects to be $10.1 million for the year ended December 31, 2024.</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As of December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Gross Deferred Tax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reserve and accrued expenses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Net operating loss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share-based compensation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U.S. foreign income tax credits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limitations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3"/>
                <w:szCs w:val="23"/>
                <w:color w:val="auto"/>
                <w:vertAlign w:val="superscript"/>
              </w:rPr>
              <w:t>(1)</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 net of valuation allowance</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Gross Deferred Tax Liabilities: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Goodwill and intangible assets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(108.1)</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foreign exchange, derivatives, and cash flow hedges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Deferred tax costs on foreign unrepatriated earnings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gross deferred tax liabilities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Net deferred tax asset</w:t>
            </w:r>
          </w:p>
        </w:tc>
        <w:tc>
          <w:tcPr>
            <w:tcW w:w="1120" w:type="dxa"/>
            <w:vAlign w:val="bottom"/>
            <w:tcBorders>
              <w:bottom w:val="single" w:sz="8" w:color="auto"/>
            </w:tcBorders>
          </w:tcPr>
          <w:p>
            <w:pPr>
              <w:jc w:val="right"/>
              <w:ind w:right="910"/>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ind w:right="930"/>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Reported on the Consolidated Balance Sheets as: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Other non-current assets for deferred tax assets, non-current</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net for deferred tax liabilities, non-current</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340" w:hanging="332"/>
        <w:spacing w:after="0" w:line="237"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2024, we recognized additional valuation allowances of $4.0 million relating primarily to the establishment of a valuation allowance on foreign branch tax credits and the 2024 results of certain of our worldwide entities. We also released valuation allowances totaling $2.3 million primarily as a result of divesting our Brazil entities.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2024 and 2023, we had gross net operating losses ("NOLs") of approximately $417.6 million and $451.2 million, respectively. The NOLs as of December 31, 2024 originated in various U.S. states and non-U.S. countries. We have recorded a deferred tax asset of $62.5 million reflecting the benefit of the NOL carryforward as of December 31, 2024. This deferred tax asset expires as follows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Operating Loss</w:t>
            </w:r>
          </w:p>
        </w:tc>
        <w:tc>
          <w:tcPr>
            <w:tcW w:w="6740" w:type="dxa"/>
            <w:vAlign w:val="bottom"/>
            <w:tcBorders>
              <w:bottom w:val="single" w:sz="8" w:color="CCEEFF"/>
            </w:tcBorders>
          </w:tcPr>
          <w:p>
            <w:pPr>
              <w:ind w:left="840"/>
              <w:spacing w:after="0"/>
              <w:rPr>
                <w:sz w:val="20"/>
                <w:szCs w:val="20"/>
                <w:color w:val="auto"/>
              </w:rPr>
            </w:pPr>
            <w:r>
              <w:rPr>
                <w:rFonts w:ascii="Arial" w:cs="Arial" w:eastAsia="Arial" w:hAnsi="Arial"/>
                <w:sz w:val="18"/>
                <w:szCs w:val="18"/>
                <w:b w:val="1"/>
                <w:bCs w:val="1"/>
                <w:color w:val="auto"/>
              </w:rPr>
              <w:t>Expiration Date</w:t>
            </w: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Deferred Tax Asset</w:t>
            </w: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States</w:t>
            </w: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2026-2044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US States</w:t>
            </w:r>
          </w:p>
        </w:tc>
        <w:tc>
          <w:tcPr>
            <w:tcW w:w="6740" w:type="dxa"/>
            <w:vAlign w:val="bottom"/>
          </w:tcPr>
          <w:p>
            <w:pPr>
              <w:ind w:left="840"/>
              <w:spacing w:after="0"/>
              <w:rPr>
                <w:sz w:val="20"/>
                <w:szCs w:val="20"/>
                <w:color w:val="auto"/>
              </w:rPr>
            </w:pPr>
            <w:r>
              <w:rPr>
                <w:rFonts w:ascii="Arial" w:cs="Arial" w:eastAsia="Arial" w:hAnsi="Arial"/>
                <w:sz w:val="18"/>
                <w:szCs w:val="18"/>
                <w:color w:val="auto"/>
              </w:rPr>
              <w:t>Indefinite</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2025-2044</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67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Indefinite</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2024, a valuation allowance of $16.8 million exists on the deferred tax assets that are not expected to be realized, $7.3 million of which relates to the deferred tax asset for NOLs. The amount of the deferred tax asset considered realizable could be adjusted if estimates of future taxable income during the carryforward period change or if objective negative evidence in the form of cumulative losses is no longer present and additional weight may be given to subjective evidence such as growth projections.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Tax Concession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operated under a special income tax concession in Singapore since 2008, which is subject to renewal. Our current five-year income tax concession period began January 1, 2023. It remains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decrease to our foreign income taxes from the Singapore tax concession was as follows (in millions,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 tax concession impact on foreign income tax</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Impact on basic earnings per share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on diluted earnings per share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record gross assets and liabilities for unrecognized income tax benefits ("Unrecognized Tax Assets" and "Unrecognized Tax Liabilities", respectively) in our Consolidated Balance Sheets.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2024, we recorded a net decrease of Unrecognized Tax Liabilities of $11.2 million and a net decrease to Unrecognized Tax Assets of $3.8 million. In addition, during the year ended December 31, 2024, we recorded a decrease of $3.7 million to our Unrecognized Tax Liabilities related to a foreign currency translation loss, which is included in Other income (expense), net in the accompanying Consolidated Statements of Income and Comprehensive Income. As of December 31, 2024, our Unrecognized Tax Liabilities, including penalties and interest, were $90.8 million and our Unrecognized Tax Assets were $17.2 million.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2023, we recorded a net increase of Unrecognized Tax Liabilities of $5.0 million and a net increase to Unrecognized Tax Assets of $2.8 million. In addition, during the year ended December 31, 2023, we recorded an increase of $1.9 million to our Unrecognized Tax Liabilities related to a foreign currency translation loss, which is included in Other income (expense), net in the accompanying Consolidated Statements of Income and Comprehensive Income. As of December 31, 2023, our Unrecognized Tax Liabilities, including penalties and interest, were $106.4 million and our Unrecognized Tax Assets were $21.1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gross Unrecognized Tax Liabilities for the year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Liabilities – opening balance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increases – tax positions in prior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in prior period</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increases – tax positions in current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Payments</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Gross Unrecognized Tax Liabilities – ending balance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gross Unrecognized Tax Liabilities, net of our Unrecognized Tax Assets of $17.2 million, as of December 31, 2024, are settled by the taxing authorities in our favor or otherwise resolved, our income tax expense would be reduced by $44.6 million (exclusive of interest and penalties) in the period the matter is considered settled or resolved in accordance with ASC 740. This would have the impact of reducing our 2024 effective income tax rate by 46.7%. As of December 31, 2024, it is reasonably possible that approximately $6.4 million of our unrecognized income tax liabilities may decrease within the next twelve months primarily due to the expiration of statutes of limitations and resolution of various tax matters.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income of $1.3 million, expense of $5.1 million and expense of $2.0 million during the years ended December 31, 2024, 2023, and 2022,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respectively. For penalties, we recorded income of $3.1 million, expense of $2.8 million, and expense of $0.3 million during the years ended December 31, 2024, 2023, and 2022, respectively. As of December 31, 2024 and 2023, we had recognized liabilities of $24.5 million and $25.9 million for interest and $4.4 million and $7.5 million for penalties, respectively.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various tax returns under examination both in the U.S. and foreign jurisdictions. The most material of these is in Denmark, where one of our subsidiaries has been under audit since 2018. Through December 31, 2024, we have received final tax assessments for the 2013 and 2014 tax years that were immaterial, and proposed tax assessments for the 2015 through 2021 tax years of approximately $132.1 million (DKK 951.5 million), excluding interest, which could be material. We believe we have substantial defenses to these assessments and expect to continue to pursue available administrative and judicial remedies to resolve this matter.</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2022, we agreed to a settlement for the 2011 to 2014 tax years of the Korean branch of one of our subsidiaries for approximately $1.6 million (KRW 2.0 billion), including tax, interest, and penalties. The income tax examination for these years is now closed.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open tax years by major jurisdiction: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Pr>
          <w:p>
            <w:pPr>
              <w:spacing w:after="0"/>
              <w:rPr>
                <w:sz w:val="20"/>
                <w:szCs w:val="20"/>
                <w:color w:val="auto"/>
              </w:rPr>
            </w:pPr>
          </w:p>
        </w:tc>
        <w:tc>
          <w:tcPr>
            <w:tcW w:w="4500" w:type="dxa"/>
            <w:vAlign w:val="bottom"/>
            <w:tcBorders>
              <w:bottom w:val="single" w:sz="8" w:color="auto"/>
            </w:tcBorders>
            <w:gridSpan w:val="3"/>
          </w:tcPr>
          <w:p>
            <w:pPr>
              <w:jc w:val="right"/>
              <w:ind w:right="1550"/>
              <w:spacing w:after="0"/>
              <w:rPr>
                <w:sz w:val="20"/>
                <w:szCs w:val="20"/>
                <w:color w:val="auto"/>
              </w:rPr>
            </w:pPr>
            <w:r>
              <w:rPr>
                <w:rFonts w:ascii="Arial" w:cs="Arial" w:eastAsia="Arial" w:hAnsi="Arial"/>
                <w:sz w:val="18"/>
                <w:szCs w:val="18"/>
                <w:b w:val="1"/>
                <w:bCs w:val="1"/>
                <w:color w:val="auto"/>
              </w:rPr>
              <w:t>Open Tax Year</w:t>
            </w:r>
          </w:p>
        </w:tc>
        <w:tc>
          <w:tcPr>
            <w:tcW w:w="0" w:type="dxa"/>
            <w:vAlign w:val="bottom"/>
          </w:tcPr>
          <w:p>
            <w:pPr>
              <w:spacing w:after="0"/>
              <w:rPr>
                <w:sz w:val="1"/>
                <w:szCs w:val="1"/>
                <w:color w:val="auto"/>
              </w:rPr>
            </w:pPr>
          </w:p>
        </w:tc>
      </w:tr>
      <w:tr>
        <w:trPr>
          <w:trHeight w:val="169"/>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Jurisdiction</w:t>
            </w:r>
          </w:p>
        </w:tc>
        <w:tc>
          <w:tcPr>
            <w:tcW w:w="232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rPr>
              <w:t>Examination</w:t>
            </w:r>
          </w:p>
        </w:tc>
        <w:tc>
          <w:tcPr>
            <w:tcW w:w="218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Examination not</w:t>
            </w:r>
          </w:p>
        </w:tc>
        <w:tc>
          <w:tcPr>
            <w:tcW w:w="0" w:type="dxa"/>
            <w:vAlign w:val="bottom"/>
          </w:tcPr>
          <w:p>
            <w:pPr>
              <w:spacing w:after="0"/>
              <w:rPr>
                <w:sz w:val="1"/>
                <w:szCs w:val="1"/>
                <w:color w:val="auto"/>
              </w:rPr>
            </w:pPr>
          </w:p>
        </w:tc>
      </w:tr>
      <w:tr>
        <w:trPr>
          <w:trHeight w:val="243"/>
        </w:trPr>
        <w:tc>
          <w:tcPr>
            <w:tcW w:w="6740" w:type="dxa"/>
            <w:vAlign w:val="bottom"/>
            <w:vMerge w:val="continue"/>
          </w:tcPr>
          <w:p>
            <w:pPr>
              <w:spacing w:after="0"/>
              <w:rPr>
                <w:sz w:val="21"/>
                <w:szCs w:val="21"/>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in progress</w:t>
            </w:r>
          </w:p>
        </w:tc>
        <w:tc>
          <w:tcPr>
            <w:tcW w:w="2180" w:type="dxa"/>
            <w:vAlign w:val="bottom"/>
          </w:tcPr>
          <w:p>
            <w:pPr>
              <w:jc w:val="right"/>
              <w:ind w:right="510"/>
              <w:spacing w:after="0"/>
              <w:rPr>
                <w:sz w:val="20"/>
                <w:szCs w:val="20"/>
                <w:color w:val="auto"/>
              </w:rPr>
            </w:pPr>
            <w:r>
              <w:rPr>
                <w:rFonts w:ascii="Arial" w:cs="Arial" w:eastAsia="Arial" w:hAnsi="Arial"/>
                <w:sz w:val="18"/>
                <w:szCs w:val="18"/>
                <w:b w:val="1"/>
                <w:bCs w:val="1"/>
                <w:color w:val="auto"/>
              </w:rPr>
              <w:t>yet initiated</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2013-2021</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2020-2024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tcPr>
          <w:p>
            <w:pPr>
              <w:jc w:val="right"/>
              <w:spacing w:after="0"/>
              <w:rPr>
                <w:sz w:val="20"/>
                <w:szCs w:val="20"/>
                <w:color w:val="auto"/>
              </w:rPr>
            </w:pPr>
            <w:r>
              <w:rPr>
                <w:rFonts w:ascii="Arial" w:cs="Arial" w:eastAsia="Arial" w:hAnsi="Arial"/>
                <w:sz w:val="18"/>
                <w:szCs w:val="18"/>
                <w:color w:val="auto"/>
              </w:rPr>
              <w:t>2020-2024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2020-2024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D9D9D9"/>
            </w:tcBorders>
          </w:tcPr>
          <w:p>
            <w:pPr>
              <w:ind w:left="20"/>
              <w:spacing w:after="0"/>
              <w:rPr>
                <w:sz w:val="20"/>
                <w:szCs w:val="20"/>
                <w:color w:val="auto"/>
              </w:rPr>
            </w:pPr>
            <w:r>
              <w:rPr>
                <w:rFonts w:ascii="Arial" w:cs="Arial" w:eastAsia="Arial" w:hAnsi="Arial"/>
                <w:sz w:val="18"/>
                <w:szCs w:val="18"/>
                <w:color w:val="auto"/>
              </w:rPr>
              <w:t>Singapore</w:t>
            </w:r>
          </w:p>
        </w:tc>
        <w:tc>
          <w:tcPr>
            <w:tcW w:w="2320" w:type="dxa"/>
            <w:vAlign w:val="bottom"/>
            <w:tcBorders>
              <w:bottom w:val="single" w:sz="8" w:color="D9D9D9"/>
            </w:tcBorders>
            <w:gridSpan w:val="2"/>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2021-2024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non-U.S.</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2014-2024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4, 2021, 136 members of the Organisation for Economic Co-operation and Development ("OECD") agreed to a global minimum tax rate of 15%. On December 20, 2021, OECD published its model rules on the agreed minimum tax known as the Global Anti-Base Erosion ("GloBE") rules. The GloBE rules provide a framework for a coordinated multi-country system of taxation intended to ensure large multinational enterprise groups pay a minimum level of tax on the income arising in each of the jurisdictions where they operate. On December 14, 2022, the European Council approved its directive to implement Pillar Two of the GloBE rules regarding a 15% global minimum tax rate. Many G20 nations have also indicated their plan to follow the OECD guidance as early as January 1, 2024. Pillar Two legislation has been enacted or substantively enacted in several jurisdictions in which the Company operates. The legislation is effective for the Company’s financial year beginning January 1, 2024.</w:t>
      </w:r>
    </w:p>
    <w:p>
      <w:pPr>
        <w:spacing w:after="0" w:line="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has completed its assessment and identified potential exposure to Pillar Two income taxes on profits earned in jurisdictions where the effective tax rate is lower than 15%. The estimated Pillar Two taxes do not have a material impact on the estimated annual effective tax rate for 2024 or the income tax provision for the year ended December 31,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normal course of business, we are required to post bid, performance, and other surety-related bonds. The majority of the surety bonds posted relate to our aviation and land segments. We had outstanding bonds that were executed in order to satisfy various security requirements of $65.8 million and $71.9 million as of December 31, 2024 and 2023,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December 31, 2024, the notional value associated with fixed sales and purchase commitments under our derivative programs amounted to $865.7 million and $369.4 million, respectively, with delivery dates from 2025</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through 2033. Additionally, we have a fixed purchase contract that extends through 2026, under which we have agreed to purchase annually approximately 2.0 million barrels of aviation fuel at future market prices.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make a matching contribution of 50% for each 1% of the participants' contributions up to a maximum of 6% of the participants' contributions, subject to applicable IRS limits. Annual Company contributions are made at our sole discretion, as approved by the Compensation Committee of the Board of Directors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material during each of the years presented on the Consolidated Statements of Income and Comprehensive Income.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non-qualified deferred compensation ("NQDC") plan to certain eligible employees,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$17.9 million and $14.9 million as of December 31, 2024 and 2023, respectively, which was principally included in Other long-term liabilities within our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2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Our business is subject to numerous federal, state, local and foreign environmental laws and regulations, including those relating to fuel storage and distribution, terminals, underground storage tanks, the release or discharge of regulated materials into the air, water and soil, the generation, storage, handling, use, transportation and disposal of hazardous materials, and the exposure of persons to regulated materials. A violation of, liability under, or noncompliance with these laws and regulations, or any future environmental law or regulation, could result in material liabilities, including administrative, civil or criminal penalties, remediation costs as well as third-party damages. From time to time, we may be responsible for remediating contamination at properties we own or lease and can be entitled to reimbursement for certain of these costs from state trust funds, as well as various third-party contractual indemnities and insurance policies, subject to eligibility requirements, deductibles, and aggregate caps. Although we continuously review the adequacy of our insurance coverage, we may lack adequate coverage for various risks, including environmental claims. If we are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for a claim or claims of sufficient magnitude arising out of our activities, it will have a material adverse effect on our financial position, results of operations and cash flows.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accrue for environmental assessment and remediation expenses when the future costs are probable and reasonably estimable. As of December 31, 2024 and 2023, accrued liabilities for remediation reserves were not material. It is not presently possible to estimate the ultimate amount of all remediation costs that might be incurred or the penalties that may be imposed.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also under review by various domestic and foreign tax authorities regarding indirect tax matters and are involved in various challenges and litigation in a number of countries, including, in particular, South Korea, where the amounts in controversy may be material. During 2016 and 2017, the South Korean branch of one of our subsidiaries received assessments totaling approximately $23.3 million (KRW 34.3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we have substantial defenses to these assessments and expect to continue to pursue available administrative and judicial remedies to resolve this matter.</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described above in Note 3. Acquisitions and Divestitures, in December 2024, we completed the sale of the Brazil disposal group. The Brazil disposal group was involved in several tax disputes with federal, state and municipal tax authorities in Brazil, including previously disclosed disputes relating primarily to a VAT tax known as ICMS. Following the Brazil sale, we no longer own the entities involved with the previously disclosed Brazil disposal group matters.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23, 2023, one of our subsidiaries submitted an erroneous bid in the Finnish power market. During the fourth quarter of 2023, the Company recognized related extraordinary losses totaling $48.8 million, which are principally reported within Cost of revenue on the Consolidated Statements of Income and Comprehensive Income. In December 2023, the subsidiary received a request for information from Energiavirasto, the Finnish energy regulatory authority ("EA") indicating that EA had initiated an investigation in relation to the events surrounding the erroneous bid submission. We have responded to the information requests and continue to cooperate with the investigation. At this time, we are unable to predict the outcome of this investigation, including whether the investigation will result in any action, proceeding or fine against us.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2021, judgments were entered against one of our subsidiaries in the Singapore High Court in companion actions filed by a financing bank of two of our subsidiary’s suppliers. Each of the claims arose out of a financing arrangement between our subsidiary's supplier and the bank. The resulting judgments, including principal and interest, aggregated to approximately $ 33 million, which we paid to the bank pending the appeals of the Singapore court judgments. In January 2023, we entered into a settlement agreement with the bank pursuant to which the parties settled for approximately $13 million. As a result, we recognized a loss of $6.5 million during the year ended December 31, 2022. Pursuant to the settlement, in the first quarter of 2023 we recovered approximately $20 million in funds we had previously paid to the bank. In connection with the settlement, we have withdrawn our appeals and the parties have exchanged full and final releases in respect of the matters.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matters in which losses are probable and can be reasonably estimated. As of December 31, 2024, our reserves for such claims were not material. For those matters where a reserve has not been established and for which we believe a loss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 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years ended December 31, 2024, 2023 and 2022, the Company's Board of Directors declared aggregate cash dividends of $0.68, $0.56, and 0.52 per common share, representing $ 39.8 million, $33.8 million, and $32.2 million in total dividends, respectively. Cash dividends declared, but not yet paid, were $9.7 million, $8.4 million and $8.6 million as of December 31, 2024, 2023 and 2022, respectively.</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payments associated with the above referenced cash dividends were in compliance with restrictions regarding the maximum amount of cash dividends allowed to be paid under our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2023, we used a portion of the proceeds from the issuance of Convertible Notes to repurchase approximately 2.2 million shares of common stock from purchasers of the Convertible Notes for an aggregate purchase price of approximately $ 50.0 million. See Note 8. Debt, Interest Income, Expense, and Other Finance Costs for additional information regarding the issuance of Convertible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Repurchase Programs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March 2020, the Board approved a stock repurchase program authorizing $200.0 million in common stock repurchases. In September 2024, the Board approved an additional stock repurchase program authorizing $200.0 million in common stock repurchases. These repurchase authorizations do not require a minimum number of shares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of common stock to be purchased, have no expiration date, and repurchases may be initiated, suspended or discontinued at any time. As of December 31, 2024, approximately $237.0 million remains available under our repurchase authorizations. The timing and amount of our repurchases will depend on market conditions, share price, securities law and other legal requirements and factors.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years ended December 31, 2024, 2023, and 2022, we repurchased 3.6 million, 0.5 million, and 2.0 million shares of common stock under our repurchase authorizations for an aggregate value of $100.0 million, $10.1 million, and $48.7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Summary and Description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2021, our shareholders approved the 2021 Omnibus Plan (the "2021 Plan"), which is administered by the Compensation Committee. The purpose of the 2021 Plan is to (i) attract and retain persons eligible to participate in the 2021 Plan; (ii) motivate participants, by means of appropriate incentives, to achieve long-range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long-term financial interest of World Kinect and its subsidiaries, including the growth in value of our equity and enhancement of long-term shareholder return. The persons eligible to receive awards under the 2021 Plan are our employees, officers, and members of the Board of Directors, or any consultant or other person who performs services for us.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provisions of the 2021 Plan authorize the grant of stock options which can be "qualified" or "nonqualified" under the Internal Revenue Code of 1986, as amended, restricted stock, RSUs, SSAR Awards, performance shares and performance units and other share-based awards. The 2021 Plan will remain in effect for as long as any awards granted under it remain outstanding. No awards may be granted under the 2021 Plan after May 2031. The term and vesting period of awards granted under the 2021 Plan are established on a per grant basis, but options and SSAR Awards may not remain exercisable after the seven-year anniversary of the date of grant.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2021 Plan, 2.9 million shares of common stock were authorized for issuance in addition to any shares of common stock with respect to awards that were granted under the prior plans (2020, 2016, and 2006) but are forfeited or canceled (e.g., due to the recipient's failure to satisfy applicable service or performance conditions) after May 2021. As of December 31, 2024, approximately 2.8 million shares of common stock were subject to outstanding awards under the 2021, 2016, and 2006 Plans (assuming maximum achievement of performance goals for restricted stock and target achievement of performance goals for RSUs, where applicable).</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outstanding awards issued pursuant to the plans described above as of December 31, 2024 and the remaining shares of common stock available for future issuance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 Shares of</w:t>
            </w:r>
          </w:p>
        </w:tc>
        <w:tc>
          <w:tcPr>
            <w:tcW w:w="0" w:type="dxa"/>
            <w:vAlign w:val="bottom"/>
          </w:tcPr>
          <w:p>
            <w:pPr>
              <w:spacing w:after="0"/>
              <w:rPr>
                <w:sz w:val="1"/>
                <w:szCs w:val="1"/>
                <w:color w:val="auto"/>
              </w:rPr>
            </w:pPr>
          </w:p>
        </w:tc>
      </w:tr>
      <w:tr>
        <w:trPr>
          <w:trHeight w:val="184"/>
        </w:trPr>
        <w:tc>
          <w:tcPr>
            <w:tcW w:w="5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Common Stock</w:t>
            </w:r>
          </w:p>
        </w:tc>
        <w:tc>
          <w:tcPr>
            <w:tcW w:w="0" w:type="dxa"/>
            <w:vAlign w:val="bottom"/>
          </w:tcPr>
          <w:p>
            <w:pPr>
              <w:spacing w:after="0"/>
              <w:rPr>
                <w:sz w:val="1"/>
                <w:szCs w:val="1"/>
                <w:color w:val="auto"/>
              </w:rPr>
            </w:pPr>
          </w:p>
        </w:tc>
      </w:tr>
      <w:tr>
        <w:trPr>
          <w:trHeight w:val="181"/>
        </w:trPr>
        <w:tc>
          <w:tcPr>
            <w:tcW w:w="5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name</w:t>
            </w:r>
          </w:p>
        </w:tc>
        <w:tc>
          <w:tcPr>
            <w:tcW w:w="166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RSUs</w:t>
            </w:r>
          </w:p>
        </w:tc>
        <w:tc>
          <w:tcPr>
            <w:tcW w:w="16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SSAR Awards</w:t>
            </w:r>
          </w:p>
        </w:tc>
        <w:tc>
          <w:tcPr>
            <w:tcW w:w="21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Available for Future</w:t>
            </w:r>
          </w:p>
        </w:tc>
        <w:tc>
          <w:tcPr>
            <w:tcW w:w="0" w:type="dxa"/>
            <w:vAlign w:val="bottom"/>
          </w:tcPr>
          <w:p>
            <w:pPr>
              <w:spacing w:after="0"/>
              <w:rPr>
                <w:sz w:val="1"/>
                <w:szCs w:val="1"/>
                <w:color w:val="auto"/>
              </w:rPr>
            </w:pPr>
          </w:p>
        </w:tc>
      </w:tr>
      <w:tr>
        <w:trPr>
          <w:trHeight w:val="229"/>
        </w:trPr>
        <w:tc>
          <w:tcPr>
            <w:tcW w:w="57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rPr>
              <w:t>Issuance</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2021 Plan </w:t>
            </w:r>
            <w:r>
              <w:rPr>
                <w:rFonts w:ascii="Arial" w:cs="Arial" w:eastAsia="Arial" w:hAnsi="Arial"/>
                <w:sz w:val="23"/>
                <w:szCs w:val="23"/>
                <w:color w:val="auto"/>
                <w:vertAlign w:val="superscript"/>
              </w:rPr>
              <w:t>(1)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2016 Plan </w:t>
            </w:r>
            <w:r>
              <w:rPr>
                <w:rFonts w:ascii="Arial" w:cs="Arial" w:eastAsia="Arial" w:hAnsi="Arial"/>
                <w:sz w:val="23"/>
                <w:szCs w:val="23"/>
                <w:color w:val="auto"/>
                <w:vertAlign w:val="superscript"/>
              </w:rPr>
              <w:t>(2)</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2006 Plan </w:t>
            </w:r>
            <w:r>
              <w:rPr>
                <w:rFonts w:ascii="Arial" w:cs="Arial" w:eastAsia="Arial" w:hAnsi="Arial"/>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As of December 31, 2024, unvested RSUs will vest between February 2025 and May 2028.</w:t>
      </w:r>
    </w:p>
    <w:p>
      <w:pPr>
        <w:spacing w:after="0" w:line="69"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As of December 31, 2024, the outstanding SSAR Awards will expire in March 2025.</w:t>
      </w:r>
    </w:p>
    <w:p>
      <w:pPr>
        <w:spacing w:after="0" w:line="69" w:lineRule="exact"/>
        <w:rPr>
          <w:rFonts w:ascii="Arial" w:cs="Arial" w:eastAsia="Arial" w:hAnsi="Arial"/>
          <w:sz w:val="23"/>
          <w:szCs w:val="23"/>
          <w:color w:val="auto"/>
          <w:vertAlign w:val="superscript"/>
        </w:rPr>
      </w:pPr>
    </w:p>
    <w:p>
      <w:pPr>
        <w:ind w:left="340" w:right="20" w:hanging="332"/>
        <w:spacing w:after="0" w:line="235" w:lineRule="exact"/>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w:t>
      </w:r>
    </w:p>
    <w:p>
      <w:pPr>
        <w:spacing w:after="0" w:line="2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RSUs may contain one or more service, performance, or market-based vesting conditions. 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9"/>
              </w:rPr>
              <w:t>Weighted Average Grant</w:t>
            </w:r>
          </w:p>
        </w:tc>
        <w:tc>
          <w:tcPr>
            <w:tcW w:w="140" w:type="dxa"/>
            <w:vAlign w:val="bottom"/>
          </w:tcPr>
          <w:p>
            <w:pPr>
              <w:spacing w:after="0"/>
              <w:rPr>
                <w:sz w:val="17"/>
                <w:szCs w:val="17"/>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8"/>
              </w:rPr>
              <w:t>Aggregate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5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RSUs</w:t>
            </w:r>
          </w:p>
        </w:tc>
        <w:tc>
          <w:tcPr>
            <w:tcW w:w="140" w:type="dxa"/>
            <w:vAlign w:val="bottom"/>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Remaining Contractual</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Date Fair Value Price</w:t>
            </w:r>
          </w:p>
        </w:tc>
        <w:tc>
          <w:tcPr>
            <w:tcW w:w="14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Intrinsic Value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Life (in Years)</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15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25.86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25.97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2022</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23.48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2023</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25.46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27.36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2024</w:t>
            </w:r>
          </w:p>
        </w:tc>
        <w:tc>
          <w:tcPr>
            <w:tcW w:w="15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tabs>
          <w:tab w:leader="none" w:pos="343"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Awards granted during the year ended December 31, 2022 included 0.5 million special performance-based equity awards, pursuant to which vesting is tied to the Company's total shareholder return over the three-year performance period. The awards were valued using a Monte Carlo simulation. The weighted average grant date fair value of the awards was $33.45 and the assumptions used to determine such fair value were as follows: simulation term of 3 years, volatility of 52.2%, and risk-free interest rate of 4.1%.</w:t>
      </w:r>
    </w:p>
    <w:p>
      <w:pPr>
        <w:spacing w:after="0" w:line="86" w:lineRule="exact"/>
        <w:rPr>
          <w:rFonts w:ascii="Arial" w:cs="Arial" w:eastAsia="Arial" w:hAnsi="Arial"/>
          <w:sz w:val="23"/>
          <w:szCs w:val="23"/>
          <w:color w:val="auto"/>
          <w:vertAlign w:val="superscript"/>
        </w:rPr>
      </w:pPr>
    </w:p>
    <w:p>
      <w:pPr>
        <w:ind w:left="340" w:hanging="332"/>
        <w:spacing w:after="0" w:line="231" w:lineRule="auto"/>
        <w:tabs>
          <w:tab w:leader="none" w:pos="4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of RSUs vested during the years ended December 31, 2024, 2023 and 2022 was $19.4 million, $18.2 million and $14.8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SSAR Awards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SSAR Awards Outstanding</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SSAR Awards Exercisable</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9"/>
        </w:trPr>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Average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SSAR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12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SSAR Awards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Awards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19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2021</w:t>
            </w:r>
          </w:p>
        </w:tc>
        <w:tc>
          <w:tcPr>
            <w:tcW w:w="9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2120" w:type="dxa"/>
            <w:vAlign w:val="bottom"/>
          </w:tcPr>
          <w:p>
            <w:pPr>
              <w:ind w:left="20"/>
              <w:spacing w:after="0"/>
              <w:rPr>
                <w:sz w:val="20"/>
                <w:szCs w:val="20"/>
                <w:color w:val="auto"/>
              </w:rPr>
            </w:pPr>
            <w:r>
              <w:rPr>
                <w:rFonts w:ascii="Arial" w:cs="Arial" w:eastAsia="Arial" w:hAnsi="Arial"/>
                <w:sz w:val="14"/>
                <w:szCs w:val="14"/>
                <w:color w:val="auto"/>
              </w:rPr>
              <w:t>Expired</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120" w:type="dxa"/>
            <w:vAlign w:val="bottom"/>
          </w:tcPr>
          <w:p>
            <w:pPr>
              <w:ind w:left="20"/>
              <w:spacing w:after="0"/>
              <w:rPr>
                <w:sz w:val="20"/>
                <w:szCs w:val="20"/>
                <w:color w:val="auto"/>
              </w:rPr>
            </w:pPr>
            <w:r>
              <w:rPr>
                <w:rFonts w:ascii="Arial" w:cs="Arial" w:eastAsia="Arial" w:hAnsi="Arial"/>
                <w:sz w:val="14"/>
                <w:szCs w:val="14"/>
                <w:color w:val="auto"/>
              </w:rPr>
              <w:t>As of December 31, 2022</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7"/>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Exercised </w:t>
            </w:r>
            <w:r>
              <w:rPr>
                <w:rFonts w:ascii="Arial" w:cs="Arial" w:eastAsia="Arial" w:hAnsi="Arial"/>
                <w:sz w:val="18"/>
                <w:szCs w:val="18"/>
                <w:color w:val="auto"/>
                <w:vertAlign w:val="superscript"/>
              </w:rPr>
              <w:t>(1)</w:t>
            </w:r>
          </w:p>
        </w:tc>
        <w:tc>
          <w:tcPr>
            <w:tcW w:w="9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120" w:type="dxa"/>
            <w:vAlign w:val="bottom"/>
          </w:tcPr>
          <w:p>
            <w:pPr>
              <w:ind w:left="20"/>
              <w:spacing w:after="0"/>
              <w:rPr>
                <w:sz w:val="20"/>
                <w:szCs w:val="20"/>
                <w:color w:val="auto"/>
              </w:rPr>
            </w:pPr>
            <w:r>
              <w:rPr>
                <w:rFonts w:ascii="Arial" w:cs="Arial" w:eastAsia="Arial" w:hAnsi="Arial"/>
                <w:sz w:val="14"/>
                <w:szCs w:val="14"/>
                <w:color w:val="auto"/>
              </w:rPr>
              <w:t>As of December 31, 2023</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Expired</w:t>
            </w:r>
          </w:p>
        </w:tc>
        <w:tc>
          <w:tcPr>
            <w:tcW w:w="9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4"/>
                <w:szCs w:val="14"/>
                <w:color w:val="auto"/>
              </w:rPr>
              <w:t>As of December 31, 2024</w:t>
            </w: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0.1</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23.39</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23.39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of SSAR Awards exercised was $0.8 million for the year ended December 31, 2023.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Unrecognized Compensation Cost</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December 31, 2024, there was $41.2 million of total unrecognized compensation cost related to unvested share-based payment awards, which is expected to be recognized as compensation expense over a weighted average period of 1.1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Our Accumulated other comprehensive income (loss) consists of foreign currency translation adjustments related to our subsidiaries that have a functional currency other than the U.S. dollar and unrealized gains (losses) from derivative instruments designated as cash flow hedges. The after-tax changes in Accumulated other comprehensive income (loss) by component were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160" w:type="dxa"/>
            <w:vAlign w:val="bottom"/>
          </w:tcPr>
          <w:p>
            <w:pPr>
              <w:spacing w:after="0"/>
              <w:rPr>
                <w:sz w:val="17"/>
                <w:szCs w:val="1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Cash Flow</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Accumulated Other</w:t>
            </w:r>
          </w:p>
        </w:tc>
        <w:tc>
          <w:tcPr>
            <w:tcW w:w="0" w:type="dxa"/>
            <w:vAlign w:val="bottom"/>
          </w:tcPr>
          <w:p>
            <w:pPr>
              <w:spacing w:after="0"/>
              <w:rPr>
                <w:sz w:val="1"/>
                <w:szCs w:val="1"/>
                <w:color w:val="auto"/>
              </w:rPr>
            </w:pPr>
          </w:p>
        </w:tc>
      </w:tr>
      <w:tr>
        <w:trPr>
          <w:trHeight w:val="176"/>
        </w:trPr>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rPr>
              <w:t>Comprehensive</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Hedges</w:t>
            </w:r>
          </w:p>
        </w:tc>
        <w:tc>
          <w:tcPr>
            <w:tcW w:w="180" w:type="dxa"/>
            <w:vAlign w:val="bottom"/>
          </w:tcPr>
          <w:p>
            <w:pPr>
              <w:spacing w:after="0"/>
              <w:rPr>
                <w:sz w:val="21"/>
                <w:szCs w:val="21"/>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Loss</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76"/>
        </w:trPr>
        <w:tc>
          <w:tcPr>
            <w:tcW w:w="6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shd w:val="clear" w:color="auto" w:fill="CCEEFF"/>
          </w:tcPr>
          <w:p>
            <w:pPr>
              <w:spacing w:after="0"/>
              <w:rPr>
                <w:sz w:val="15"/>
                <w:szCs w:val="15"/>
                <w:color w:val="auto"/>
              </w:rPr>
            </w:pPr>
          </w:p>
        </w:tc>
        <w:tc>
          <w:tcPr>
            <w:tcW w:w="1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40" w:type="dxa"/>
            <w:vAlign w:val="bottom"/>
            <w:shd w:val="clear" w:color="auto" w:fill="CCEEFF"/>
          </w:tcPr>
          <w:p>
            <w:pPr>
              <w:spacing w:after="0"/>
              <w:rPr>
                <w:sz w:val="21"/>
                <w:szCs w:val="21"/>
                <w:color w:val="auto"/>
              </w:rPr>
            </w:pPr>
          </w:p>
        </w:tc>
        <w:tc>
          <w:tcPr>
            <w:tcW w:w="17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Balance as of December 31, 2023</w:t>
            </w: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comprehensive income (loss) before reclassifications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76"/>
        </w:trPr>
        <w:tc>
          <w:tcPr>
            <w:tcW w:w="6020" w:type="dxa"/>
            <w:vAlign w:val="bottom"/>
          </w:tcPr>
          <w:p>
            <w:pPr>
              <w:ind w:left="20"/>
              <w:spacing w:after="0" w:line="176" w:lineRule="exact"/>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 xml:space="preserve">(loss)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31"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The foreign currency translation adjustment loss for the year ended December 31, 2024 was due primarily to the effect of a stronger U.S. dollar compared to most foreign currencies, including the British Pound.</w:t>
      </w:r>
    </w:p>
    <w:p>
      <w:pPr>
        <w:spacing w:after="0" w:line="86"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2024, cumulative translation losses were reclassified from Other comprehensive income (loss) into net income. See Note 3. Acquisitions and Divestitures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Some of these leases are embedded within other arrangements. Some of these arrangements are for periods of twelve months or less, while others are for longer periods, and may 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total lease cost related to our lease arrangements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29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8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82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20" w:type="dxa"/>
            <w:vAlign w:val="bottom"/>
            <w:vMerge w:val="restart"/>
          </w:tcPr>
          <w:p>
            <w:pPr>
              <w:jc w:val="right"/>
              <w:ind w:right="239"/>
              <w:spacing w:after="0"/>
              <w:rPr>
                <w:sz w:val="20"/>
                <w:szCs w:val="20"/>
                <w:color w:val="auto"/>
              </w:rPr>
            </w:pPr>
            <w:r>
              <w:rPr>
                <w:rFonts w:ascii="Arial" w:cs="Arial" w:eastAsia="Arial" w:hAnsi="Arial"/>
                <w:sz w:val="14"/>
                <w:szCs w:val="14"/>
                <w:color w:val="auto"/>
              </w:rPr>
              <w:t>82</w:t>
            </w: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8"/>
        </w:trPr>
        <w:tc>
          <w:tcPr>
            <w:tcW w:w="42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0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6"/>
        </w:trPr>
        <w:tc>
          <w:tcPr>
            <w:tcW w:w="7780" w:type="dxa"/>
            <w:vAlign w:val="bottom"/>
            <w:gridSpan w:val="5"/>
          </w:tcPr>
          <w:p>
            <w:pPr>
              <w:spacing w:after="0"/>
              <w:rPr>
                <w:sz w:val="20"/>
                <w:szCs w:val="20"/>
                <w:color w:val="auto"/>
              </w:rPr>
            </w:pPr>
            <w:r>
              <w:rPr>
                <w:rFonts w:ascii="Arial" w:cs="Arial" w:eastAsia="Arial" w:hAnsi="Arial"/>
                <w:sz w:val="18"/>
                <w:szCs w:val="18"/>
                <w:color w:val="auto"/>
              </w:rPr>
              <w:t>As of December 31, 2024, our remaining lease payments were as follows (in millions):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400" w:type="dxa"/>
            <w:vAlign w:val="bottom"/>
            <w:tcBorders>
              <w:bottom w:val="single" w:sz="8" w:color="CCEEFF"/>
            </w:tcBorders>
          </w:tcPr>
          <w:p>
            <w:pPr>
              <w:spacing w:after="0"/>
              <w:rPr>
                <w:sz w:val="24"/>
                <w:szCs w:val="24"/>
                <w:color w:val="auto"/>
              </w:rPr>
            </w:pPr>
          </w:p>
        </w:tc>
        <w:tc>
          <w:tcPr>
            <w:tcW w:w="2420" w:type="dxa"/>
            <w:vAlign w:val="bottom"/>
            <w:tcBorders>
              <w:bottom w:val="single" w:sz="8" w:color="CCEEFF"/>
            </w:tcBorders>
          </w:tcPr>
          <w:p>
            <w:pPr>
              <w:spacing w:after="0"/>
              <w:rPr>
                <w:sz w:val="24"/>
                <w:szCs w:val="24"/>
                <w:color w:val="auto"/>
              </w:rPr>
            </w:pPr>
          </w:p>
        </w:tc>
        <w:tc>
          <w:tcPr>
            <w:tcW w:w="2880" w:type="dxa"/>
            <w:vAlign w:val="bottom"/>
            <w:tcBorders>
              <w:bottom w:val="single" w:sz="8" w:color="CCEEFF"/>
            </w:tcBorders>
          </w:tcPr>
          <w:p>
            <w:pPr>
              <w:spacing w:after="0"/>
              <w:rPr>
                <w:sz w:val="24"/>
                <w:szCs w:val="24"/>
                <w:color w:val="auto"/>
              </w:rPr>
            </w:pPr>
          </w:p>
        </w:tc>
        <w:tc>
          <w:tcPr>
            <w:tcW w:w="22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9"/>
              </w:rPr>
              <w:t>Finance Leases</w:t>
            </w:r>
          </w:p>
        </w:tc>
        <w:tc>
          <w:tcPr>
            <w:tcW w:w="0" w:type="dxa"/>
            <w:vAlign w:val="bottom"/>
          </w:tcPr>
          <w:p>
            <w:pPr>
              <w:spacing w:after="0"/>
              <w:rPr>
                <w:sz w:val="1"/>
                <w:szCs w:val="1"/>
                <w:color w:val="auto"/>
              </w:rPr>
            </w:pPr>
          </w:p>
        </w:tc>
      </w:tr>
      <w:tr>
        <w:trPr>
          <w:trHeight w:val="22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2026</w:t>
            </w:r>
          </w:p>
        </w:tc>
        <w:tc>
          <w:tcPr>
            <w:tcW w:w="24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2028</w:t>
            </w:r>
          </w:p>
        </w:tc>
        <w:tc>
          <w:tcPr>
            <w:tcW w:w="24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24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remaining lease payments (undiscounted)</w:t>
            </w: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8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8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3"/>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780" w:type="dxa"/>
            <w:vAlign w:val="bottom"/>
            <w:gridSpan w:val="5"/>
          </w:tcPr>
          <w:p>
            <w:pPr>
              <w:spacing w:after="0"/>
              <w:rPr>
                <w:sz w:val="20"/>
                <w:szCs w:val="20"/>
                <w:color w:val="auto"/>
              </w:rPr>
            </w:pPr>
            <w:r>
              <w:rPr>
                <w:rFonts w:ascii="Arial" w:cs="Arial" w:eastAsia="Arial" w:hAnsi="Arial"/>
                <w:sz w:val="18"/>
                <w:szCs w:val="18"/>
                <w:color w:val="auto"/>
              </w:rPr>
              <w:t>Supplemental balance sheet information related to leases (in millions):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60" w:type="dxa"/>
            <w:vAlign w:val="bottom"/>
            <w:gridSpan w:val="3"/>
            <w:vMerge w:val="restart"/>
          </w:tcPr>
          <w:p>
            <w:pPr>
              <w:ind w:left="1320"/>
              <w:spacing w:after="0"/>
              <w:rPr>
                <w:sz w:val="20"/>
                <w:szCs w:val="20"/>
                <w:color w:val="auto"/>
              </w:rPr>
            </w:pPr>
            <w:r>
              <w:rPr>
                <w:rFonts w:ascii="Arial" w:cs="Arial" w:eastAsia="Arial" w:hAnsi="Arial"/>
                <w:sz w:val="18"/>
                <w:szCs w:val="18"/>
                <w:b w:val="1"/>
                <w:bCs w:val="1"/>
                <w:color w:val="auto"/>
              </w:rPr>
              <w:t>Classification</w:t>
            </w: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Operating lease assets</w:t>
            </w:r>
          </w:p>
        </w:tc>
        <w:tc>
          <w:tcPr>
            <w:tcW w:w="3960" w:type="dxa"/>
            <w:vAlign w:val="bottom"/>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172.5</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assets</w:t>
            </w:r>
          </w:p>
        </w:tc>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0"/>
        </w:trPr>
        <w:tc>
          <w:tcPr>
            <w:tcW w:w="3820" w:type="dxa"/>
            <w:vAlign w:val="bottom"/>
            <w:gridSpan w:val="2"/>
          </w:tcPr>
          <w:p>
            <w:pPr>
              <w:spacing w:after="0"/>
              <w:rPr>
                <w:sz w:val="23"/>
                <w:szCs w:val="23"/>
                <w:color w:val="auto"/>
              </w:rPr>
            </w:pPr>
          </w:p>
        </w:tc>
        <w:tc>
          <w:tcPr>
            <w:tcW w:w="2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liability - current</w:t>
            </w:r>
          </w:p>
        </w:tc>
        <w:tc>
          <w:tcPr>
            <w:tcW w:w="3960" w:type="dxa"/>
            <w:vAlign w:val="bottom"/>
            <w:gridSpan w:val="3"/>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liability - long-term</w:t>
            </w:r>
          </w:p>
        </w:tc>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144.1</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Finance lease liability - current</w:t>
            </w:r>
          </w:p>
        </w:tc>
        <w:tc>
          <w:tcPr>
            <w:tcW w:w="3960" w:type="dxa"/>
            <w:vAlign w:val="bottom"/>
            <w:gridSpan w:val="3"/>
          </w:tcPr>
          <w:p>
            <w:pPr>
              <w:ind w:left="20"/>
              <w:spacing w:after="0"/>
              <w:rPr>
                <w:sz w:val="20"/>
                <w:szCs w:val="20"/>
                <w:color w:val="auto"/>
              </w:rPr>
            </w:pPr>
            <w:r>
              <w:rPr>
                <w:rFonts w:ascii="Arial" w:cs="Arial" w:eastAsia="Arial" w:hAnsi="Arial"/>
                <w:sz w:val="18"/>
                <w:szCs w:val="18"/>
                <w:color w:val="auto"/>
              </w:rPr>
              <w:t>Current maturities of long-term debt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liability - long-term</w:t>
            </w:r>
          </w:p>
        </w:tc>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63"/>
        </w:trPr>
        <w:tc>
          <w:tcPr>
            <w:tcW w:w="3820" w:type="dxa"/>
            <w:vAlign w:val="bottom"/>
            <w:gridSpan w:val="2"/>
          </w:tcPr>
          <w:p>
            <w:pPr>
              <w:spacing w:after="0"/>
              <w:rPr>
                <w:sz w:val="20"/>
                <w:szCs w:val="20"/>
                <w:color w:val="auto"/>
              </w:rPr>
            </w:pPr>
            <w:r>
              <w:rPr>
                <w:rFonts w:ascii="Arial" w:cs="Arial" w:eastAsia="Arial" w:hAnsi="Arial"/>
                <w:sz w:val="18"/>
                <w:szCs w:val="18"/>
                <w:color w:val="auto"/>
              </w:rPr>
              <w:t>Other information related to leases:</w:t>
            </w: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33333"/>
              </w:rPr>
              <w:t>2024</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333333"/>
              </w:rPr>
              <w:t>2023</w:t>
            </w:r>
          </w:p>
        </w:tc>
        <w:tc>
          <w:tcPr>
            <w:tcW w:w="0" w:type="dxa"/>
            <w:vAlign w:val="bottom"/>
          </w:tcPr>
          <w:p>
            <w:pPr>
              <w:spacing w:after="0"/>
              <w:rPr>
                <w:sz w:val="1"/>
                <w:szCs w:val="1"/>
                <w:color w:val="auto"/>
              </w:rPr>
            </w:pPr>
          </w:p>
        </w:tc>
      </w:tr>
      <w:tr>
        <w:trPr>
          <w:trHeight w:val="223"/>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of finance leases (in years)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780" w:type="dxa"/>
            <w:vAlign w:val="bottom"/>
            <w:gridSpan w:val="5"/>
          </w:tcPr>
          <w:p>
            <w:pPr>
              <w:ind w:left="20"/>
              <w:spacing w:after="0"/>
              <w:rPr>
                <w:sz w:val="20"/>
                <w:szCs w:val="20"/>
                <w:color w:val="auto"/>
              </w:rPr>
            </w:pPr>
            <w:r>
              <w:rPr>
                <w:rFonts w:ascii="Arial" w:cs="Arial" w:eastAsia="Arial" w:hAnsi="Arial"/>
                <w:sz w:val="18"/>
                <w:szCs w:val="18"/>
                <w:color w:val="auto"/>
              </w:rPr>
              <w:t>Weighted average remaining lease term of operating leases (in years)</w:t>
            </w:r>
          </w:p>
        </w:tc>
        <w:tc>
          <w:tcPr>
            <w:tcW w:w="1120" w:type="dxa"/>
            <w:vAlign w:val="bottom"/>
          </w:tcPr>
          <w:p>
            <w:pPr>
              <w:spacing w:after="0"/>
              <w:rPr>
                <w:sz w:val="19"/>
                <w:szCs w:val="19"/>
                <w:color w:val="auto"/>
              </w:rPr>
            </w:pP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center"/>
              <w:ind w:left="49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of finance leases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30"/>
        </w:trPr>
        <w:tc>
          <w:tcPr>
            <w:tcW w:w="7780" w:type="dxa"/>
            <w:vAlign w:val="bottom"/>
            <w:gridSpan w:val="5"/>
          </w:tcPr>
          <w:p>
            <w:pPr>
              <w:ind w:left="20"/>
              <w:spacing w:after="0"/>
              <w:rPr>
                <w:sz w:val="20"/>
                <w:szCs w:val="20"/>
                <w:color w:val="auto"/>
              </w:rPr>
            </w:pPr>
            <w:r>
              <w:rPr>
                <w:rFonts w:ascii="Arial" w:cs="Arial" w:eastAsia="Arial" w:hAnsi="Arial"/>
                <w:sz w:val="18"/>
                <w:szCs w:val="18"/>
                <w:color w:val="auto"/>
              </w:rPr>
              <w:t>Weighted average discount rate of operating leases</w:t>
            </w:r>
          </w:p>
        </w:tc>
        <w:tc>
          <w:tcPr>
            <w:tcW w:w="1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center"/>
              <w:ind w:left="510"/>
              <w:spacing w:after="0"/>
              <w:rPr>
                <w:sz w:val="20"/>
                <w:szCs w:val="20"/>
                <w:color w:val="auto"/>
              </w:rPr>
            </w:pPr>
            <w:r>
              <w:rPr>
                <w:rFonts w:ascii="Arial" w:cs="Arial" w:eastAsia="Arial" w:hAnsi="Arial"/>
                <w:sz w:val="18"/>
                <w:szCs w:val="18"/>
                <w:color w:val="auto"/>
                <w:w w:val="97"/>
              </w:rPr>
              <w:t>5.5%</w:t>
            </w:r>
          </w:p>
        </w:tc>
        <w:tc>
          <w:tcPr>
            <w:tcW w:w="0" w:type="dxa"/>
            <w:vAlign w:val="bottom"/>
          </w:tcPr>
          <w:p>
            <w:pPr>
              <w:spacing w:after="0"/>
              <w:rPr>
                <w:sz w:val="1"/>
                <w:szCs w:val="1"/>
                <w:color w:val="auto"/>
              </w:rPr>
            </w:pPr>
          </w:p>
        </w:tc>
      </w:tr>
      <w:tr>
        <w:trPr>
          <w:trHeight w:val="230"/>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 (in millions):</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47.5</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lease activities (in millions):</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5"/>
          </w:tcPr>
          <w:p>
            <w:pPr>
              <w:ind w:left="140"/>
              <w:spacing w:after="0"/>
              <w:rPr>
                <w:sz w:val="20"/>
                <w:szCs w:val="20"/>
                <w:color w:val="auto"/>
              </w:rPr>
            </w:pPr>
            <w:r>
              <w:rPr>
                <w:rFonts w:ascii="Arial" w:cs="Arial" w:eastAsia="Arial" w:hAnsi="Arial"/>
                <w:sz w:val="18"/>
                <w:szCs w:val="18"/>
                <w:color w:val="auto"/>
              </w:rPr>
              <w:t>Right of use assets obtained in exchange for new operating lease liability</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23.9</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77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Right of use assets obtained in exchange for new finance lease liability</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 Geographic Information, and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operate in three reportable segments consisting of aviation, land, and marine. Our operating segments are determined based on the different markets in which we provide products and services, which are defined primarily by the customers (businesses and governmental) and the products and services provided to those customers. Our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Chief Executive Officer is the CODM. The CODM uses Income from operations as the primary measure of segment profit. The CODM considers Income from operations when assessing budget to actual variances as part of the annual budgeting and forecasting process, in order to evaluate performance and make decisions about the allocation of capital and other resources to each segment.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aviation segment, we provide global aviation fuel supply and comprehensive service solutions to major commercial, international, and regional airlines, cargo carriers, airports, fixed-based operators, corporate fleets, and charter and fractional operators. We also supply fuel and provide services to U.S. and foreign government and military customers.</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our land segment, we offer fuel, lubricants, heating oil, and related products and services to commercial, industrial, residential and government customers, as well as retail petroleum operators. We provide energy advisory services, sustainability solutions, as well as supply fulfillment for natural gas and power.</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marine segment, we market fuel, lubricants, and related products and services to a broad base of marine customers, including international container, dry bulk and tanker fleets, commercial cruise lines, yachts and time-charter operators, U.S. and foreign governments, as well as other fuel suppliers.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 Certain corporate expenses are allocated to the segments based on usage, where possible, or on other factors according to the nature of the activity.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significant segment expenses, and income from operations by segment is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9"/>
          </w:tcPr>
          <w:p>
            <w:pPr>
              <w:jc w:val="right"/>
              <w:ind w:right="210"/>
              <w:spacing w:after="0"/>
              <w:rPr>
                <w:sz w:val="20"/>
                <w:szCs w:val="20"/>
                <w:color w:val="auto"/>
              </w:rPr>
            </w:pPr>
            <w:r>
              <w:rPr>
                <w:rFonts w:ascii="Arial" w:cs="Arial" w:eastAsia="Arial" w:hAnsi="Arial"/>
                <w:sz w:val="18"/>
                <w:szCs w:val="18"/>
                <w:b w:val="1"/>
                <w:bCs w:val="1"/>
                <w:color w:val="auto"/>
                <w:w w:val="99"/>
              </w:rPr>
              <w:t>For the Year Ended December 31, 2024</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51"/>
              <w:spacing w:after="0"/>
              <w:rPr>
                <w:sz w:val="20"/>
                <w:szCs w:val="20"/>
                <w:color w:val="auto"/>
              </w:rPr>
            </w:pPr>
            <w:r>
              <w:rPr>
                <w:rFonts w:ascii="Arial" w:cs="Arial" w:eastAsia="Arial" w:hAnsi="Arial"/>
                <w:sz w:val="18"/>
                <w:szCs w:val="18"/>
                <w:b w:val="1"/>
                <w:bCs w:val="1"/>
                <w:color w:val="auto"/>
              </w:rPr>
              <w:t>Aviation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20,469.1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8,887.2</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42,168.0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(41,141.6)</w:t>
            </w: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vMerge w:val="restart"/>
          </w:tcPr>
          <w:p>
            <w:pPr>
              <w:jc w:val="right"/>
              <w:ind w:right="711"/>
              <w:spacing w:after="0"/>
              <w:rPr>
                <w:sz w:val="20"/>
                <w:szCs w:val="20"/>
                <w:color w:val="auto"/>
              </w:rPr>
            </w:pPr>
            <w:r>
              <w:rPr>
                <w:rFonts w:ascii="Arial" w:cs="Arial" w:eastAsia="Arial" w:hAnsi="Arial"/>
                <w:sz w:val="14"/>
                <w:szCs w:val="14"/>
                <w:color w:val="auto"/>
              </w:rPr>
              <w:t>84</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3"/>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938"/>
        </w:trPr>
        <w:tc>
          <w:tcPr>
            <w:tcW w:w="140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9"/>
          </w:tcPr>
          <w:p>
            <w:pPr>
              <w:jc w:val="right"/>
              <w:ind w:right="210"/>
              <w:spacing w:after="0"/>
              <w:rPr>
                <w:sz w:val="20"/>
                <w:szCs w:val="20"/>
                <w:color w:val="auto"/>
              </w:rPr>
            </w:pPr>
            <w:r>
              <w:rPr>
                <w:rFonts w:ascii="Arial" w:cs="Arial" w:eastAsia="Arial" w:hAnsi="Arial"/>
                <w:sz w:val="18"/>
                <w:szCs w:val="18"/>
                <w:b w:val="1"/>
                <w:bCs w:val="1"/>
                <w:color w:val="auto"/>
                <w:w w:val="99"/>
              </w:rPr>
              <w:t>For the Year Ended December 31, 2023</w:t>
            </w:r>
          </w:p>
        </w:tc>
        <w:tc>
          <w:tcPr>
            <w:tcW w:w="1120" w:type="dxa"/>
            <w:vAlign w:val="bottom"/>
            <w:tcBorders>
              <w:bottom w:val="single" w:sz="8" w:color="auto"/>
            </w:tcBorders>
          </w:tcPr>
          <w:p>
            <w:pPr>
              <w:spacing w:after="0"/>
              <w:rPr>
                <w:sz w:val="24"/>
                <w:szCs w:val="24"/>
                <w:color w:val="auto"/>
              </w:rPr>
            </w:pPr>
          </w:p>
        </w:tc>
      </w:tr>
      <w:tr>
        <w:trPr>
          <w:trHeight w:val="223"/>
        </w:trPr>
        <w:tc>
          <w:tcPr>
            <w:tcW w:w="14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Aviation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23,275.1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15,189.9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9,245.6</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47,710.6</w:t>
            </w: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(46,652.4)</w:t>
            </w:r>
          </w:p>
        </w:tc>
      </w:tr>
      <w:tr>
        <w:trPr>
          <w:trHeight w:val="230"/>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(334.2)</w:t>
            </w:r>
          </w:p>
        </w:tc>
      </w:tr>
      <w:tr>
        <w:trPr>
          <w:trHeight w:val="22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508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2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9"/>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50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331.2</w:t>
            </w:r>
          </w:p>
        </w:tc>
      </w:tr>
      <w:tr>
        <w:trPr>
          <w:trHeight w:val="229"/>
        </w:trPr>
        <w:tc>
          <w:tcPr>
            <w:tcW w:w="50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30"/>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2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08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1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9"/>
          </w:tcPr>
          <w:p>
            <w:pPr>
              <w:jc w:val="right"/>
              <w:ind w:right="210"/>
              <w:spacing w:after="0"/>
              <w:rPr>
                <w:sz w:val="20"/>
                <w:szCs w:val="20"/>
                <w:color w:val="auto"/>
              </w:rPr>
            </w:pPr>
            <w:r>
              <w:rPr>
                <w:rFonts w:ascii="Arial" w:cs="Arial" w:eastAsia="Arial" w:hAnsi="Arial"/>
                <w:sz w:val="18"/>
                <w:szCs w:val="18"/>
                <w:b w:val="1"/>
                <w:bCs w:val="1"/>
                <w:color w:val="auto"/>
                <w:w w:val="99"/>
              </w:rPr>
              <w:t>For the Year Ended December 31, 2022</w:t>
            </w:r>
          </w:p>
        </w:tc>
        <w:tc>
          <w:tcPr>
            <w:tcW w:w="112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Aviation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Marine</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26,799.9</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19,283.7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12,959.6</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59,043.1</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(26,442.7)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(57,954.1)</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(320.7)</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30"/>
        </w:trPr>
        <w:tc>
          <w:tcPr>
            <w:tcW w:w="5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380.6</w:t>
            </w:r>
          </w:p>
        </w:tc>
      </w:tr>
      <w:tr>
        <w:trPr>
          <w:trHeight w:val="229"/>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allocations of compensation costs and general and administrative expenses.</w:t>
      </w:r>
    </w:p>
    <w:p>
      <w:pPr>
        <w:spacing w:after="0" w:line="85"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Other segment expenses include professional fees, office expenses and general insurance, technology related expenses, travel and entertainment, and other general and administrative expenses.</w:t>
      </w:r>
    </w:p>
    <w:p>
      <w:pPr>
        <w:spacing w:after="0" w:line="86"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Unallocated corporate expenses include corporate compensation costs and general and administrative expenses which are not allocated to the operating segments, as well as certain asset impairment charges related to equity investments at non-core businesses.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capital expenditures and depreciation and amortization by segment is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For the Year Ended December 31, 2024</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4"/>
                <w:szCs w:val="14"/>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Land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4"/>
                <w:szCs w:val="14"/>
                <w:color w:val="auto"/>
              </w:rPr>
            </w:pPr>
          </w:p>
        </w:tc>
        <w:tc>
          <w:tcPr>
            <w:tcW w:w="11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Segment</w:t>
            </w:r>
          </w:p>
        </w:tc>
        <w:tc>
          <w:tcPr>
            <w:tcW w:w="160" w:type="dxa"/>
            <w:vAlign w:val="bottom"/>
          </w:tcPr>
          <w:p>
            <w:pPr>
              <w:spacing w:after="0"/>
              <w:rPr>
                <w:sz w:val="14"/>
                <w:szCs w:val="14"/>
                <w:color w:val="auto"/>
              </w:rPr>
            </w:pPr>
          </w:p>
        </w:tc>
        <w:tc>
          <w:tcPr>
            <w:tcW w:w="140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4"/>
                <w:szCs w:val="14"/>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450"/>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For the Year Ended December 31, 2023</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4"/>
                <w:szCs w:val="14"/>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Land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4"/>
                <w:szCs w:val="14"/>
                <w:color w:val="auto"/>
              </w:rPr>
            </w:pPr>
          </w:p>
        </w:tc>
        <w:tc>
          <w:tcPr>
            <w:tcW w:w="11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Segment</w:t>
            </w:r>
          </w:p>
        </w:tc>
        <w:tc>
          <w:tcPr>
            <w:tcW w:w="160" w:type="dxa"/>
            <w:vAlign w:val="bottom"/>
          </w:tcPr>
          <w:p>
            <w:pPr>
              <w:spacing w:after="0"/>
              <w:rPr>
                <w:sz w:val="14"/>
                <w:szCs w:val="14"/>
                <w:color w:val="auto"/>
              </w:rPr>
            </w:pPr>
          </w:p>
        </w:tc>
        <w:tc>
          <w:tcPr>
            <w:tcW w:w="140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4"/>
                <w:szCs w:val="14"/>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436"/>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For the Year Ended December 31, 2022</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5"/>
                <w:szCs w:val="15"/>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Land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5"/>
                <w:szCs w:val="15"/>
                <w:color w:val="auto"/>
              </w:rPr>
            </w:pPr>
          </w:p>
        </w:tc>
        <w:tc>
          <w:tcPr>
            <w:tcW w:w="1100" w:type="dxa"/>
            <w:vAlign w:val="bottom"/>
            <w:gridSpan w:val="2"/>
          </w:tcPr>
          <w:p>
            <w:pPr>
              <w:jc w:val="center"/>
              <w:ind w:right="300"/>
              <w:spacing w:after="0" w:line="177" w:lineRule="exact"/>
              <w:rPr>
                <w:sz w:val="20"/>
                <w:szCs w:val="20"/>
                <w:color w:val="auto"/>
              </w:rPr>
            </w:pPr>
            <w:r>
              <w:rPr>
                <w:rFonts w:ascii="Arial" w:cs="Arial" w:eastAsia="Arial" w:hAnsi="Arial"/>
                <w:sz w:val="18"/>
                <w:szCs w:val="18"/>
                <w:b w:val="1"/>
                <w:bCs w:val="1"/>
                <w:color w:val="auto"/>
                <w:w w:val="99"/>
              </w:rPr>
              <w:t>Segment</w:t>
            </w:r>
          </w:p>
        </w:tc>
        <w:tc>
          <w:tcPr>
            <w:tcW w:w="160" w:type="dxa"/>
            <w:vAlign w:val="bottom"/>
          </w:tcPr>
          <w:p>
            <w:pPr>
              <w:spacing w:after="0"/>
              <w:rPr>
                <w:sz w:val="15"/>
                <w:szCs w:val="15"/>
                <w:color w:val="auto"/>
              </w:rPr>
            </w:pPr>
          </w:p>
        </w:tc>
        <w:tc>
          <w:tcPr>
            <w:tcW w:w="1400" w:type="dxa"/>
            <w:vAlign w:val="bottom"/>
            <w:gridSpan w:val="2"/>
          </w:tcPr>
          <w:p>
            <w:pPr>
              <w:ind w:left="60"/>
              <w:spacing w:after="0" w:line="177"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40" w:right="820" w:hanging="332"/>
        <w:spacing w:after="0" w:line="231"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Total depreciation and amortization as presented includes charges classified within cost of sales and operating expenses in our Consolidated Statements of Income and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40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1,166.2</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1,285.7</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3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Marine segment</w:t>
            </w:r>
          </w:p>
        </w:tc>
        <w:tc>
          <w:tcPr>
            <w:tcW w:w="3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receivable, net</w:t>
            </w:r>
          </w:p>
        </w:tc>
        <w:tc>
          <w:tcPr>
            <w:tcW w:w="3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3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60" w:type="dxa"/>
            <w:vAlign w:val="bottom"/>
            <w:vMerge w:val="continue"/>
          </w:tcPr>
          <w:p>
            <w:pPr>
              <w:spacing w:after="0"/>
              <w:rPr>
                <w:sz w:val="15"/>
                <w:szCs w:val="15"/>
                <w:color w:val="auto"/>
              </w:rPr>
            </w:pPr>
          </w:p>
        </w:tc>
        <w:tc>
          <w:tcPr>
            <w:tcW w:w="3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4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2,767.4</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2,970.6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3,323.4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6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Total reportable segment assets</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6,448.5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7,083.5</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6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7,375.3</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3620" w:type="dxa"/>
            <w:vAlign w:val="bottom"/>
            <w:vMerge w:val="restart"/>
          </w:tcPr>
          <w:p>
            <w:pPr>
              <w:jc w:val="right"/>
              <w:ind w:right="1996"/>
              <w:spacing w:after="0"/>
              <w:rPr>
                <w:sz w:val="20"/>
                <w:szCs w:val="20"/>
                <w:color w:val="auto"/>
              </w:rPr>
            </w:pPr>
            <w:r>
              <w:rPr>
                <w:rFonts w:ascii="Arial" w:cs="Arial" w:eastAsia="Arial" w:hAnsi="Arial"/>
                <w:sz w:val="14"/>
                <w:szCs w:val="14"/>
                <w:color w:val="auto"/>
              </w:rPr>
              <w:t>86</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8"/>
        </w:trPr>
        <w:tc>
          <w:tcPr>
            <w:tcW w:w="41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60" w:type="dxa"/>
            <w:vAlign w:val="bottom"/>
            <w:tcBorders>
              <w:bottom w:val="single" w:sz="8" w:color="9A9A9A"/>
            </w:tcBorders>
          </w:tcPr>
          <w:p>
            <w:pPr>
              <w:spacing w:after="0"/>
              <w:rPr>
                <w:sz w:val="18"/>
                <w:szCs w:val="18"/>
                <w:color w:val="auto"/>
              </w:rPr>
            </w:pPr>
          </w:p>
        </w:tc>
        <w:tc>
          <w:tcPr>
            <w:tcW w:w="36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Information concerning our revenue and property and equipment, net, as segregated between the Americas, EMEA (Europe, Middle East and Africa) and the Asia Pacific regions, is presented as follows, based on the country of incorporation of the relevant subsidiary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09"/>
        </w:trPr>
        <w:tc>
          <w:tcPr>
            <w:tcW w:w="5980" w:type="dxa"/>
            <w:vAlign w:val="bottom"/>
            <w:shd w:val="clear" w:color="auto" w:fill="CCEEFF"/>
          </w:tcPr>
          <w:p>
            <w:pPr>
              <w:jc w:val="right"/>
              <w:ind w:right="509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20,905.1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25,403.7</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32,901.7</w:t>
            </w:r>
          </w:p>
        </w:tc>
      </w:tr>
      <w:tr>
        <w:trPr>
          <w:trHeight w:val="229"/>
        </w:trPr>
        <w:tc>
          <w:tcPr>
            <w:tcW w:w="5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12,396.1</w:t>
            </w:r>
          </w:p>
        </w:tc>
      </w:tr>
      <w:tr>
        <w:trPr>
          <w:trHeight w:val="229"/>
        </w:trPr>
        <w:tc>
          <w:tcPr>
            <w:tcW w:w="59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5,366.0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5,430.7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7,076.6</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 excluding United States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6,873.0</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6,668.6</w:t>
            </w:r>
          </w:p>
        </w:tc>
      </w:tr>
      <w:tr>
        <w:trPr>
          <w:trHeight w:val="223"/>
        </w:trPr>
        <w:tc>
          <w:tcPr>
            <w:tcW w:w="5980" w:type="dxa"/>
            <w:vAlign w:val="bottom"/>
          </w:tcPr>
          <w:p>
            <w:pPr>
              <w:jc w:val="right"/>
              <w:ind w:right="509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(3)</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42,168.0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47,710.6</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59,043.1</w:t>
            </w:r>
          </w:p>
        </w:tc>
      </w:tr>
      <w:tr>
        <w:trPr>
          <w:trHeight w:val="21"/>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325.2</w:t>
            </w:r>
          </w:p>
        </w:tc>
        <w:tc>
          <w:tcPr>
            <w:tcW w:w="14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Asia Pacific</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 excluding United States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3"/>
        </w:trPr>
        <w:tc>
          <w:tcPr>
            <w:tcW w:w="778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Includes revenue related to the U.K. of $4.8 billion, $5.3 billion and $6.7 billion for 2024, 2023 and 2022, respectively.</w:t>
      </w:r>
    </w:p>
    <w:p>
      <w:pPr>
        <w:spacing w:after="0" w:line="69"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Includes revenue related to Singapore of $5.3 billion, $5.3 billion and $7.2 billion for 2024, 2023 and 2022, respectively.</w:t>
      </w:r>
    </w:p>
    <w:p>
      <w:pPr>
        <w:spacing w:after="0" w:line="85"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Geographic revenue information in this table includes impacts from derivatives and hedging activities, which are excluded from that geographic revenue information presented at Note 10. Revenue from Contracts with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years ended December 31, 2024, 2023, and 2022, none of our customers accounted for more than 10% of total consolidated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and Exit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Exit Activities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2024, we decided to take actions to exit certain operations, including the rationalization of certain assets and associated personnel within our North American land business as well as the disposal of our subsidiaries in Brazil. As a result of the actions taken in 2024, during the three months ended December 31, 2024, we recognized asset impairment charges of $3.1 million, wrote off accounts receivable totaling $4.4 million, and recognized additional charges for severance and other compensation costs of $1.4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Restructuring Plan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2023, we approved and began implementing a restructuring plan (the "2023 Restructuring Plan") to realign our operational focus with the purpose of simplifying our business, enabling us to focus more clearly on growing our core businesses and our new sustainability-related activities, and improving our cost structure. As part of this plan, during the fourth quarter of 2023, we identified open positions that were eliminated and other positions that were closed to better align the workforce necessary to execute the revised strategy. We recognized restructuring charges of $7.2 million during the year ended December 31, 2023, composed of severance and other compensation costs. We also decided to shift future investments away from underperforming businesses and to continue assessing our global office footprint, resulting in impairment charges of $11.2 million during the fourth quarter of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first half of 2024, we continued to assess potential initiatives, resulting in additional severance and other compensation cost-related restructuring charges. In addition, as part of the 2023 Restructuring Plan, within our marine segment we made the decision during the second quarter of 2024 to cease operations at one of our subsidiaries in Brazil, resulting in the write-off of $3.3 million of VAT credits that are no longer recoverable. We completed the restructuring activities during the second quarter of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 Program</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quarter of 2020, we implemented a restructuring initiative focused on streamlining our operations and rationalizing our deployment and allocation of resources in the overall economic landscape due to the COVID-19 pandemic. During the fourth quarter of 2021, we completed all necessary activities and closed the restructuring program. During the year ended December 31, 2022, we paid previously accrued restructuring charges of $0.2 million and released the remaining accrual associated with the restructuring program, which resulted in the reversal of $0.8 million of previously recognized restructuring charges.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Restructuring and Exit Activity Accruals</w:t>
      </w:r>
    </w:p>
    <w:p>
      <w:pPr>
        <w:spacing w:after="0" w:line="40"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The following table provides a summary of our severance and other compensation cost activities as part of the 2023 Restructuring Plan and other exit activities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Aviation</w:t>
            </w:r>
          </w:p>
        </w:tc>
        <w:tc>
          <w:tcPr>
            <w:tcW w:w="2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Land</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Restructuring and exit activity charges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during the period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Accrued charges as of December 31, 2023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exit activity charges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Paid during the period</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 (in millions,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9"/>
              </w:rPr>
              <w:t>For the 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Net income (loss) attributable to World Kinect</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360" w:type="dxa"/>
            <w:vAlign w:val="bottom"/>
          </w:tcPr>
          <w:p>
            <w:pPr>
              <w:ind w:left="1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98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securities which are not included in the calculation of diluted</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earnings per common share because their impact is anti-dilutive or their</w:t>
            </w:r>
          </w:p>
        </w:tc>
        <w:tc>
          <w:tcPr>
            <w:tcW w:w="9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conditions have not been met</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5" w:lineRule="exact"/>
        <w:rPr>
          <w:sz w:val="20"/>
          <w:szCs w:val="20"/>
          <w:color w:val="auto"/>
        </w:rPr>
      </w:pPr>
    </w:p>
    <w:p>
      <w:pPr>
        <w:spacing w:after="0" w:line="227"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February 25, 2025.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WORLD KINECT CORPORATION</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3343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Michael J. Kasbar</w:t>
      </w:r>
    </w:p>
    <w:p>
      <w:pPr>
        <w:ind w:left="200"/>
        <w:spacing w:after="0"/>
        <w:rPr>
          <w:sz w:val="20"/>
          <w:szCs w:val="20"/>
          <w:color w:val="auto"/>
        </w:rPr>
      </w:pPr>
      <w:r>
        <w:rPr>
          <w:rFonts w:ascii="Arial" w:cs="Arial" w:eastAsia="Arial" w:hAnsi="Arial"/>
          <w:sz w:val="16"/>
          <w:szCs w:val="16"/>
          <w:color w:val="auto"/>
        </w:rPr>
        <w:t>Chairman, President and Chief Executive Officer</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3343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Ira M. Birns</w:t>
      </w:r>
    </w:p>
    <w:p>
      <w:pPr>
        <w:ind w:left="200"/>
        <w:spacing w:after="0"/>
        <w:rPr>
          <w:sz w:val="20"/>
          <w:szCs w:val="20"/>
          <w:color w:val="auto"/>
        </w:rPr>
      </w:pPr>
      <w:r>
        <w:rPr>
          <w:rFonts w:ascii="Arial" w:cs="Arial" w:eastAsia="Arial" w:hAnsi="Arial"/>
          <w:sz w:val="16"/>
          <w:szCs w:val="16"/>
          <w:color w:val="auto"/>
        </w:rPr>
        <w:t>Executive Vice President and Chief Financial Officer</w:t>
      </w:r>
    </w:p>
    <w:p>
      <w:pPr>
        <w:spacing w:after="0" w:line="75" w:lineRule="exact"/>
        <w:rPr>
          <w:sz w:val="20"/>
          <w:szCs w:val="20"/>
          <w:color w:val="auto"/>
        </w:rPr>
      </w:pPr>
    </w:p>
    <w:p>
      <w:pPr>
        <w:spacing w:after="0" w:line="220"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February 25,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Signature</w:t>
            </w:r>
          </w:p>
        </w:tc>
        <w:tc>
          <w:tcPr>
            <w:tcW w:w="3860" w:type="dxa"/>
            <w:vAlign w:val="bottom"/>
          </w:tcPr>
          <w:p>
            <w:pPr>
              <w:ind w:left="120"/>
              <w:spacing w:after="0"/>
              <w:rPr>
                <w:sz w:val="20"/>
                <w:szCs w:val="20"/>
                <w:color w:val="auto"/>
              </w:rPr>
            </w:pPr>
            <w:r>
              <w:rPr>
                <w:rFonts w:ascii="Arial" w:cs="Arial" w:eastAsia="Arial" w:hAnsi="Arial"/>
                <w:sz w:val="16"/>
                <w:szCs w:val="16"/>
                <w:b w:val="1"/>
                <w:bCs w:val="1"/>
                <w:color w:val="auto"/>
              </w:rPr>
              <w:t>Title</w:t>
            </w:r>
          </w:p>
        </w:tc>
      </w:tr>
      <w:tr>
        <w:trPr>
          <w:trHeight w:val="21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Chairman, President and Chief Executive Officer</w:t>
            </w: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Executive Officer)</w:t>
            </w:r>
          </w:p>
        </w:tc>
      </w:tr>
      <w:tr>
        <w:trPr>
          <w:trHeight w:val="26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Financial Officer)</w:t>
            </w:r>
          </w:p>
        </w:tc>
      </w:tr>
      <w:tr>
        <w:trPr>
          <w:trHeight w:val="26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JOSE-MIGUEL TEJADA</w:t>
            </w:r>
          </w:p>
        </w:tc>
        <w:tc>
          <w:tcPr>
            <w:tcW w:w="3860" w:type="dxa"/>
            <w:vAlign w:val="bottom"/>
          </w:tcPr>
          <w:p>
            <w:pPr>
              <w:ind w:left="120"/>
              <w:spacing w:after="0"/>
              <w:rPr>
                <w:sz w:val="20"/>
                <w:szCs w:val="20"/>
                <w:color w:val="auto"/>
              </w:rPr>
            </w:pPr>
            <w:r>
              <w:rPr>
                <w:rFonts w:ascii="Arial" w:cs="Arial" w:eastAsia="Arial" w:hAnsi="Arial"/>
                <w:sz w:val="16"/>
                <w:szCs w:val="16"/>
                <w:color w:val="auto"/>
              </w:rPr>
              <w:t>Senior Vice President and Chief Accounting Officer</w:t>
            </w: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Jose-Miguel Tejada</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Accounting Officer)</w:t>
            </w: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KEN BAKSHI</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Ken Bakshi</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JORGE L. BENITEZ</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Jorge L. Benitez</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SHARDA CHERWOO</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Sharda Cherwoo</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A. KASSAR</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Richard A. Kassar</w:t>
            </w:r>
          </w:p>
        </w:tc>
        <w:tc>
          <w:tcPr>
            <w:tcW w:w="3860" w:type="dxa"/>
            <w:vAlign w:val="bottom"/>
          </w:tcPr>
          <w:p>
            <w:pPr>
              <w:spacing w:after="0"/>
              <w:rPr>
                <w:sz w:val="18"/>
                <w:szCs w:val="18"/>
                <w:color w:val="auto"/>
              </w:rPr>
            </w:pPr>
          </w:p>
        </w:tc>
      </w:tr>
      <w:tr>
        <w:trPr>
          <w:trHeight w:val="311"/>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L. MANLEY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John L. Manley</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 RODDENBERRY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Stephen K. Roddenberry</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JILL B. SMART</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Jill B. Smart</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H. STEBBINS</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Paul H. Stebbins</w:t>
            </w:r>
          </w:p>
        </w:tc>
        <w:tc>
          <w:tcPr>
            <w:tcW w:w="3860" w:type="dxa"/>
            <w:vAlign w:val="bottom"/>
          </w:tcPr>
          <w:p>
            <w:pPr>
              <w:spacing w:after="0"/>
              <w:rPr>
                <w:sz w:val="18"/>
                <w:szCs w:val="18"/>
                <w:color w:val="auto"/>
              </w:rPr>
            </w:pPr>
          </w:p>
        </w:tc>
      </w:tr>
      <w:tr>
        <w:trPr>
          <w:trHeight w:val="790"/>
        </w:trPr>
        <w:tc>
          <w:tcPr>
            <w:tcW w:w="3940" w:type="dxa"/>
            <w:vAlign w:val="bottom"/>
          </w:tcPr>
          <w:p>
            <w:pPr>
              <w:spacing w:after="0"/>
              <w:rPr>
                <w:sz w:val="24"/>
                <w:szCs w:val="24"/>
                <w:color w:val="auto"/>
              </w:rPr>
            </w:pPr>
          </w:p>
        </w:tc>
        <w:tc>
          <w:tcPr>
            <w:tcW w:w="3860" w:type="dxa"/>
            <w:vAlign w:val="bottom"/>
          </w:tcPr>
          <w:p>
            <w:pPr>
              <w:ind w:left="1600"/>
              <w:spacing w:after="0"/>
              <w:rPr>
                <w:sz w:val="20"/>
                <w:szCs w:val="20"/>
                <w:color w:val="auto"/>
              </w:rPr>
            </w:pPr>
            <w:r>
              <w:rPr>
                <w:rFonts w:ascii="Arial" w:cs="Arial" w:eastAsia="Arial" w:hAnsi="Arial"/>
                <w:sz w:val="14"/>
                <w:szCs w:val="14"/>
                <w:color w:val="auto"/>
              </w:rPr>
              <w:t>89</w:t>
            </w:r>
          </w:p>
        </w:tc>
      </w:tr>
    </w:tbl>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Purpose</w:t>
      </w:r>
    </w:p>
    <w:p>
      <w:pPr>
        <w:spacing w:after="0" w:line="27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Board of Directors of World Kinect Corporation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has adopted this </w:t>
      </w:r>
      <w:r>
        <w:rPr>
          <w:rFonts w:ascii="Arial" w:cs="Arial" w:eastAsia="Arial" w:hAnsi="Arial"/>
          <w:sz w:val="22"/>
          <w:szCs w:val="22"/>
          <w:b w:val="1"/>
          <w:bCs w:val="1"/>
          <w:i w:val="1"/>
          <w:iCs w:val="1"/>
          <w:color w:val="auto"/>
        </w:rPr>
        <w:t>Securities Trading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xml:space="preserve">Policy </w:t>
      </w:r>
      <w:r>
        <w:rPr>
          <w:rFonts w:ascii="Arial" w:cs="Arial" w:eastAsia="Arial" w:hAnsi="Arial"/>
          <w:sz w:val="22"/>
          <w:szCs w:val="22"/>
          <w:color w:val="auto"/>
        </w:rPr>
        <w:t>for directors, officers, employees and consultants of the Company, its subsidiaries and affiliates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respect to the trading of the Company’s securities, as well as the securities of publicly traded companies with whom we have a business relationship.</w:t>
      </w:r>
    </w:p>
    <w:p>
      <w:pPr>
        <w:spacing w:after="0" w:line="191"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United States 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spacing w:after="0" w:line="194" w:lineRule="exact"/>
        <w:rPr>
          <w:sz w:val="20"/>
          <w:szCs w:val="20"/>
          <w:color w:val="auto"/>
        </w:rPr>
      </w:pPr>
    </w:p>
    <w:p>
      <w:pPr>
        <w:jc w:val="both"/>
        <w:ind w:left="660"/>
        <w:spacing w:after="0" w:line="251" w:lineRule="auto"/>
        <w:rPr>
          <w:sz w:val="20"/>
          <w:szCs w:val="20"/>
          <w:color w:val="auto"/>
        </w:rPr>
      </w:pPr>
      <w:r>
        <w:rPr>
          <w:rFonts w:ascii="Arial" w:cs="Arial" w:eastAsia="Arial" w:hAnsi="Arial"/>
          <w:sz w:val="22"/>
          <w:szCs w:val="22"/>
          <w:color w:val="auto"/>
        </w:rPr>
        <w:t>It is important that you understand the breadth of activities that constitute illegal insider trading and the consequences, which can be severe. Both the U.S. Securities and Exchange Commission (“</w:t>
      </w:r>
      <w:r>
        <w:rPr>
          <w:rFonts w:ascii="Arial" w:cs="Arial" w:eastAsia="Arial" w:hAnsi="Arial"/>
          <w:sz w:val="22"/>
          <w:szCs w:val="22"/>
          <w:b w:val="1"/>
          <w:bCs w:val="1"/>
          <w:color w:val="auto"/>
        </w:rPr>
        <w:t>SEC</w:t>
      </w:r>
      <w:r>
        <w:rPr>
          <w:rFonts w:ascii="Arial" w:cs="Arial" w:eastAsia="Arial" w:hAnsi="Arial"/>
          <w:sz w:val="22"/>
          <w:szCs w:val="22"/>
          <w:color w:val="auto"/>
        </w:rPr>
        <w:t>”) and the New York Stock Exchange investigate and are very effective at detecting insider trading. The SEC, together with the U.S. Attorneys, pursue insider trading violations vigorously. Cases have been successfully prosecuted against trading by employees through foreign accounts, trading by family members and friends, and trading involving only a small number of shares.</w:t>
      </w:r>
    </w:p>
    <w:p>
      <w:pPr>
        <w:spacing w:after="0" w:line="181" w:lineRule="exact"/>
        <w:rPr>
          <w:sz w:val="20"/>
          <w:szCs w:val="20"/>
          <w:color w:val="auto"/>
        </w:rPr>
      </w:pPr>
    </w:p>
    <w:p>
      <w:pPr>
        <w:jc w:val="both"/>
        <w:ind w:left="660" w:right="20"/>
        <w:spacing w:after="0" w:line="272" w:lineRule="auto"/>
        <w:rPr>
          <w:sz w:val="20"/>
          <w:szCs w:val="20"/>
          <w:color w:val="auto"/>
        </w:rPr>
      </w:pPr>
      <w:r>
        <w:rPr>
          <w:rFonts w:ascii="Arial" w:cs="Arial" w:eastAsia="Arial" w:hAnsi="Arial"/>
          <w:sz w:val="22"/>
          <w:szCs w:val="22"/>
          <w:color w:val="auto"/>
        </w:rPr>
        <w:t xml:space="preserve">This policy is effective September 10, 2024, and supersedes the Company’s </w:t>
      </w:r>
      <w:r>
        <w:rPr>
          <w:rFonts w:ascii="Arial" w:cs="Arial" w:eastAsia="Arial" w:hAnsi="Arial"/>
          <w:sz w:val="22"/>
          <w:szCs w:val="22"/>
          <w:b w:val="1"/>
          <w:bCs w:val="1"/>
          <w:i w:val="1"/>
          <w:iCs w:val="1"/>
          <w:color w:val="auto"/>
        </w:rPr>
        <w:t>Securities Trading Policy</w:t>
      </w:r>
      <w:r>
        <w:rPr>
          <w:rFonts w:ascii="Arial" w:cs="Arial" w:eastAsia="Arial" w:hAnsi="Arial"/>
          <w:sz w:val="22"/>
          <w:szCs w:val="22"/>
          <w:color w:val="auto"/>
        </w:rPr>
        <w:t xml:space="preserve"> dated September 22, 2023.</w:t>
      </w:r>
    </w:p>
    <w:p>
      <w:pPr>
        <w:spacing w:after="0" w:line="144"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Scope of Policy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Persons Covered</w:t>
      </w:r>
    </w:p>
    <w:p>
      <w:pPr>
        <w:spacing w:after="0" w:line="26"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22"/>
          <w:szCs w:val="22"/>
          <w:color w:val="auto"/>
        </w:rPr>
        <w:t>As a director, officer, employee or consultant of the Company, its subsidiaries or affiliates, this policy applies to you. The same restrictions that apply to you apply to your Related Persons.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this policy, a </w:t>
      </w:r>
      <w:r>
        <w:rPr>
          <w:rFonts w:ascii="Arial" w:cs="Arial" w:eastAsia="Arial" w:hAnsi="Arial"/>
          <w:sz w:val="22"/>
          <w:szCs w:val="22"/>
          <w:b w:val="1"/>
          <w:bCs w:val="1"/>
          <w:color w:val="auto"/>
        </w:rPr>
        <w:t>Related Person</w:t>
      </w:r>
      <w:r>
        <w:rPr>
          <w:rFonts w:ascii="Arial" w:cs="Arial" w:eastAsia="Arial" w:hAnsi="Arial"/>
          <w:sz w:val="22"/>
          <w:szCs w:val="22"/>
          <w:color w:val="auto"/>
        </w:rPr>
        <w:t xml:space="preserve"> includes:</w:t>
      </w:r>
    </w:p>
    <w:p>
      <w:pPr>
        <w:spacing w:after="0" w:line="249"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22"/>
          <w:szCs w:val="22"/>
          <w:color w:val="auto"/>
        </w:rPr>
        <w:t>Your spouse, minor children and anyone else living in your household;</w:t>
      </w:r>
    </w:p>
    <w:p>
      <w:pPr>
        <w:spacing w:after="0" w:line="218" w:lineRule="exact"/>
        <w:rPr>
          <w:rFonts w:ascii="Times New Roman" w:cs="Times New Roman" w:eastAsia="Times New Roman" w:hAnsi="Times New Roman"/>
          <w:sz w:val="22"/>
          <w:szCs w:val="22"/>
          <w:color w:val="auto"/>
        </w:rPr>
      </w:pPr>
    </w:p>
    <w:p>
      <w:pPr>
        <w:jc w:val="both"/>
        <w:ind w:left="1300" w:hanging="320"/>
        <w:spacing w:after="0" w:line="257" w:lineRule="auto"/>
        <w:tabs>
          <w:tab w:leader="none" w:pos="1295" w:val="left"/>
        </w:tabs>
        <w:numPr>
          <w:ilvl w:val="0"/>
          <w:numId w:val="35"/>
        </w:numPr>
        <w:rPr>
          <w:rFonts w:ascii="Times New Roman" w:cs="Times New Roman" w:eastAsia="Times New Roman" w:hAnsi="Times New Roman"/>
          <w:sz w:val="22"/>
          <w:szCs w:val="22"/>
          <w:color w:val="auto"/>
        </w:rPr>
      </w:pPr>
      <w:r>
        <w:rPr>
          <w:rFonts w:ascii="Arial" w:cs="Arial" w:eastAsia="Arial" w:hAnsi="Arial"/>
          <w:sz w:val="22"/>
          <w:szCs w:val="22"/>
          <w:color w:val="auto"/>
        </w:rPr>
        <w:t>Any family members who do not live in your household but whose transactions in Company securities are directed by you or are subject to your influence or control (such as parents or children who consult with you before they trade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25" w:right="339" w:bottom="1440" w:gutter="0" w:footer="0" w:header="0"/>
        </w:sectPr>
      </w:pPr>
    </w:p>
    <w:bookmarkStart w:id="93" w:name="page94"/>
    <w:bookmarkEnd w:id="93"/>
    <w:p>
      <w:pPr>
        <w:spacing w:after="0" w:line="334" w:lineRule="exact"/>
        <w:rPr>
          <w:sz w:val="20"/>
          <w:szCs w:val="20"/>
          <w:color w:val="auto"/>
        </w:rPr>
      </w:pPr>
    </w:p>
    <w:p>
      <w:pPr>
        <w:ind w:left="1300" w:hanging="320"/>
        <w:spacing w:after="0" w:line="271" w:lineRule="auto"/>
        <w:tabs>
          <w:tab w:leader="none" w:pos="1295" w:val="left"/>
        </w:tabs>
        <w:numPr>
          <w:ilvl w:val="0"/>
          <w:numId w:val="36"/>
        </w:numPr>
        <w:rPr>
          <w:rFonts w:ascii="Times New Roman" w:cs="Times New Roman" w:eastAsia="Times New Roman" w:hAnsi="Times New Roman"/>
          <w:sz w:val="22"/>
          <w:szCs w:val="22"/>
          <w:color w:val="auto"/>
        </w:rPr>
      </w:pPr>
      <w:r>
        <w:rPr>
          <w:rFonts w:ascii="Arial" w:cs="Arial" w:eastAsia="Arial" w:hAnsi="Arial"/>
          <w:sz w:val="22"/>
          <w:szCs w:val="22"/>
          <w:color w:val="auto"/>
        </w:rPr>
        <w:t>Partnerships in which you are a general partner or corporations in which you are a controlling shareholder;</w:t>
      </w:r>
    </w:p>
    <w:p>
      <w:pPr>
        <w:spacing w:after="0" w:line="15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6"/>
        </w:numPr>
        <w:rPr>
          <w:rFonts w:ascii="Times New Roman" w:cs="Times New Roman" w:eastAsia="Times New Roman" w:hAnsi="Times New Roman"/>
          <w:sz w:val="22"/>
          <w:szCs w:val="22"/>
          <w:color w:val="auto"/>
        </w:rPr>
      </w:pPr>
      <w:r>
        <w:rPr>
          <w:rFonts w:ascii="Arial" w:cs="Arial" w:eastAsia="Arial" w:hAnsi="Arial"/>
          <w:sz w:val="22"/>
          <w:szCs w:val="22"/>
          <w:color w:val="auto"/>
        </w:rPr>
        <w:t>Trusts of which you are a trustee; and</w:t>
      </w:r>
    </w:p>
    <w:p>
      <w:pPr>
        <w:spacing w:after="0" w:line="21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6"/>
        </w:numPr>
        <w:rPr>
          <w:rFonts w:ascii="Times New Roman" w:cs="Times New Roman" w:eastAsia="Times New Roman" w:hAnsi="Times New Roman"/>
          <w:sz w:val="22"/>
          <w:szCs w:val="22"/>
          <w:color w:val="auto"/>
        </w:rPr>
      </w:pPr>
      <w:r>
        <w:rPr>
          <w:rFonts w:ascii="Arial" w:cs="Arial" w:eastAsia="Arial" w:hAnsi="Arial"/>
          <w:sz w:val="22"/>
          <w:szCs w:val="22"/>
          <w:color w:val="auto"/>
        </w:rPr>
        <w:t>Estates of which you are an executor.</w:t>
      </w:r>
    </w:p>
    <w:p>
      <w:pPr>
        <w:spacing w:after="0" w:line="259" w:lineRule="exact"/>
        <w:rPr>
          <w:sz w:val="20"/>
          <w:szCs w:val="20"/>
          <w:color w:val="auto"/>
        </w:rPr>
      </w:pPr>
    </w:p>
    <w:p>
      <w:pPr>
        <w:jc w:val="both"/>
        <w:ind w:left="660" w:right="20"/>
        <w:spacing w:after="0" w:line="272" w:lineRule="auto"/>
        <w:rPr>
          <w:sz w:val="20"/>
          <w:szCs w:val="20"/>
          <w:color w:val="auto"/>
        </w:rPr>
      </w:pPr>
      <w:r>
        <w:rPr>
          <w:rFonts w:ascii="Arial" w:cs="Arial" w:eastAsia="Arial" w:hAnsi="Arial"/>
          <w:sz w:val="22"/>
          <w:szCs w:val="22"/>
          <w:color w:val="auto"/>
        </w:rPr>
        <w:t>You are responsible for making sure that the purchase or sale of any security covered by this policy by your Related Persons complies with this policy.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Companies Covered</w:t>
      </w:r>
    </w:p>
    <w:p>
      <w:pPr>
        <w:spacing w:after="0" w:line="26"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The prohibition on insider trading in this policy is not limited to trading in the Company’s securities. It includes trading in the securities of other companies with which the Company has a business relationship (any such company, a “</w:t>
      </w:r>
      <w:r>
        <w:rPr>
          <w:rFonts w:ascii="Arial" w:cs="Arial" w:eastAsia="Arial" w:hAnsi="Arial"/>
          <w:sz w:val="22"/>
          <w:szCs w:val="22"/>
          <w:b w:val="1"/>
          <w:bCs w:val="1"/>
          <w:color w:val="auto"/>
        </w:rPr>
        <w:t>Business Partner</w:t>
      </w:r>
      <w:r>
        <w:rPr>
          <w:rFonts w:ascii="Arial" w:cs="Arial" w:eastAsia="Arial" w:hAnsi="Arial"/>
          <w:sz w:val="22"/>
          <w:szCs w:val="22"/>
          <w:color w:val="auto"/>
        </w:rPr>
        <w:t>”), such as customers or suppliers of the Company and those with which the Company may be negotiating major transactions, such as an acquisition, investment or sale. Information that is not material to the Company may nevertheless be material to a Business Partner.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Transactions Covered</w:t>
      </w:r>
    </w:p>
    <w:p>
      <w:pPr>
        <w:spacing w:after="0" w:line="26"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Trading includes purchases and sales of stock and derivative securities such as put and call options, as well as charitable gifts of securities.</w:t>
      </w:r>
    </w:p>
    <w:p>
      <w:pPr>
        <w:spacing w:after="0" w:line="151"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Statement of Policy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No Trading on Inside Information</w:t>
      </w:r>
    </w:p>
    <w:p>
      <w:pPr>
        <w:spacing w:after="0" w:line="26"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You may not trade in the securities of the Company, directly or through family members or other persons or entities, if you are aware of material nonpublic information relating to the Company. Similarly, you may not trade in the securities of any Business Partner, directly or through family members or other persons or entities, if you are aware of material nonpublic information about that Business Partner that you obtained in the course of your employment or service with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No Tipping</w:t>
      </w:r>
    </w:p>
    <w:p>
      <w:pPr>
        <w:spacing w:after="0" w:line="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You may not pass material nonpublic information on to others or recommend to anyone the purchase or sale of any securities when you are aware of such information. This practice, known as “</w:t>
      </w:r>
      <w:r>
        <w:rPr>
          <w:rFonts w:ascii="Arial" w:cs="Arial" w:eastAsia="Arial" w:hAnsi="Arial"/>
          <w:sz w:val="22"/>
          <w:szCs w:val="22"/>
          <w:b w:val="1"/>
          <w:bCs w:val="1"/>
          <w:color w:val="auto"/>
        </w:rPr>
        <w:t>tipping</w:t>
      </w:r>
      <w:r>
        <w:rPr>
          <w:rFonts w:ascii="Arial" w:cs="Arial" w:eastAsia="Arial" w:hAnsi="Arial"/>
          <w:sz w:val="22"/>
          <w:szCs w:val="22"/>
          <w:color w:val="auto"/>
        </w:rPr>
        <w:t>,” also violates the securities laws and can result in the same civil and criminal penalties that apply to insider trading, even though you did not trade and did not gain any benefit from another’s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440" w:right="339" w:bottom="1440" w:gutter="0" w:footer="0" w:header="0"/>
        </w:sectPr>
      </w:pPr>
    </w:p>
    <w:bookmarkStart w:id="94" w:name="page95"/>
    <w:bookmarkEnd w:id="94"/>
    <w:p>
      <w:pPr>
        <w:spacing w:after="0" w:line="33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Stock Option Exercises and Restricted Stock Vesting</w:t>
      </w:r>
    </w:p>
    <w:p>
      <w:pPr>
        <w:spacing w:after="0" w:line="26"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This policy’s trading restrictions generally do not apply to the exercise of a stock option of the Company. The trading restrictions do apply, however, to any sale of the underlying stock of an option or to cashless transactions with the Company, unless such cashless transaction is for the purpose of covering the exercise price and taxes relating to a stock option that is scheduled to expire during a blackout period, or for covering the taxes relating to restricted stock that vests during a blackout period.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Dividend Reinvestment</w:t>
      </w:r>
    </w:p>
    <w:p>
      <w:pPr>
        <w:spacing w:after="0" w:line="2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This policy’s trading restrictions generally do not apply to purchases of Company securities resulting from automatic reinvestments of dividends or distributions paid on Company securities pursuant to any Company or broker-sponsored dividend or distribution reinvestment plan (“DRIP”). This policy does apply, however, to voluntary purchases of Company securities resulting from additional contributions you choose to make to any DRIP, and to your election to participate in any DRIP or to increase or decrease your level of participation in any DRIP. This policy also applies to your sale of any Company securities purchased pursuant to a DRIP.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No Exception for Hardship</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existence of a personal financial emergency does not excuse you from complying with this policy.</w:t>
      </w:r>
    </w:p>
    <w:p>
      <w:pPr>
        <w:spacing w:after="0" w:line="188"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Definition of Material Nonpublic Information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Note that inside information has two important elements - materiality and public availability:</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Material Information</w:t>
      </w:r>
    </w:p>
    <w:p>
      <w:pPr>
        <w:spacing w:after="0" w:line="26"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Information is material if there is a substantial likelihood that a reasonable investor would consider it important in deciding whether to buy, hold or sell a security. Any information that could reasonably be expected to affect the price of the security is material. Common examples of information that is likely to be material are:</w:t>
      </w:r>
    </w:p>
    <w:p>
      <w:pPr>
        <w:spacing w:after="0" w:line="179" w:lineRule="exact"/>
        <w:rPr>
          <w:sz w:val="20"/>
          <w:szCs w:val="20"/>
          <w:color w:val="auto"/>
        </w:rPr>
      </w:pPr>
    </w:p>
    <w:p>
      <w:pPr>
        <w:ind w:left="1300" w:hanging="320"/>
        <w:spacing w:after="0"/>
        <w:tabs>
          <w:tab w:leader="none" w:pos="1300" w:val="left"/>
        </w:tabs>
        <w:numPr>
          <w:ilvl w:val="0"/>
          <w:numId w:val="37"/>
        </w:numPr>
        <w:rPr>
          <w:rFonts w:ascii="Times New Roman" w:cs="Times New Roman" w:eastAsia="Times New Roman" w:hAnsi="Times New Roman"/>
          <w:sz w:val="22"/>
          <w:szCs w:val="22"/>
          <w:color w:val="auto"/>
        </w:rPr>
      </w:pPr>
      <w:r>
        <w:rPr>
          <w:rFonts w:ascii="Arial" w:cs="Arial" w:eastAsia="Arial" w:hAnsi="Arial"/>
          <w:sz w:val="22"/>
          <w:szCs w:val="22"/>
          <w:color w:val="auto"/>
        </w:rPr>
        <w:t>Projections of future earnings or losses or other earnings guidance.</w:t>
      </w:r>
    </w:p>
    <w:p>
      <w:pPr>
        <w:spacing w:after="0" w:line="21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7"/>
        </w:numPr>
        <w:rPr>
          <w:rFonts w:ascii="Times New Roman" w:cs="Times New Roman" w:eastAsia="Times New Roman" w:hAnsi="Times New Roman"/>
          <w:sz w:val="22"/>
          <w:szCs w:val="22"/>
          <w:color w:val="auto"/>
        </w:rPr>
      </w:pPr>
      <w:r>
        <w:rPr>
          <w:rFonts w:ascii="Arial" w:cs="Arial" w:eastAsia="Arial" w:hAnsi="Arial"/>
          <w:sz w:val="22"/>
          <w:szCs w:val="22"/>
          <w:color w:val="auto"/>
        </w:rPr>
        <w:t>Earnings results.</w:t>
      </w:r>
    </w:p>
    <w:p>
      <w:pPr>
        <w:spacing w:after="0" w:line="218"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37"/>
        </w:numPr>
        <w:rPr>
          <w:rFonts w:ascii="Times New Roman" w:cs="Times New Roman" w:eastAsia="Times New Roman" w:hAnsi="Times New Roman"/>
          <w:sz w:val="22"/>
          <w:szCs w:val="22"/>
          <w:color w:val="auto"/>
        </w:rPr>
      </w:pPr>
      <w:r>
        <w:rPr>
          <w:rFonts w:ascii="Arial" w:cs="Arial" w:eastAsia="Arial" w:hAnsi="Arial"/>
          <w:sz w:val="22"/>
          <w:szCs w:val="22"/>
          <w:color w:val="auto"/>
        </w:rPr>
        <w:t>A pending or proposed significant merger, acquisition or tender offer or an acquisition or disposition of significant assets.</w:t>
      </w:r>
    </w:p>
    <w:p>
      <w:pPr>
        <w:spacing w:after="0" w:line="15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7"/>
        </w:numPr>
        <w:rPr>
          <w:rFonts w:ascii="Times New Roman" w:cs="Times New Roman" w:eastAsia="Times New Roman" w:hAnsi="Times New Roman"/>
          <w:sz w:val="22"/>
          <w:szCs w:val="22"/>
          <w:color w:val="auto"/>
        </w:rPr>
      </w:pPr>
      <w:r>
        <w:rPr>
          <w:rFonts w:ascii="Arial" w:cs="Arial" w:eastAsia="Arial" w:hAnsi="Arial"/>
          <w:sz w:val="22"/>
          <w:szCs w:val="22"/>
          <w:color w:val="auto"/>
        </w:rPr>
        <w:t>A change in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440" w:right="339" w:bottom="1440" w:gutter="0" w:footer="0" w:header="0"/>
        </w:sectPr>
      </w:pPr>
    </w:p>
    <w:bookmarkStart w:id="95" w:name="page96"/>
    <w:bookmarkEnd w:id="95"/>
    <w:p>
      <w:pPr>
        <w:spacing w:after="0" w:line="334" w:lineRule="exact"/>
        <w:rPr>
          <w:sz w:val="20"/>
          <w:szCs w:val="20"/>
          <w:color w:val="auto"/>
        </w:rPr>
      </w:pPr>
    </w:p>
    <w:p>
      <w:pPr>
        <w:ind w:left="1300" w:hanging="320"/>
        <w:spacing w:after="0" w:line="271" w:lineRule="auto"/>
        <w:tabs>
          <w:tab w:leader="none" w:pos="1295" w:val="left"/>
        </w:tabs>
        <w:numPr>
          <w:ilvl w:val="0"/>
          <w:numId w:val="38"/>
        </w:numPr>
        <w:rPr>
          <w:rFonts w:ascii="Times New Roman" w:cs="Times New Roman" w:eastAsia="Times New Roman" w:hAnsi="Times New Roman"/>
          <w:sz w:val="22"/>
          <w:szCs w:val="22"/>
          <w:color w:val="auto"/>
        </w:rPr>
      </w:pPr>
      <w:r>
        <w:rPr>
          <w:rFonts w:ascii="Arial" w:cs="Arial" w:eastAsia="Arial" w:hAnsi="Arial"/>
          <w:sz w:val="22"/>
          <w:szCs w:val="22"/>
          <w:color w:val="auto"/>
        </w:rPr>
        <w:t>Major events regarding the Company’s securities, including the declaration of a stock split, changes in dividends or the offering of additional securities.</w:t>
      </w:r>
    </w:p>
    <w:p>
      <w:pPr>
        <w:spacing w:after="0" w:line="15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22"/>
          <w:szCs w:val="22"/>
          <w:color w:val="auto"/>
        </w:rPr>
        <w:t>An extraordinary item for accounting purposes.</w:t>
      </w:r>
    </w:p>
    <w:p>
      <w:pPr>
        <w:spacing w:after="0" w:line="21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22"/>
          <w:szCs w:val="22"/>
          <w:color w:val="auto"/>
        </w:rPr>
        <w:t>Severe financial liquidity problems.</w:t>
      </w:r>
    </w:p>
    <w:p>
      <w:pPr>
        <w:spacing w:after="0" w:line="23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22"/>
          <w:szCs w:val="22"/>
          <w:color w:val="auto"/>
        </w:rPr>
        <w:t>Actual or threatened material litigation, or the resolution of such litigation.</w:t>
      </w:r>
    </w:p>
    <w:p>
      <w:pPr>
        <w:spacing w:after="0" w:line="218" w:lineRule="exact"/>
        <w:rPr>
          <w:rFonts w:ascii="Times New Roman" w:cs="Times New Roman" w:eastAsia="Times New Roman" w:hAnsi="Times New Roman"/>
          <w:sz w:val="22"/>
          <w:szCs w:val="22"/>
          <w:color w:val="auto"/>
        </w:rPr>
      </w:pPr>
    </w:p>
    <w:p>
      <w:pPr>
        <w:jc w:val="both"/>
        <w:ind w:left="1300" w:hanging="320"/>
        <w:spacing w:after="0" w:line="252" w:lineRule="auto"/>
        <w:tabs>
          <w:tab w:leader="none" w:pos="1295" w:val="left"/>
        </w:tabs>
        <w:numPr>
          <w:ilvl w:val="0"/>
          <w:numId w:val="38"/>
        </w:numPr>
        <w:rPr>
          <w:rFonts w:ascii="Times New Roman" w:cs="Times New Roman" w:eastAsia="Times New Roman" w:hAnsi="Times New Roman"/>
          <w:sz w:val="22"/>
          <w:szCs w:val="22"/>
          <w:color w:val="auto"/>
        </w:rPr>
      </w:pPr>
      <w:r>
        <w:rPr>
          <w:rFonts w:ascii="Arial" w:cs="Arial" w:eastAsia="Arial" w:hAnsi="Arial"/>
          <w:sz w:val="22"/>
          <w:szCs w:val="22"/>
          <w:color w:val="auto"/>
        </w:rPr>
        <w:t>An investigation, assessment or occurrence of a material cybersecurity incident, such as a data breach or any other significant disruption in the Company’s operations, including unauthorized access of the Company’s property or assets, whether at its facilities or through its information technology infrastructure.</w:t>
      </w:r>
    </w:p>
    <w:p>
      <w:pPr>
        <w:spacing w:after="0" w:line="19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22"/>
          <w:szCs w:val="22"/>
          <w:color w:val="auto"/>
        </w:rPr>
        <w:t>The gain or loss of significant contracts, orders, suppliers, customers or financing sources.</w:t>
      </w:r>
    </w:p>
    <w:p>
      <w:pPr>
        <w:spacing w:after="0" w:line="219"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Nonpublic Information</w:t>
      </w:r>
    </w:p>
    <w:p>
      <w:pPr>
        <w:spacing w:after="0" w:line="39"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Nonpublic information is information that is not generally known or available to the public. One common misconception is that material information loses its “</w:t>
      </w:r>
      <w:r>
        <w:rPr>
          <w:rFonts w:ascii="Arial" w:cs="Arial" w:eastAsia="Arial" w:hAnsi="Arial"/>
          <w:sz w:val="22"/>
          <w:szCs w:val="22"/>
          <w:b w:val="1"/>
          <w:bCs w:val="1"/>
          <w:color w:val="auto"/>
        </w:rPr>
        <w:t>nonpublic</w:t>
      </w:r>
      <w:r>
        <w:rPr>
          <w:rFonts w:ascii="Arial" w:cs="Arial" w:eastAsia="Arial" w:hAnsi="Arial"/>
          <w:sz w:val="22"/>
          <w:szCs w:val="22"/>
          <w:color w:val="auto"/>
        </w:rPr>
        <w:t>” status as soon as a press release is issued disclosing the information. In fact, information is considered to be available to the public only when it has been released broadly to the marketplace (such as by a press release or an SEC filing) and the investing public has had time to absorb the information fully. As a general rule, information is considered nonpublic until the second full trading day after the information is released.</w:t>
      </w:r>
    </w:p>
    <w:p>
      <w:pPr>
        <w:spacing w:after="0" w:line="188"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Additional Restrictions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Short Sales</w:t>
      </w:r>
    </w:p>
    <w:p>
      <w:pPr>
        <w:spacing w:after="0" w:line="26"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color w:val="auto"/>
        </w:rPr>
        <w:t>You may not engage in short sales of the Company’s securities (sales of securities that are not then owned), including a "</w:t>
      </w:r>
      <w:r>
        <w:rPr>
          <w:rFonts w:ascii="Arial" w:cs="Arial" w:eastAsia="Arial" w:hAnsi="Arial"/>
          <w:sz w:val="22"/>
          <w:szCs w:val="22"/>
          <w:b w:val="1"/>
          <w:bCs w:val="1"/>
          <w:color w:val="auto"/>
        </w:rPr>
        <w:t>sale against the box</w:t>
      </w:r>
      <w:r>
        <w:rPr>
          <w:rFonts w:ascii="Arial" w:cs="Arial" w:eastAsia="Arial" w:hAnsi="Arial"/>
          <w:sz w:val="22"/>
          <w:szCs w:val="22"/>
          <w:color w:val="auto"/>
        </w:rPr>
        <w:t>" (a sale with delayed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440" w:right="339" w:bottom="1440" w:gutter="0" w:footer="0" w:header="0"/>
        </w:sectPr>
      </w:pPr>
    </w:p>
    <w:bookmarkStart w:id="96" w:name="page97"/>
    <w:bookmarkEnd w:id="96"/>
    <w:p>
      <w:pPr>
        <w:spacing w:after="0" w:line="33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Publicly Traded Options</w:t>
      </w:r>
    </w:p>
    <w:p>
      <w:pPr>
        <w:spacing w:after="0" w:line="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You may not engage in transactions in publicly traded options based on the Company’s securities, such as puts, calls and other derivative securities, on an exchange or in any other organized market.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Standing Orders</w:t>
      </w:r>
    </w:p>
    <w:p>
      <w:pPr>
        <w:spacing w:after="0" w:line="39"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A standing order placed with a broker to sell or purchase stock at a specified price leaves you with no control over the timing of the transaction. A standing order transaction executed by the broker when you are aware of material nonpublic information may result in unlawful insider trading. Consequently, no standing orders for Company securities (except standing orders under approved 10b5-1 plans) may remain open at the end of any trading day.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Hedging Transactions</w:t>
      </w:r>
    </w:p>
    <w:p>
      <w:pPr>
        <w:spacing w:after="0" w:line="26"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Hedging and monetization transactions, or any transaction that hedges or offsets, or is designed to hedge or offset, any decrease in the market value of the Company’s securities, such as prepaid variable forward contracts, equity swaps, collars, and exchange funds (which we refer to as “Hedging Transactions”), allow you to lock in much of the value of your stock holdings, often in exchange for all or part of the potential for upside appreciation in the stock. These transactions allow you to continue to own the covered securities, but without the full risks and rewards of ownership. When that occurs, your interests may no longer be aligned with those of the Company’s other shareholders. For this reason, neither you nor any Related Person may engage in any Hedging Transactions involving any securities held directly or indirectly by you or any Related Person, including those granted to you as part of your compensation.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Margin Accounts and Pledges</w:t>
      </w:r>
    </w:p>
    <w:p>
      <w:pPr>
        <w:spacing w:after="0" w:line="39"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the Company strongly discourages holding Company securities in a margin account or pledging Company securities as collateral for a loan. Reporting Persons (defined below) who wish to engage in these types of transactions must first obtain the approval of the Company’s Corporate Secretary or Assistant Corporate Secretary and the Governance Committee as provided under the section below entitled “</w:t>
      </w:r>
      <w:r>
        <w:rPr>
          <w:rFonts w:ascii="Arial" w:cs="Arial" w:eastAsia="Arial" w:hAnsi="Arial"/>
          <w:sz w:val="22"/>
          <w:szCs w:val="22"/>
          <w:b w:val="1"/>
          <w:bCs w:val="1"/>
          <w:color w:val="auto"/>
        </w:rPr>
        <w:t>Pre-Clearance and Pre-Approval Requirements</w:t>
      </w:r>
      <w:r>
        <w:rPr>
          <w:rFonts w:ascii="Arial" w:cs="Arial" w:eastAsia="Arial" w:hAnsi="Arial"/>
          <w:sz w:val="22"/>
          <w:szCs w:val="22"/>
          <w:color w:val="auto"/>
        </w:rPr>
        <w:t>,” and there is no assurance that approval will be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440" w:right="339" w:bottom="1440" w:gutter="0" w:footer="0" w:header="0"/>
        </w:sectPr>
      </w:pPr>
    </w:p>
    <w:bookmarkStart w:id="97" w:name="page98"/>
    <w:bookmarkEnd w:id="97"/>
    <w:p>
      <w:pPr>
        <w:spacing w:after="0" w:line="323"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Blackout Procedures</w:t>
      </w:r>
    </w:p>
    <w:p>
      <w:pPr>
        <w:spacing w:after="0" w:line="245" w:lineRule="exact"/>
        <w:rPr>
          <w:sz w:val="20"/>
          <w:szCs w:val="20"/>
          <w:color w:val="auto"/>
        </w:rPr>
      </w:pPr>
    </w:p>
    <w:p>
      <w:pPr>
        <w:jc w:val="both"/>
        <w:ind w:left="660"/>
        <w:spacing w:after="0" w:line="272" w:lineRule="auto"/>
        <w:rPr>
          <w:sz w:val="20"/>
          <w:szCs w:val="20"/>
          <w:color w:val="auto"/>
        </w:rPr>
      </w:pPr>
      <w:r>
        <w:rPr>
          <w:rFonts w:ascii="Arial" w:cs="Arial" w:eastAsia="Arial" w:hAnsi="Arial"/>
          <w:sz w:val="22"/>
          <w:szCs w:val="22"/>
          <w:color w:val="auto"/>
        </w:rPr>
        <w:t>To help prevent inadvertent violations of the federal securities laws and to avoid even the appearance of trading on the basis of inside information, this policy imposes the trading restrictions described below.</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Quarterly Blackout Periods</w:t>
      </w:r>
    </w:p>
    <w:p>
      <w:pPr>
        <w:spacing w:after="0" w:line="26"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The Company’s announcement of its quarterly financial results almost always has the potential to have a material effect on the market for the Company’s securities. Therefore, to avoid even the appearance of trading on the basis of material nonpublic information, in addition to being subject to all other limitations in this policy, the Company’s directors and officers who are subject to Section 16 of the Securities Exchange Act of 1934 (the “</w:t>
      </w:r>
      <w:r>
        <w:rPr>
          <w:rFonts w:ascii="Arial" w:cs="Arial" w:eastAsia="Arial" w:hAnsi="Arial"/>
          <w:sz w:val="22"/>
          <w:szCs w:val="22"/>
          <w:b w:val="1"/>
          <w:bCs w:val="1"/>
          <w:color w:val="auto"/>
        </w:rPr>
        <w:t>Exchange Act</w:t>
      </w:r>
      <w:r>
        <w:rPr>
          <w:rFonts w:ascii="Arial" w:cs="Arial" w:eastAsia="Arial" w:hAnsi="Arial"/>
          <w:sz w:val="22"/>
          <w:szCs w:val="22"/>
          <w:color w:val="auto"/>
        </w:rPr>
        <w:t>”) (“</w:t>
      </w:r>
      <w:r>
        <w:rPr>
          <w:rFonts w:ascii="Arial" w:cs="Arial" w:eastAsia="Arial" w:hAnsi="Arial"/>
          <w:sz w:val="22"/>
          <w:szCs w:val="22"/>
          <w:b w:val="1"/>
          <w:bCs w:val="1"/>
          <w:color w:val="auto"/>
        </w:rPr>
        <w:t>Reporting Persons</w:t>
      </w:r>
      <w:r>
        <w:rPr>
          <w:rFonts w:ascii="Arial" w:cs="Arial" w:eastAsia="Arial" w:hAnsi="Arial"/>
          <w:sz w:val="22"/>
          <w:szCs w:val="22"/>
          <w:color w:val="auto"/>
        </w:rPr>
        <w:t xml:space="preserve">”), as well as the classes of employees listed on the attached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and certain other employees or consultants that will be designated from time to time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Corporate Secretary or Assistant Corporate Secretary (collectively, “</w:t>
      </w:r>
      <w:r>
        <w:rPr>
          <w:rFonts w:ascii="Arial" w:cs="Arial" w:eastAsia="Arial" w:hAnsi="Arial"/>
          <w:sz w:val="22"/>
          <w:szCs w:val="22"/>
          <w:b w:val="1"/>
          <w:bCs w:val="1"/>
          <w:color w:val="auto"/>
        </w:rPr>
        <w:t>Restricted Employees</w:t>
      </w:r>
      <w:r>
        <w:rPr>
          <w:rFonts w:ascii="Arial" w:cs="Arial" w:eastAsia="Arial" w:hAnsi="Arial"/>
          <w:sz w:val="22"/>
          <w:szCs w:val="22"/>
          <w:color w:val="auto"/>
        </w:rPr>
        <w:t>”), together with their Related Persons, may not trade in the Company’s securities during the period beginning at the close of trading on the last day of the second month of each calendar quarter (i.e., February, May, August and November) (the “</w:t>
      </w:r>
      <w:r>
        <w:rPr>
          <w:rFonts w:ascii="Arial" w:cs="Arial" w:eastAsia="Arial" w:hAnsi="Arial"/>
          <w:sz w:val="22"/>
          <w:szCs w:val="22"/>
          <w:b w:val="1"/>
          <w:bCs w:val="1"/>
          <w:color w:val="auto"/>
        </w:rPr>
        <w:t>Blackout Commencement</w:t>
      </w:r>
      <w:r>
        <w:rPr>
          <w:rFonts w:ascii="Arial" w:cs="Arial" w:eastAsia="Arial" w:hAnsi="Arial"/>
          <w:sz w:val="22"/>
          <w:szCs w:val="22"/>
          <w:color w:val="auto"/>
        </w:rPr>
        <w:t>”) and ending at the close of trading on the second full trading day following the filing of the Company’s Quarterly Report on Form 10-Q or Annual Report on Form 10-K (collectively, a “</w:t>
      </w:r>
      <w:r>
        <w:rPr>
          <w:rFonts w:ascii="Arial" w:cs="Arial" w:eastAsia="Arial" w:hAnsi="Arial"/>
          <w:sz w:val="22"/>
          <w:szCs w:val="22"/>
          <w:b w:val="1"/>
          <w:bCs w:val="1"/>
          <w:color w:val="auto"/>
        </w:rPr>
        <w:t>Periodic Report</w:t>
      </w:r>
      <w:r>
        <w:rPr>
          <w:rFonts w:ascii="Arial" w:cs="Arial" w:eastAsia="Arial" w:hAnsi="Arial"/>
          <w:sz w:val="22"/>
          <w:szCs w:val="22"/>
          <w:color w:val="auto"/>
        </w:rPr>
        <w:t>”), as applicable, with the SEC (the “</w:t>
      </w:r>
      <w:r>
        <w:rPr>
          <w:rFonts w:ascii="Arial" w:cs="Arial" w:eastAsia="Arial" w:hAnsi="Arial"/>
          <w:sz w:val="22"/>
          <w:szCs w:val="22"/>
          <w:b w:val="1"/>
          <w:bCs w:val="1"/>
          <w:color w:val="auto"/>
        </w:rPr>
        <w:t>Blackout Lift</w:t>
      </w:r>
      <w:r>
        <w:rPr>
          <w:rFonts w:ascii="Arial" w:cs="Arial" w:eastAsia="Arial" w:hAnsi="Arial"/>
          <w:sz w:val="22"/>
          <w:szCs w:val="22"/>
          <w:color w:val="auto"/>
        </w:rPr>
        <w:t>” and the period between such date and the Blackout Commencement, the “</w:t>
      </w:r>
      <w:r>
        <w:rPr>
          <w:rFonts w:ascii="Arial" w:cs="Arial" w:eastAsia="Arial" w:hAnsi="Arial"/>
          <w:sz w:val="22"/>
          <w:szCs w:val="22"/>
          <w:b w:val="1"/>
          <w:bCs w:val="1"/>
          <w:color w:val="auto"/>
        </w:rPr>
        <w:t>Trading Window</w:t>
      </w:r>
      <w:r>
        <w:rPr>
          <w:rFonts w:ascii="Arial" w:cs="Arial" w:eastAsia="Arial" w:hAnsi="Arial"/>
          <w:sz w:val="22"/>
          <w:szCs w:val="22"/>
          <w:color w:val="auto"/>
        </w:rPr>
        <w:t>”). For example, if the Company files its Quarterly Report on Form 10-Q with the SEC before trading begins on a Tuesday, the first time a Restricted Employee can buy or sell Company securities is the opening of the market on Thursday (assuming they are not aware of other material nonpublic information at that time). However, if the Company files its Quarterly Report on Form 10-Q with the SEC after trading begins on that Tuesday, the first time a Restricted Employee can buy or sell Company securities is the opening of the market on Friday.</w:t>
      </w:r>
    </w:p>
    <w:p>
      <w:pPr>
        <w:spacing w:after="0" w:line="200" w:lineRule="exact"/>
        <w:rPr>
          <w:sz w:val="20"/>
          <w:szCs w:val="20"/>
          <w:color w:val="auto"/>
        </w:rPr>
      </w:pPr>
    </w:p>
    <w:p>
      <w:pPr>
        <w:jc w:val="both"/>
        <w:ind w:left="660"/>
        <w:spacing w:after="0" w:line="275" w:lineRule="auto"/>
        <w:rPr>
          <w:sz w:val="20"/>
          <w:szCs w:val="20"/>
          <w:color w:val="auto"/>
        </w:rPr>
      </w:pPr>
      <w:r>
        <w:rPr>
          <w:rFonts w:ascii="Arial" w:cs="Arial" w:eastAsia="Arial" w:hAnsi="Arial"/>
          <w:sz w:val="21"/>
          <w:szCs w:val="21"/>
          <w:color w:val="auto"/>
        </w:rPr>
        <w:t>In the event that the Company has filed a Periodic Report on a date such that the Trading Window as provided herein would be less than five (5) full trading days, then the Blackout Lift and/or the Blackout Commencement may be extended by the Company such that the Trading Window consists of five (5) full trading days.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Event-Specific Blackout Periods</w:t>
      </w:r>
    </w:p>
    <w:p>
      <w:pPr>
        <w:spacing w:after="0" w:line="39"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In addition to the quarterly blackout periods, the Company may, from time to time, impose event-specific blackout periods, including upon the occurrence of those events listed under “Definition of Material Nonpublic Information”. The Company will notify you when an event-specific blackout period has been put into effect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440" w:right="339" w:bottom="1440" w:gutter="0" w:footer="0" w:header="0"/>
        </w:sectPr>
      </w:pPr>
    </w:p>
    <w:bookmarkStart w:id="98" w:name="page99"/>
    <w:bookmarkEnd w:id="98"/>
    <w:p>
      <w:pPr>
        <w:spacing w:after="0" w:line="334" w:lineRule="exact"/>
        <w:rPr>
          <w:sz w:val="20"/>
          <w:szCs w:val="20"/>
          <w:color w:val="auto"/>
        </w:rPr>
      </w:pPr>
    </w:p>
    <w:p>
      <w:pPr>
        <w:jc w:val="both"/>
        <w:ind w:left="660"/>
        <w:spacing w:after="0" w:line="268" w:lineRule="auto"/>
        <w:rPr>
          <w:sz w:val="20"/>
          <w:szCs w:val="20"/>
          <w:color w:val="auto"/>
        </w:rPr>
      </w:pPr>
      <w:r>
        <w:rPr>
          <w:rFonts w:ascii="Arial" w:cs="Arial" w:eastAsia="Arial" w:hAnsi="Arial"/>
          <w:sz w:val="21"/>
          <w:szCs w:val="21"/>
          <w:color w:val="auto"/>
        </w:rPr>
        <w:t>a blackout period has been extended, but may not inform you of the reason for such event-specific blackout. You may not trade in the Company’s securities until the Company notifies you that the blackout has been lifted. If the Company notifies you of an event-specific blackout period, you may not disclose to others the fact that you are subject to the event-specific blackout period. Even if a blackout period is not in effect, at no time may you trade in Company securities if you are aware of material nonpublic information about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Exception for Approved 10b5-1 Plans</w:t>
      </w:r>
    </w:p>
    <w:p>
      <w:pPr>
        <w:spacing w:after="0" w:line="245" w:lineRule="exact"/>
        <w:rPr>
          <w:sz w:val="20"/>
          <w:szCs w:val="20"/>
          <w:color w:val="auto"/>
        </w:rPr>
      </w:pPr>
    </w:p>
    <w:p>
      <w:pPr>
        <w:jc w:val="both"/>
        <w:ind w:left="660" w:right="20"/>
        <w:spacing w:after="0" w:line="257" w:lineRule="auto"/>
        <w:rPr>
          <w:sz w:val="20"/>
          <w:szCs w:val="20"/>
          <w:color w:val="auto"/>
        </w:rPr>
      </w:pPr>
      <w:r>
        <w:rPr>
          <w:rFonts w:ascii="Arial" w:cs="Arial" w:eastAsia="Arial" w:hAnsi="Arial"/>
          <w:sz w:val="22"/>
          <w:szCs w:val="22"/>
          <w:color w:val="auto"/>
        </w:rPr>
        <w:t>Trades in the Company’s securities that are executed pursuant to an approved 10b5-1 plan are not subject to the prohibition on trading on the basis of material nonpublic information contained in this policy or to the trading restrictions set forth above relating to blackout periods.</w:t>
      </w:r>
    </w:p>
    <w:p>
      <w:pPr>
        <w:spacing w:after="0" w:line="173" w:lineRule="exact"/>
        <w:rPr>
          <w:sz w:val="20"/>
          <w:szCs w:val="20"/>
          <w:color w:val="auto"/>
        </w:rPr>
      </w:pPr>
    </w:p>
    <w:p>
      <w:pPr>
        <w:jc w:val="both"/>
        <w:ind w:left="660"/>
        <w:spacing w:after="0" w:line="251" w:lineRule="auto"/>
        <w:rPr>
          <w:sz w:val="20"/>
          <w:szCs w:val="20"/>
          <w:color w:val="auto"/>
        </w:rPr>
      </w:pPr>
      <w:r>
        <w:rPr>
          <w:rFonts w:ascii="Arial" w:cs="Arial" w:eastAsia="Arial" w:hAnsi="Arial"/>
          <w:sz w:val="22"/>
          <w:szCs w:val="22"/>
          <w:color w:val="auto"/>
        </w:rPr>
        <w:t>Rule 10b5-1 of the Exchange Act provides an affirmative defense from insider trading liability under the federal securities laws for trading plans that meet certain requirements. The Company requires that all 10b5-1 plans to be entered into by those individuals who are subject to a blackout period be approved in advance by the Company’s Legal Department. 10b5-1 plans may not be adopted during a blackout period and may only be adopted by such individual when such individual is not in possession of material nonpublic information regarding the Company.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Legal Department may only approve a 10b5-1 plan that complies with the following:</w:t>
      </w:r>
    </w:p>
    <w:p>
      <w:pPr>
        <w:spacing w:after="0" w:line="220" w:lineRule="exact"/>
        <w:rPr>
          <w:sz w:val="20"/>
          <w:szCs w:val="20"/>
          <w:color w:val="auto"/>
        </w:rPr>
      </w:pPr>
    </w:p>
    <w:p>
      <w:pPr>
        <w:jc w:val="both"/>
        <w:ind w:left="1300" w:hanging="320"/>
        <w:spacing w:after="0" w:line="257" w:lineRule="auto"/>
        <w:tabs>
          <w:tab w:leader="none" w:pos="1295" w:val="left"/>
        </w:tabs>
        <w:numPr>
          <w:ilvl w:val="0"/>
          <w:numId w:val="39"/>
        </w:numPr>
        <w:rPr>
          <w:rFonts w:ascii="Times New Roman" w:cs="Times New Roman" w:eastAsia="Times New Roman" w:hAnsi="Times New Roman"/>
          <w:sz w:val="22"/>
          <w:szCs w:val="22"/>
          <w:color w:val="auto"/>
        </w:rPr>
      </w:pPr>
      <w:r>
        <w:rPr>
          <w:rFonts w:ascii="Arial" w:cs="Arial" w:eastAsia="Arial" w:hAnsi="Arial"/>
          <w:sz w:val="22"/>
          <w:szCs w:val="22"/>
          <w:color w:val="auto"/>
        </w:rPr>
        <w:t>the contract or instructions to a third party are binding upon you, are in writing, provide definitive instructions regarding the amount, timing and price at which the securities may be sold or purchased, and remove any authority for you to modify the execution of the 10b5-1 plan;</w:t>
      </w:r>
    </w:p>
    <w:p>
      <w:pPr>
        <w:spacing w:after="0" w:line="171" w:lineRule="exact"/>
        <w:rPr>
          <w:rFonts w:ascii="Times New Roman" w:cs="Times New Roman" w:eastAsia="Times New Roman" w:hAnsi="Times New Roman"/>
          <w:sz w:val="22"/>
          <w:szCs w:val="22"/>
          <w:color w:val="auto"/>
        </w:rPr>
      </w:pPr>
    </w:p>
    <w:p>
      <w:pPr>
        <w:jc w:val="both"/>
        <w:ind w:left="1300" w:hanging="320"/>
        <w:spacing w:after="0" w:line="281" w:lineRule="auto"/>
        <w:tabs>
          <w:tab w:leader="none" w:pos="1295" w:val="left"/>
        </w:tabs>
        <w:numPr>
          <w:ilvl w:val="0"/>
          <w:numId w:val="39"/>
        </w:numPr>
        <w:rPr>
          <w:rFonts w:ascii="Times New Roman" w:cs="Times New Roman" w:eastAsia="Times New Roman" w:hAnsi="Times New Roman"/>
          <w:sz w:val="21"/>
          <w:szCs w:val="21"/>
          <w:color w:val="auto"/>
        </w:rPr>
      </w:pPr>
      <w:r>
        <w:rPr>
          <w:rFonts w:ascii="Arial" w:cs="Arial" w:eastAsia="Arial" w:hAnsi="Arial"/>
          <w:sz w:val="21"/>
          <w:szCs w:val="21"/>
          <w:color w:val="auto"/>
        </w:rPr>
        <w:t>the 10b5-1 plan cannot be effective until (A) the later of (i) ninety days after adoption of the 10b5-1 plan, or (ii) two business days following the Company’s filing of a Periodic Report, if you are a Reporting Person, or (B) thirty days following the adoption of the 10b5-1 plan for all other subject employees;</w:t>
      </w:r>
    </w:p>
    <w:p>
      <w:pPr>
        <w:spacing w:after="0" w:line="149" w:lineRule="exact"/>
        <w:rPr>
          <w:rFonts w:ascii="Times New Roman" w:cs="Times New Roman" w:eastAsia="Times New Roman" w:hAnsi="Times New Roman"/>
          <w:sz w:val="21"/>
          <w:szCs w:val="21"/>
          <w:color w:val="auto"/>
        </w:rPr>
      </w:pPr>
    </w:p>
    <w:p>
      <w:pPr>
        <w:jc w:val="both"/>
        <w:ind w:left="1300" w:hanging="320"/>
        <w:spacing w:after="0" w:line="253" w:lineRule="auto"/>
        <w:tabs>
          <w:tab w:leader="none" w:pos="1295" w:val="left"/>
        </w:tabs>
        <w:numPr>
          <w:ilvl w:val="0"/>
          <w:numId w:val="39"/>
        </w:numPr>
        <w:rPr>
          <w:rFonts w:ascii="Times New Roman" w:cs="Times New Roman" w:eastAsia="Times New Roman" w:hAnsi="Times New Roman"/>
          <w:sz w:val="22"/>
          <w:szCs w:val="22"/>
          <w:color w:val="auto"/>
        </w:rPr>
      </w:pPr>
      <w:r>
        <w:rPr>
          <w:rFonts w:ascii="Arial" w:cs="Arial" w:eastAsia="Arial" w:hAnsi="Arial"/>
          <w:sz w:val="22"/>
          <w:szCs w:val="22"/>
          <w:color w:val="auto"/>
        </w:rPr>
        <w:t>you certify within the 10b5-1 plan, as well as to the Company’s Legal Department, in writing, that at the time you entered into the plan: (i) you were not in possession of material nonpublic information concerning the Company; (ii) you adopted the plan in good faith and not as part of a plan or scheme to evade the prohibitions of Rule 10b-5; (iii) you have not entered into any other transactions that would have the effect of hedging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334" w:lineRule="exact"/>
        <w:rPr>
          <w:sz w:val="20"/>
          <w:szCs w:val="20"/>
          <w:color w:val="auto"/>
        </w:rPr>
      </w:pPr>
    </w:p>
    <w:p>
      <w:pPr>
        <w:jc w:val="both"/>
        <w:ind w:left="1300"/>
        <w:spacing w:after="0" w:line="257" w:lineRule="auto"/>
        <w:rPr>
          <w:sz w:val="20"/>
          <w:szCs w:val="20"/>
          <w:color w:val="auto"/>
        </w:rPr>
      </w:pPr>
      <w:r>
        <w:rPr>
          <w:rFonts w:ascii="Arial" w:cs="Arial" w:eastAsia="Arial" w:hAnsi="Arial"/>
          <w:sz w:val="22"/>
          <w:szCs w:val="22"/>
          <w:color w:val="auto"/>
        </w:rPr>
        <w:t>the purchase or sale of the securities that are the subject of the plan; and (iv) the proposed trade does not violate the trading restrictions of Section 16 of the Exchange Act or Rule 144 under the Securities Act of 1933, as amended.</w:t>
      </w:r>
    </w:p>
    <w:p>
      <w:pPr>
        <w:spacing w:after="0" w:line="173" w:lineRule="exact"/>
        <w:rPr>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22"/>
          <w:szCs w:val="22"/>
          <w:color w:val="auto"/>
        </w:rPr>
        <w:t>you do not have any other 10b5-1 plan currently in effect; and</w:t>
      </w:r>
    </w:p>
    <w:p>
      <w:pPr>
        <w:spacing w:after="0" w:line="23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22"/>
          <w:szCs w:val="22"/>
          <w:color w:val="auto"/>
        </w:rPr>
        <w:t>the plan otherwise satisfies the requirements for the affirmative defense under Rule 10b5-1.</w:t>
      </w:r>
    </w:p>
    <w:p>
      <w:pPr>
        <w:spacing w:after="0" w:line="219"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Any amendment or early termination of any approved 10b5-1 plan must be submitted for approval by the Company’s Legal Department and any amendment to the amount, price or timing of a purchase or sale of securities under a 10b5-1 plan is a termination of such plan. The Company’s Legal Department has full discretion to determine whether to approve any 10b5-1 plan, whether or not such plan complies with the above. Approval of a 10b5-1 plan shall not be deemed a representation by the Company or the Company’s Legal Department that such plan complies with Rule 10b5-1, nor an assumption by the Company or the Company’s Legal Department of any liability or responsibility to the individual or any other party if the plan does not comply with Rule 10b5-1.</w:t>
      </w:r>
    </w:p>
    <w:p>
      <w:pPr>
        <w:spacing w:after="0" w:line="171"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Section 16 Reporting Persons</w:t>
      </w:r>
    </w:p>
    <w:p>
      <w:pPr>
        <w:spacing w:after="0" w:line="245"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Reporting Persons must file certain reports with the SEC when they engage in transactions involving the Company’s securities and must refrain from engaging in short-swing transactions prohibited under Section 16. While the Company’s Legal Department may assist Reporting Persons in preparing and filing the Section 16 reports, the Reporting Persons retain full responsibility for their individual reports.</w:t>
      </w:r>
    </w:p>
    <w:p>
      <w:pPr>
        <w:spacing w:after="0" w:line="161"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Pre-Clearance and Pre-Approval Requirements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Pre-Clearance of Securities Transactions</w:t>
      </w:r>
    </w:p>
    <w:p>
      <w:pPr>
        <w:spacing w:after="0" w:line="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 xml:space="preserve">The Company requires that Reporting Persons, as well as the Restricted Employees listed in Categories 1, 2, and 4 (c) through (f) on the attached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(collectively, “</w:t>
      </w:r>
      <w:r>
        <w:rPr>
          <w:rFonts w:ascii="Arial" w:cs="Arial" w:eastAsia="Arial" w:hAnsi="Arial"/>
          <w:sz w:val="22"/>
          <w:szCs w:val="22"/>
          <w:b w:val="1"/>
          <w:bCs w:val="1"/>
          <w:color w:val="auto"/>
        </w:rPr>
        <w:t>Insiders</w:t>
      </w:r>
      <w:r>
        <w:rPr>
          <w:rFonts w:ascii="Arial" w:cs="Arial" w:eastAsia="Arial" w:hAnsi="Arial"/>
          <w:sz w:val="22"/>
          <w:szCs w:val="22"/>
          <w:color w:val="auto"/>
        </w:rPr>
        <w:t>”) must obtain prior clearance from the Company’s Chief Corporate Counsel or his/her designee for all of such Insider’s and their Related Persons’ respective transactions involving the Company’s securities (such as purchases, sales, option exercises, gifts, loans, and contributions to a trust or any other transfer), with the exception of margin accounts and pledges which are subject to the pre-approval requirement discussed below and transactions that are executed pursuant to an approved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332"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 xml:space="preserve">In order to pre-clear a transaction, Insiders must complete the attached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xml:space="preserve"> and submit it to the Company’s Corporate Secretary, Assistant Corporate Secretary or a designee thereof. Each proposed transaction will be evaluated to determine if it raises insider trading concerns or other concerns under the federal or state securities laws and regulations. If clearance is granted, it does not constitute advice regarding the investment aspects of any transaction nor does it constitute advice as to any personal exposure Insiders may have under the federal or state securities laws at any time.</w:t>
      </w:r>
    </w:p>
    <w:p>
      <w:pPr>
        <w:spacing w:after="0" w:line="20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Company’s Corporate Secretary or Assistant Corporate Secretary is under no obligation to approve a transaction submitted for pre-clearance and may determine not to permit the transaction. To the extent granted, clearance of a transaction is valid for the period beginning once clearance is granted and ending at the close of trading on the second trading day following the date that clearance was granted and only to the extent that you do not become aware of material nonpublic information about the Company or become subject to an event-specific blackout within that time period. If the transaction is not completed within that time period, clearance of the transaction must be re-requested.</w:t>
      </w:r>
    </w:p>
    <w:p>
      <w:pPr>
        <w:spacing w:after="0" w:line="207" w:lineRule="exact"/>
        <w:rPr>
          <w:sz w:val="20"/>
          <w:szCs w:val="20"/>
          <w:color w:val="auto"/>
        </w:rPr>
      </w:pPr>
    </w:p>
    <w:p>
      <w:pPr>
        <w:jc w:val="both"/>
        <w:ind w:left="660" w:right="20"/>
        <w:spacing w:after="0" w:line="285" w:lineRule="auto"/>
        <w:rPr>
          <w:sz w:val="20"/>
          <w:szCs w:val="20"/>
          <w:color w:val="auto"/>
        </w:rPr>
      </w:pPr>
      <w:r>
        <w:rPr>
          <w:rFonts w:ascii="Arial" w:cs="Arial" w:eastAsia="Arial" w:hAnsi="Arial"/>
          <w:sz w:val="22"/>
          <w:szCs w:val="22"/>
          <w:color w:val="auto"/>
        </w:rPr>
        <w:t>If clearance is denied, the Insider or their Related Person, as the case may be, may not engage in such transaction and the fact of such denial must be kept confidential by the person requesting such clearance.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Pre-Approval of Margin and Pledge Transactions</w:t>
      </w:r>
    </w:p>
    <w:p>
      <w:pPr>
        <w:spacing w:after="0" w:line="26"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 xml:space="preserve">Reporting Persons who desire to place Company securities in a margin account, pledge Company securities as collateral for a loan or modify an existing margin account or pledge arrangement, or whose Related Persons desire to take such actions, must submit a written request for approval of the proposed transaction or modification to the Company’s Corporate Secretary, Assistant Corporate Secretary or a designee thereof at least </w:t>
      </w:r>
      <w:r>
        <w:rPr>
          <w:rFonts w:ascii="Arial" w:cs="Arial" w:eastAsia="Arial" w:hAnsi="Arial"/>
          <w:sz w:val="22"/>
          <w:szCs w:val="22"/>
          <w:i w:val="1"/>
          <w:iCs w:val="1"/>
          <w:color w:val="auto"/>
        </w:rPr>
        <w:t>two weeks</w:t>
      </w:r>
      <w:r>
        <w:rPr>
          <w:rFonts w:ascii="Arial" w:cs="Arial" w:eastAsia="Arial" w:hAnsi="Arial"/>
          <w:sz w:val="22"/>
          <w:szCs w:val="22"/>
          <w:color w:val="auto"/>
        </w:rPr>
        <w:t xml:space="preserve"> prior to the proposed transaction. The Company’s Corporate Secretary or Assistant Corporate Secretary, together with the Governance Committee, shall have the sole discretion in determining whether to approve a margin or pledge transaction submitted for pre-approval and there is no assurance that approval will be granted. If approval is denied, the Reporting Person or their Related Person, as the case may be, may not engage in such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Post-Termination Transactions</w:t>
      </w:r>
    </w:p>
    <w:p>
      <w:pPr>
        <w:spacing w:after="0" w:line="245"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This policy continues to apply to your transactions in Company securities even after you have terminated employment or other services to the Company, its subsidiaries or affiliates. If you are aware of material nonpublic information when you terminate employment or services, you may not trade in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9</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34"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securities until that information has become public or is no longer material. In all other respects, this policy will cease to apply to your transactions in Company securities upon the expiration of any blackout period that is applicable to your transactions at the time of your termination of employment or services.</w:t>
      </w:r>
    </w:p>
    <w:p>
      <w:pPr>
        <w:spacing w:after="0" w:line="162"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Unauthorized Disclosure</w:t>
      </w:r>
    </w:p>
    <w:p>
      <w:pPr>
        <w:spacing w:after="0" w:line="24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or services as confidential and proprietary to the Company. Inadvertent disclosure of confidential or inside information may expose the Company and you to significant risk of investigation and litigation.</w:t>
      </w:r>
    </w:p>
    <w:p>
      <w:pPr>
        <w:spacing w:after="0" w:line="179"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or others in the financial community be made on the Company’s behalf only through authorized individuals.</w:t>
      </w:r>
    </w:p>
    <w:p>
      <w:pPr>
        <w:spacing w:after="0" w:line="17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 xml:space="preserve">Any written or verbal statement that would be prohibited under the law or under this policy is equally prohibited if made on the Internet or by social media, in accordance with the Company’s </w:t>
      </w:r>
      <w:r>
        <w:rPr>
          <w:rFonts w:ascii="Arial" w:cs="Arial" w:eastAsia="Arial" w:hAnsi="Arial"/>
          <w:sz w:val="22"/>
          <w:szCs w:val="22"/>
          <w:b w:val="1"/>
          <w:bCs w:val="1"/>
          <w:i w:val="1"/>
          <w:iCs w:val="1"/>
          <w:color w:val="auto"/>
        </w:rPr>
        <w:t>Code of Conduct, Social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xml:space="preserve">Media Guidelines </w:t>
      </w:r>
      <w:r>
        <w:rPr>
          <w:rFonts w:ascii="Arial" w:cs="Arial" w:eastAsia="Arial" w:hAnsi="Arial"/>
          <w:sz w:val="22"/>
          <w:szCs w:val="22"/>
          <w:color w:val="auto"/>
        </w:rPr>
        <w:t>and</w:t>
      </w:r>
      <w:r>
        <w:rPr>
          <w:rFonts w:ascii="Arial" w:cs="Arial" w:eastAsia="Arial" w:hAnsi="Arial"/>
          <w:sz w:val="22"/>
          <w:szCs w:val="22"/>
          <w:b w:val="1"/>
          <w:bCs w:val="1"/>
          <w:i w:val="1"/>
          <w:iCs w:val="1"/>
          <w:color w:val="auto"/>
        </w:rPr>
        <w:t xml:space="preserve"> External Communications Policy</w:t>
      </w:r>
      <w:r>
        <w:rPr>
          <w:rFonts w:ascii="Arial" w:cs="Arial" w:eastAsia="Arial" w:hAnsi="Arial"/>
          <w:sz w:val="22"/>
          <w:szCs w:val="2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Penalties for Noncompliance</w:t>
      </w:r>
    </w:p>
    <w:p>
      <w:pPr>
        <w:spacing w:after="0" w:line="272"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The purchase or sale of the Company’s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34" w:lineRule="exact"/>
        <w:rPr>
          <w:sz w:val="20"/>
          <w:szCs w:val="20"/>
          <w:color w:val="auto"/>
        </w:rPr>
      </w:pPr>
    </w:p>
    <w:p>
      <w:pPr>
        <w:jc w:val="both"/>
        <w:ind w:left="660"/>
        <w:spacing w:after="0" w:line="272" w:lineRule="auto"/>
        <w:rPr>
          <w:sz w:val="20"/>
          <w:szCs w:val="20"/>
          <w:color w:val="auto"/>
        </w:rPr>
      </w:pPr>
      <w:r>
        <w:rPr>
          <w:rFonts w:ascii="Arial" w:cs="Arial" w:eastAsia="Arial" w:hAnsi="Arial"/>
          <w:sz w:val="22"/>
          <w:szCs w:val="22"/>
          <w:color w:val="auto"/>
        </w:rPr>
        <w:t>Failure to comply with this policy may also subject you to Company imposed sanctions, including dismissal for cause, whether or not your failure to comply with this policy results in a violation of law.</w:t>
      </w:r>
    </w:p>
    <w:p>
      <w:pPr>
        <w:spacing w:after="0" w:line="144"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Company Assistance</w:t>
      </w:r>
    </w:p>
    <w:p>
      <w:pPr>
        <w:spacing w:after="0" w:line="272"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color w:val="auto"/>
        </w:rPr>
        <w:t>Your compliance with this policy is of the utmost importance both for you and for the Company. This policy is designed to prevent insider trading or allegations of insider trading, and to protect the Company’s reputation for integrity and ethical conduct. It is your obligation to understand and comply with this policy.</w:t>
      </w:r>
    </w:p>
    <w:p>
      <w:pPr>
        <w:spacing w:after="0" w:line="191"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If you have any questions about this policy or its application to any proposed transaction, please contact the Legal Department via email at: XXXXXXXX. Do not try to resolve uncertainties on your own, as the rules relating to insider trading are often complex, not always intuitive and carry severe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272415</wp:posOffset>
            </wp:positionV>
            <wp:extent cx="617220" cy="6343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61722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Anything to report?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WorldEthics@wfscorp.com</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WKC Anonymous Compliance Hotline:</w:t>
      </w:r>
    </w:p>
    <w:p>
      <w:pPr>
        <w:jc w:val="center"/>
        <w:spacing w:after="0"/>
        <w:rPr>
          <w:sz w:val="20"/>
          <w:szCs w:val="20"/>
          <w:color w:val="auto"/>
        </w:rPr>
      </w:pPr>
      <w:r>
        <w:rPr>
          <w:rFonts w:ascii="Arial" w:cs="Arial" w:eastAsia="Arial" w:hAnsi="Arial"/>
          <w:sz w:val="18"/>
          <w:szCs w:val="18"/>
          <w:color w:val="auto"/>
        </w:rPr>
        <w:t>U.S. Toll-Free Number: +1.888.549.0965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www.wfscompliance.com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WKC Securities Trading Policy</w:t>
      </w:r>
    </w:p>
    <w:p>
      <w:pPr>
        <w:sectPr>
          <w:pgSz w:w="11900" w:h="16838" w:orient="portrait"/>
          <w:cols w:equalWidth="0" w:num="1">
            <w:col w:w="11240"/>
          </w:cols>
          <w:pgMar w:left="320" w:top="1440"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vMerge w:val="restart"/>
            <w:shd w:val="clear" w:color="auto" w:fill="C0C0C0"/>
          </w:tcPr>
          <w:p>
            <w:pPr>
              <w:ind w:left="20"/>
              <w:spacing w:after="0"/>
              <w:rPr>
                <w:sz w:val="20"/>
                <w:szCs w:val="20"/>
                <w:color w:val="auto"/>
              </w:rPr>
            </w:pPr>
            <w:r>
              <w:rPr>
                <w:rFonts w:ascii="Arial" w:cs="Arial" w:eastAsia="Arial" w:hAnsi="Arial"/>
                <w:sz w:val="18"/>
                <w:szCs w:val="18"/>
                <w:color w:val="auto"/>
              </w:rPr>
              <w:t>Subsidiary Name</w:t>
            </w:r>
          </w:p>
        </w:tc>
        <w:tc>
          <w:tcPr>
            <w:tcW w:w="5220" w:type="dxa"/>
            <w:vAlign w:val="bottom"/>
            <w:shd w:val="clear" w:color="auto" w:fill="C0C0C0"/>
          </w:tcPr>
          <w:p>
            <w:pPr>
              <w:ind w:left="1840"/>
              <w:spacing w:after="0"/>
              <w:rPr>
                <w:sz w:val="20"/>
                <w:szCs w:val="20"/>
                <w:color w:val="auto"/>
              </w:rPr>
            </w:pPr>
            <w:r>
              <w:rPr>
                <w:rFonts w:ascii="Arial" w:cs="Arial" w:eastAsia="Arial" w:hAnsi="Arial"/>
                <w:sz w:val="18"/>
                <w:szCs w:val="18"/>
                <w:color w:val="auto"/>
              </w:rPr>
              <w:t>Jurisdiction of Incorporation or</w:t>
            </w:r>
          </w:p>
        </w:tc>
        <w:tc>
          <w:tcPr>
            <w:tcW w:w="0" w:type="dxa"/>
            <w:vAlign w:val="bottom"/>
          </w:tcPr>
          <w:p>
            <w:pPr>
              <w:spacing w:after="0"/>
              <w:rPr>
                <w:sz w:val="1"/>
                <w:szCs w:val="1"/>
                <w:color w:val="auto"/>
              </w:rPr>
            </w:pPr>
          </w:p>
        </w:tc>
      </w:tr>
      <w:tr>
        <w:trPr>
          <w:trHeight w:val="235"/>
        </w:trPr>
        <w:tc>
          <w:tcPr>
            <w:tcW w:w="6020" w:type="dxa"/>
            <w:vAlign w:val="bottom"/>
            <w:vMerge w:val="continue"/>
            <w:shd w:val="clear" w:color="auto" w:fill="C0C0C0"/>
          </w:tcPr>
          <w:p>
            <w:pPr>
              <w:spacing w:after="0"/>
              <w:rPr>
                <w:sz w:val="20"/>
                <w:szCs w:val="20"/>
                <w:color w:val="auto"/>
              </w:rPr>
            </w:pPr>
          </w:p>
        </w:tc>
        <w:tc>
          <w:tcPr>
            <w:tcW w:w="5220" w:type="dxa"/>
            <w:vAlign w:val="bottom"/>
            <w:shd w:val="clear" w:color="auto" w:fill="C0C0C0"/>
          </w:tcPr>
          <w:p>
            <w:pPr>
              <w:ind w:left="1840"/>
              <w:spacing w:after="0"/>
              <w:rPr>
                <w:sz w:val="20"/>
                <w:szCs w:val="20"/>
                <w:color w:val="auto"/>
              </w:rPr>
            </w:pPr>
            <w:r>
              <w:rPr>
                <w:rFonts w:ascii="Arial" w:cs="Arial" w:eastAsia="Arial" w:hAnsi="Arial"/>
                <w:sz w:val="18"/>
                <w:szCs w:val="18"/>
                <w:color w:val="auto"/>
              </w:rPr>
              <w:t>Organization</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Advance Petroleum,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AHT Services,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Nevada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Air Petro Corp.</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Alta Fuels,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Colorado</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Alta Transportation,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Colorado</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Amelia Holding AB</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Ascent Aviation Group,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New York</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Associated Petroleum Products,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Washington</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AVCARD Services (BVI), Ltd.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Virgin Islands, British</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Baseops International,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Casa Petro, S.R.L.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Costa Rica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Chrome Club,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Minnesota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Aviation Holdings,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das Américas Serviços de Aviação Ltda.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Europe SARL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Risk Management Services,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Ecuacentair Cia. Ltda.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Ecuador</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Energie-Tankdienstgesellschaft Bremen mbH</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Falmouth Petroleum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Energy Group,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Energy,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Properties,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Transportation,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Gib Oil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Gibraltar</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Hava Pty Ltd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Hellenic Aviation Fuel Company S.A.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Greece</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Henty Oil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Henty Shipping Services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Denmark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France Sarl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Germany GmbH</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Green Services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Hungary Kft</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Hungary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Markets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Netherlands B.V.</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Pty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Spot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Sweden AB</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UK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Consulting,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LFO Holdings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MH Aviation Services (Pty) Ltd.</w:t>
            </w:r>
          </w:p>
        </w:tc>
        <w:tc>
          <w:tcPr>
            <w:tcW w:w="4480" w:type="dxa"/>
            <w:vAlign w:val="bottom"/>
            <w:tcBorders>
              <w:top w:val="single" w:sz="8" w:color="C0C0C0"/>
              <w:bottom w:val="single" w:sz="8" w:color="C0C0C0"/>
            </w:tcBorders>
          </w:tcPr>
          <w:p>
            <w:pPr>
              <w:ind w:left="1100"/>
              <w:spacing w:after="0"/>
              <w:rPr>
                <w:sz w:val="20"/>
                <w:szCs w:val="20"/>
                <w:color w:val="auto"/>
              </w:rPr>
            </w:pPr>
            <w:r>
              <w:rPr>
                <w:rFonts w:ascii="Arial" w:cs="Arial" w:eastAsia="Arial" w:hAnsi="Arial"/>
                <w:sz w:val="16"/>
                <w:szCs w:val="16"/>
                <w:color w:val="auto"/>
              </w:rPr>
              <w:t>South Africa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Nature Port Reception Facilities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Gibraltar</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Fuel IQ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UK Holding Co.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ApS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Denmark</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B.V.</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Netherlands</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Estonia OÜ</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Estonia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Norse Bunker AS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Norway</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Oil Shipping (Bunkering) B.V.</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Netherlands</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Orchard (Holdings) UK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Orchard Energy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PAPCO,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Virginia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PAX Distribution,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Washington</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Petro Air, Corp.</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Puerto Rico</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PetroServicios de Costa Rica,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PT Oil Shipping Trans Indonesia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Indonesia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PT Servicios de Guatemala,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Guatemala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Redline Oil Services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Resource Recovery of America,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Florida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Auxiliares de México, Sociedad de Responsabilidad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Mexico</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de Combustible Atlanticos, S.R.L (aka Atlantic Fuel Services,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Ecuatorianos de Energia-Secsa CIA. LTDA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Ecuador</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WFSE Ecuador C.L.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Ecuador</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The Hiller Group Incorporated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Florida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The Lubricant Company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(Argentina)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Argentina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(Chile)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Chile</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Germany GmbH</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Germany</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Trans-Tec International S.R.L. (Trans-Tec Mundial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U.S. Energy Engineering,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Minnesota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UVAIR European Fuelling Services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Ireland</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Aviation Products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Minnesota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Energetix,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Nevada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Petroleum Company</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Minnesota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 Aviation Services SAS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France</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 Lubricants S.L.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Spain</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WFL (UK)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WFL MOZAMBIQUE, LDA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Mozambique</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&amp; J Company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Japan</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(Guam)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Guam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Agencia de Naves,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Chile</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Commercial Consulting (Shanghai) Co., Ltd.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China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Danish Holding Company I ApS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Denmark</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Danish Holding Partnership K/S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Denmark</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Netherlands Holding B.V.</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Netherlands</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Tramp Brazil Holding Company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Finance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1240"/>
          </w:cols>
          <w:pgMar w:left="320" w:top="867"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II Limited</w:t>
            </w:r>
          </w:p>
        </w:tc>
        <w:tc>
          <w:tcPr>
            <w:tcW w:w="3800" w:type="dxa"/>
            <w:vAlign w:val="bottom"/>
            <w:tcBorders>
              <w:top w:val="single" w:sz="8" w:color="C0C0C0"/>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III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IV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II LP</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III LP</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LP</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Delaware</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II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III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IV,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IX,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VII,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VIII,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X,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Capital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Cayman Islands</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IV</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Cayman Islands</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V</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Cayman Islands</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Commodities Services (Ireland)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Ireland</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CX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Kansas</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Gas and Power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International S.R.L. (Petromundo Internacional, S.R.L.)</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Costa Rica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(Australia) Pty Ltd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Australia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(Bahamas)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Bahamas</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(Costa Rica) Limitada</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Costa Rica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(Denmark) ApS</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Denmark</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(Hong Kong)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Hong Kong</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(KG)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Kyrgyzstan</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(New Zealand)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New Zealand</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(Panama) Limited Liability Company, Sociedad De Responsabilidad Limitada</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Panama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(Singapore) II Pte. Ltd.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Singapore</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(Singapore) Pte Ltd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Singapore</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(South Africa) (Pty) Ltd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South Africa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(Taiwan)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Taiwan (Province of China)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(Uruguay) S.A.</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Uruguay</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Argentina S.R.L.</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Argentina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Aviation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Belgium BVBA</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Belgium</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Canada, ULC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Canada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Chile, Limitada</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Chile</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Company,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Corporate Aviation Support Services, Inc.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Delaware</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CZ s.r.o.</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Czech Republic</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Europe, Ltd.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European Holding Company I, Ltd.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1240"/>
          </w:cols>
          <w:pgMar w:left="320" w:top="867" w:right="3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8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World Fuel Services France SAS</w:t>
            </w:r>
          </w:p>
        </w:tc>
        <w:tc>
          <w:tcPr>
            <w:tcW w:w="3660" w:type="dxa"/>
            <w:vAlign w:val="bottom"/>
            <w:tcBorders>
              <w:top w:val="single" w:sz="8" w:color="C0C0C0"/>
              <w:bottom w:val="single" w:sz="8" w:color="C0C0C0"/>
            </w:tcBorders>
          </w:tcPr>
          <w:p>
            <w:pPr>
              <w:ind w:left="280"/>
              <w:spacing w:after="0"/>
              <w:rPr>
                <w:sz w:val="20"/>
                <w:szCs w:val="20"/>
                <w:color w:val="auto"/>
              </w:rPr>
            </w:pPr>
            <w:r>
              <w:rPr>
                <w:rFonts w:ascii="Arial" w:cs="Arial" w:eastAsia="Arial" w:hAnsi="Arial"/>
                <w:sz w:val="16"/>
                <w:szCs w:val="16"/>
                <w:color w:val="auto"/>
              </w:rPr>
              <w:t>France</w:t>
            </w:r>
          </w:p>
        </w:tc>
      </w:tr>
      <w:tr>
        <w:trPr>
          <w:trHeight w:val="156"/>
        </w:trPr>
        <w:tc>
          <w:tcPr>
            <w:tcW w:w="7580" w:type="dxa"/>
            <w:vAlign w:val="bottom"/>
          </w:tcPr>
          <w:p>
            <w:pPr>
              <w:ind w:left="20"/>
              <w:spacing w:after="0" w:line="156" w:lineRule="exact"/>
              <w:rPr>
                <w:sz w:val="20"/>
                <w:szCs w:val="20"/>
                <w:color w:val="auto"/>
              </w:rPr>
            </w:pPr>
            <w:r>
              <w:rPr>
                <w:rFonts w:ascii="Arial" w:cs="Arial" w:eastAsia="Arial" w:hAnsi="Arial"/>
                <w:sz w:val="16"/>
                <w:szCs w:val="16"/>
                <w:color w:val="auto"/>
              </w:rPr>
              <w:t>World Fuel Services International (Panama) Limited Liability Company, Sociedad De Responsabilidad</w:t>
            </w:r>
          </w:p>
        </w:tc>
        <w:tc>
          <w:tcPr>
            <w:tcW w:w="3660" w:type="dxa"/>
            <w:vAlign w:val="bottom"/>
          </w:tcPr>
          <w:p>
            <w:pPr>
              <w:ind w:left="280"/>
              <w:spacing w:after="0" w:line="156" w:lineRule="exact"/>
              <w:rPr>
                <w:sz w:val="20"/>
                <w:szCs w:val="20"/>
                <w:color w:val="auto"/>
              </w:rPr>
            </w:pPr>
            <w:r>
              <w:rPr>
                <w:rFonts w:ascii="Arial" w:cs="Arial" w:eastAsia="Arial" w:hAnsi="Arial"/>
                <w:sz w:val="16"/>
                <w:szCs w:val="16"/>
                <w:color w:val="auto"/>
              </w:rPr>
              <w:t>Panama</w:t>
            </w:r>
          </w:p>
        </w:tc>
      </w:tr>
      <w:tr>
        <w:trPr>
          <w:trHeight w:val="215"/>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Limitada</w:t>
            </w:r>
          </w:p>
        </w:tc>
        <w:tc>
          <w:tcPr>
            <w:tcW w:w="3660" w:type="dxa"/>
            <w:vAlign w:val="bottom"/>
            <w:tcBorders>
              <w:bottom w:val="single" w:sz="8" w:color="C0C0C0"/>
            </w:tcBorders>
          </w:tcPr>
          <w:p>
            <w:pPr>
              <w:spacing w:after="0"/>
              <w:rPr>
                <w:sz w:val="18"/>
                <w:szCs w:val="18"/>
                <w:color w:val="auto"/>
              </w:rPr>
            </w:pP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Italy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Italy</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Japan G.K.</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Japan</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Kenya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Kenya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México, S. de R.L. de C.V.</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Mexico</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Pakistan (Pvt.)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Pakistan</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Peru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Peru</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Private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India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Regulatory Holdings,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Trading DMCC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Arab Emirates</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Turkey Petrol Urunleri Dagitim Ve Ticaret Limited Sirketi</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Turkey</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Inc.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Texas</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Colombia C.I. S.A.S.</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Colombia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Digital Ventures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Government Solutions, Inc.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Virginia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Korea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Korea, Republic of</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Sustainability Ventures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Sustainability Ventures UK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UK Holding Company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US Holding Company,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Yacht Fuel Services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1240"/>
          </w:cols>
          <w:pgMar w:left="320" w:top="86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333-258638, No. 333-242250, No. 333-212927, No. 333-161099, No. 333-144379, No. 333-130528 and No. 333-68276) of World Kinect Corporation of our report dated February 25, 2025 relating to the financial statements and the effectiveness of internal control over financial reporting, which appears in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2025</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117"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Kinect Corporation for the period ended December 31, 2024;</w:t>
      </w:r>
    </w:p>
    <w:p>
      <w:pPr>
        <w:spacing w:after="0" w:line="11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2025</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17780</wp:posOffset>
            </wp:positionV>
            <wp:extent cx="36601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17"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Kinect Corporation for the period ended December 31, 2024;</w:t>
      </w:r>
    </w:p>
    <w:p>
      <w:pPr>
        <w:spacing w:after="0" w:line="11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February 25, 2025</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17780</wp:posOffset>
            </wp:positionV>
            <wp:extent cx="3437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110" w:name="page111"/>
    <w:bookmarkEnd w:id="110"/>
    <w:p>
      <w:pPr>
        <w:ind w:left="10240"/>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373" w:lineRule="exact"/>
        <w:rPr>
          <w:sz w:val="20"/>
          <w:szCs w:val="20"/>
          <w:color w:val="auto"/>
        </w:rPr>
      </w:pPr>
    </w:p>
    <w:p>
      <w:pPr>
        <w:jc w:val="center"/>
        <w:ind w:left="340" w:right="2800"/>
        <w:spacing w:after="0" w:line="273" w:lineRule="auto"/>
        <w:rPr>
          <w:sz w:val="20"/>
          <w:szCs w:val="20"/>
          <w:color w:val="auto"/>
        </w:rPr>
      </w:pPr>
      <w:r>
        <w:rPr>
          <w:rFonts w:ascii="Arial" w:cs="Arial" w:eastAsia="Arial" w:hAnsi="Arial"/>
          <w:sz w:val="18"/>
          <w:szCs w:val="18"/>
          <w:b w:val="1"/>
          <w:bCs w:val="1"/>
          <w:color w:val="auto"/>
        </w:rPr>
        <w:t>Certification of Chief Executive Officer and Chief Financial Officer under Section 906 of the Sarbanes-Oxley Act of 2002 (18 U.S.C. § 1350)</w:t>
      </w:r>
    </w:p>
    <w:p>
      <w:pPr>
        <w:spacing w:after="0" w:line="374" w:lineRule="exact"/>
        <w:rPr>
          <w:sz w:val="20"/>
          <w:szCs w:val="20"/>
          <w:color w:val="auto"/>
        </w:rPr>
      </w:pPr>
    </w:p>
    <w:p>
      <w:pPr>
        <w:ind w:firstLine="200"/>
        <w:spacing w:after="0" w:line="268" w:lineRule="auto"/>
        <w:rPr>
          <w:sz w:val="20"/>
          <w:szCs w:val="20"/>
          <w:color w:val="auto"/>
        </w:rPr>
      </w:pPr>
      <w:r>
        <w:rPr>
          <w:rFonts w:ascii="Arial" w:cs="Arial" w:eastAsia="Arial" w:hAnsi="Arial"/>
          <w:sz w:val="18"/>
          <w:szCs w:val="18"/>
          <w:color w:val="auto"/>
        </w:rPr>
        <w:t>We, Michael J. Kasbar, the Chairman, President and Chief Executive Officer of World Kinect Corporation (the "Company"), and Ira M. Birns, the Executive Vice President and Chief Financial Officer of the Company, certify for the purposes of Section 1350 of Chapter 63 of Title 18 of the United States Code that, to the best of our knowledge,</w:t>
      </w:r>
    </w:p>
    <w:p>
      <w:pPr>
        <w:spacing w:after="0" w:line="63" w:lineRule="exact"/>
        <w:rPr>
          <w:sz w:val="20"/>
          <w:szCs w:val="20"/>
          <w:color w:val="auto"/>
        </w:rPr>
      </w:pPr>
    </w:p>
    <w:p>
      <w:pPr>
        <w:ind w:left="660" w:right="44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2024 (the "Report") fully complies with the requirements of Section 13(a) or 15(d), as applicable, of the Securities Exchange Act of 1934; and</w:t>
      </w:r>
    </w:p>
    <w:p>
      <w:pPr>
        <w:spacing w:after="0" w:line="44"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2025</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17780</wp:posOffset>
            </wp:positionV>
            <wp:extent cx="36601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17780</wp:posOffset>
            </wp:positionV>
            <wp:extent cx="36601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184150</wp:posOffset>
            </wp:positionV>
            <wp:extent cx="69265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lvl w:ilvl="1">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lowerRoman"/>
      <w:start w:val="1"/>
    </w:lvl>
  </w:abstractNum>
  <w:abstractNum w:abstractNumId="15">
    <w:nsid w:val="3A95F874"/>
    <w:multiLevelType w:val="hybridMultilevel"/>
    <w:lvl w:ilvl="0">
      <w:lvlJc w:val="left"/>
      <w:lvlText w:val="(%1)"/>
      <w:numFmt w:val="lowerLetter"/>
      <w:start w:val="2"/>
    </w:lvl>
  </w:abstractNum>
  <w:abstractNum w:abstractNumId="16">
    <w:nsid w:val="8138641"/>
    <w:multiLevelType w:val="hybridMultilevel"/>
    <w:lvl w:ilvl="0">
      <w:lvlJc w:val="left"/>
      <w:lvlText w:val="%1"/>
      <w:numFmt w:val="decimal"/>
      <w:start w:val="10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5"/>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3" Type="http://schemas.openxmlformats.org/officeDocument/2006/relationships/image" Target="media/image51.png"/><Relationship Id="rId93" Type="http://schemas.openxmlformats.org/officeDocument/2006/relationships/image" Target="media/image52.png"/><Relationship Id="rId100"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jpe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58" Type="http://schemas.openxmlformats.org/officeDocument/2006/relationships/hyperlink" Target="https://www.sec.gov/Archives/edgar/data/789460/000162828023026035/ex32-articlesofincorporati.htm" TargetMode="External"/><Relationship Id="rId59" Type="http://schemas.openxmlformats.org/officeDocument/2006/relationships/hyperlink" Target="https://www.sec.gov/Archives/edgar/data/789460/000115752311005202/a6842908_ex31.htm" TargetMode="External"/><Relationship Id="rId60" Type="http://schemas.openxmlformats.org/officeDocument/2006/relationships/hyperlink" Target="https://www.sec.gov/Archives/edgar/data/789460/000162828020002590/a2019q410kex41.htm" TargetMode="External"/><Relationship Id="rId61" Type="http://schemas.openxmlformats.org/officeDocument/2006/relationships/hyperlink" Target="https://www.sec.gov/Archives/edgar/data/789460/000162828023023518/exhibit41indenture.htm" TargetMode="External"/><Relationship Id="rId62" Type="http://schemas.openxmlformats.org/officeDocument/2006/relationships/hyperlink" Target="https://www.sec.gov/Archives/edgar/data/789460/000110465916125102/a16-12742_1ex10d1.htm" TargetMode="External"/><Relationship Id="rId63" Type="http://schemas.openxmlformats.org/officeDocument/2006/relationships/hyperlink" Target="https://www.sec.gov/Archives/edgar/data/789460/000110465920066201/tm2020851d1_ex10-1.htm" TargetMode="External"/><Relationship Id="rId64" Type="http://schemas.openxmlformats.org/officeDocument/2006/relationships/hyperlink" Target="https://www.sec.gov/Archives/edgar/data/789460/000162828021011056/a2021-omnibusplanexhibit101.htm" TargetMode="External"/><Relationship Id="rId65" Type="http://schemas.openxmlformats.org/officeDocument/2006/relationships/hyperlink" Target="https://www.sec.gov/Archives/edgar/data/789460/000115752322001611/a52968266ex10_1.htm" TargetMode="External"/><Relationship Id="rId66" Type="http://schemas.openxmlformats.org/officeDocument/2006/relationships/hyperlink" Target="https://www.sec.gov/Archives/edgar/data/789460/000119312507081302/dex102.htm" TargetMode="External"/><Relationship Id="rId67" Type="http://schemas.openxmlformats.org/officeDocument/2006/relationships/hyperlink" Target="https://www.sec.gov/Archives/edgar/data/789460/000162828017007371/a2017q2ex101.htm" TargetMode="External"/><Relationship Id="rId68" Type="http://schemas.openxmlformats.org/officeDocument/2006/relationships/hyperlink" Target="https://www.sec.gov/Archives/edgar/data/789460/000162828023005058/ex107-formofperformancexba.htm" TargetMode="External"/><Relationship Id="rId69" Type="http://schemas.openxmlformats.org/officeDocument/2006/relationships/hyperlink" Target="https://www.sec.gov/Archives/edgar/data/789460/000162828023005058/ex108-formofservicexbasedr.htm" TargetMode="External"/><Relationship Id="rId70" Type="http://schemas.openxmlformats.org/officeDocument/2006/relationships/hyperlink" Target="https://www.sec.gov/Archives/edgar/data/789460/000155837016003246/int-20151231ex1024bff55.htm" TargetMode="External"/><Relationship Id="rId71" Type="http://schemas.openxmlformats.org/officeDocument/2006/relationships/hyperlink" Target="https://www.sec.gov/Archives/edgar/data/789460/000162828019002382/a2018q4ex1010.htm" TargetMode="External"/><Relationship Id="rId72" Type="http://schemas.openxmlformats.org/officeDocument/2006/relationships/hyperlink" Target="https://www.sec.gov/Archives/edgar/data/789460/000162828018002457/a2017q4ex1010.htm" TargetMode="External"/><Relationship Id="rId74" Type="http://schemas.openxmlformats.org/officeDocument/2006/relationships/hyperlink" Target="https://www.sec.gov/Archives/edgar/data/789460/000162828018002457/a2017q4ex1014.htm" TargetMode="External"/><Relationship Id="rId75" Type="http://schemas.openxmlformats.org/officeDocument/2006/relationships/hyperlink" Target="https://www.sec.gov/Archives/edgar/data/789460/000110465914054975/a14-13976_1ex10d1.htm" TargetMode="External"/><Relationship Id="rId76" Type="http://schemas.openxmlformats.org/officeDocument/2006/relationships/hyperlink" Target="https://www.sec.gov/Archives/edgar/data/789460/000162828017001482/a2016q4ex1015.htm" TargetMode="External"/><Relationship Id="rId77" Type="http://schemas.openxmlformats.org/officeDocument/2006/relationships/hyperlink" Target="https://www.sec.gov/Archives/edgar/data/789460/000162828018002457/a2017q4ex1017.htm" TargetMode="External"/><Relationship Id="rId78" Type="http://schemas.openxmlformats.org/officeDocument/2006/relationships/hyperlink" Target="https://www.sec.gov/Archives/edgar/data/789460/000110465914054975/a14-13976_1ex10d2.htm" TargetMode="External"/><Relationship Id="rId79" Type="http://schemas.openxmlformats.org/officeDocument/2006/relationships/hyperlink" Target="https://www.sec.gov/Archives/edgar/data/789460/000162828018002457/a2017q4ex1021.htm" TargetMode="External"/><Relationship Id="rId80" Type="http://schemas.openxmlformats.org/officeDocument/2006/relationships/hyperlink" Target="https://www.sec.gov/Archives/edgar/data/789460/000162828017007371/a2017q2ex104.htm" TargetMode="External"/><Relationship Id="rId81" Type="http://schemas.openxmlformats.org/officeDocument/2006/relationships/hyperlink" Target="https://www.sec.gov/Archives/edgar/data/789460/000162828018002457/a2017q4ex1024.htm" TargetMode="External"/><Relationship Id="rId82" Type="http://schemas.openxmlformats.org/officeDocument/2006/relationships/hyperlink" Target="https://www.sec.gov/Archives/edgar/data/789460/000162828021003481/a202010kex1024.htm" TargetMode="External"/><Relationship Id="rId83" Type="http://schemas.openxmlformats.org/officeDocument/2006/relationships/hyperlink" Target="https://www.sec.gov/Archives/edgar/data/789460/000115752322001610/a52968264ex10_1.htm" TargetMode="External"/><Relationship Id="rId84" Type="http://schemas.openxmlformats.org/officeDocument/2006/relationships/hyperlink" Target="https://www.sec.gov/Archives/edgar/data/789460/000110465913075419/a13-22173_1ex10d1.htm" TargetMode="External"/><Relationship Id="rId85" Type="http://schemas.openxmlformats.org/officeDocument/2006/relationships/hyperlink" Target="https://www.sec.gov/Archives/edgar/data/789460/000155837015000030/int-20150130ex10147ad65.htm" TargetMode="External"/><Relationship Id="rId86" Type="http://schemas.openxmlformats.org/officeDocument/2006/relationships/hyperlink" Target="https://www.sec.gov/Archives/edgar/data/789460/000162828016020385/amendmentno2.htm" TargetMode="External"/><Relationship Id="rId87" Type="http://schemas.openxmlformats.org/officeDocument/2006/relationships/hyperlink" Target="https://www.sec.gov/Archives/edgar/data/789460/000162828017007371/a2017q2ex102.htm" TargetMode="External"/><Relationship Id="rId88" Type="http://schemas.openxmlformats.org/officeDocument/2006/relationships/hyperlink" Target="https://www.sec.gov/Archives/edgar/data/789460/000162828018002457/a2017q4ex1030.htm" TargetMode="External"/><Relationship Id="rId89" Type="http://schemas.openxmlformats.org/officeDocument/2006/relationships/hyperlink" Target="https://www.sec.gov/Archives/edgar/data/789460/000162828019008923/annexitoamendmentno5.htm" TargetMode="External"/><Relationship Id="rId90" Type="http://schemas.openxmlformats.org/officeDocument/2006/relationships/hyperlink" Target="https://www.sec.gov/Archives/edgar/data/789460/000162828022004028/cfamend6boa.htm" TargetMode="External"/><Relationship Id="rId91" Type="http://schemas.openxmlformats.org/officeDocument/2006/relationships/hyperlink" Target="https://www.sec.gov/Archives/edgar/data/789460/000162828022004028/ex1033_boacreditfacilityam.htm" TargetMode="External"/><Relationship Id="rId92" Type="http://schemas.openxmlformats.org/officeDocument/2006/relationships/hyperlink" Target="https://www.sec.gov/Archives/edgar/data/789460/000162828022008268/exhibit101_creditfacilitya.htm" TargetMode="External"/><Relationship Id="rId94" Type="http://schemas.openxmlformats.org/officeDocument/2006/relationships/hyperlink" Target="https://www.sec.gov/Archives/edgar/data/789460/000162828022019810/ex101_2022q2cfamendment9xw.htm" TargetMode="External"/><Relationship Id="rId95" Type="http://schemas.openxmlformats.org/officeDocument/2006/relationships/hyperlink" Target="https://www.sec.gov/Archives/edgar/data/789460/000162828024006634/ex1034_wkccfamendment10.htm" TargetMode="External"/><Relationship Id="rId96" Type="http://schemas.openxmlformats.org/officeDocument/2006/relationships/hyperlink" Target="https://www.sec.gov/Archives/edgar/data/789460/000162828023023518/exhibit101purchaseagreement.htm" TargetMode="External"/><Relationship Id="rId97" Type="http://schemas.openxmlformats.org/officeDocument/2006/relationships/hyperlink" Target="https://www.sec.gov/Archives/edgar/data/789460/000162828023023518/exhibit102formofconvertibl.htm" TargetMode="External"/><Relationship Id="rId98" Type="http://schemas.openxmlformats.org/officeDocument/2006/relationships/hyperlink" Target="https://www.sec.gov/Archives/edgar/data/789460/000162828023023518/exhibit103formofwarrant.htm" TargetMode="External"/><Relationship Id="rId99" Type="http://schemas.openxmlformats.org/officeDocument/2006/relationships/hyperlink" Target="https://www.sec.gov/Archives/edgar/data/789460/000162828024006634/ex971_wkcclawbackpolicyse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2025-02-25T12:30:11Z</dcterms:created>
  <dcterms:modified xsi:type="dcterms:W3CDTF">2025-02-25T12:30:11Z</dcterms:modified>
</cp:coreProperties>
</file>