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37"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08"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For the fiscal year ended December 31, 2025</w:t>
      </w:r>
    </w:p>
    <w:p>
      <w:pPr>
        <w:spacing w:after="0" w:line="127"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OR</w:t>
      </w:r>
    </w:p>
    <w:p>
      <w:pPr>
        <w:spacing w:after="0" w:line="154"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21"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For the transition period from __________ to ___________</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86360</wp:posOffset>
            </wp:positionV>
            <wp:extent cx="123444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WORLD KINECT CORPORATION</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Florida</w:t>
      </w:r>
    </w:p>
    <w:p>
      <w:pPr>
        <w:spacing w:after="0" w:line="40" w:lineRule="exact"/>
        <w:rPr>
          <w:sz w:val="24"/>
          <w:szCs w:val="24"/>
          <w:color w:val="auto"/>
        </w:rPr>
      </w:pPr>
    </w:p>
    <w:p>
      <w:pPr>
        <w:jc w:val="both"/>
        <w:ind w:left="300" w:firstLine="45"/>
        <w:spacing w:after="0" w:line="247" w:lineRule="auto"/>
        <w:rPr>
          <w:sz w:val="20"/>
          <w:szCs w:val="20"/>
          <w:color w:val="auto"/>
        </w:rPr>
      </w:pPr>
      <w:r>
        <w:rPr>
          <w:rFonts w:ascii="Arial" w:cs="Arial" w:eastAsia="Arial" w:hAnsi="Arial"/>
          <w:sz w:val="17"/>
          <w:szCs w:val="17"/>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u w:val="single" w:color="auto"/>
          <w:color w:val="auto"/>
        </w:rPr>
        <w:t>Title of each class</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Common Stock,</w:t>
      </w:r>
    </w:p>
    <w:p>
      <w:pPr>
        <w:ind w:left="840"/>
        <w:spacing w:after="0"/>
        <w:rPr>
          <w:sz w:val="20"/>
          <w:szCs w:val="20"/>
          <w:color w:val="auto"/>
        </w:rPr>
      </w:pPr>
      <w:r>
        <w:rPr>
          <w:rFonts w:ascii="Arial" w:cs="Arial" w:eastAsia="Arial" w:hAnsi="Arial"/>
          <w:sz w:val="18"/>
          <w:szCs w:val="18"/>
          <w:b w:val="1"/>
          <w:bCs w:val="1"/>
          <w:color w:val="auto"/>
        </w:rPr>
        <w:t>$0.01 par value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left="620"/>
        <w:spacing w:after="0"/>
        <w:rPr>
          <w:sz w:val="20"/>
          <w:szCs w:val="20"/>
          <w:color w:val="auto"/>
        </w:rPr>
      </w:pPr>
      <w:r>
        <w:rPr>
          <w:rFonts w:ascii="Arial" w:cs="Arial" w:eastAsia="Arial" w:hAnsi="Arial"/>
          <w:sz w:val="14"/>
          <w:szCs w:val="14"/>
          <w:color w:val="auto"/>
        </w:rPr>
        <w:t>(Exact name of registrant as specified in its charter)</w:t>
      </w:r>
    </w:p>
    <w:p>
      <w:pPr>
        <w:spacing w:after="0" w:line="153" w:lineRule="exact"/>
        <w:rPr>
          <w:sz w:val="24"/>
          <w:szCs w:val="24"/>
          <w:color w:val="auto"/>
        </w:rPr>
      </w:pPr>
    </w:p>
    <w:p>
      <w:pPr>
        <w:ind w:left="380"/>
        <w:spacing w:after="0"/>
        <w:tabs>
          <w:tab w:leader="none" w:pos="2400" w:val="left"/>
          <w:tab w:leader="none" w:pos="3140" w:val="left"/>
          <w:tab w:leader="none" w:pos="4020" w:val="left"/>
        </w:tabs>
        <w:rPr>
          <w:sz w:val="20"/>
          <w:szCs w:val="20"/>
          <w:color w:val="auto"/>
        </w:rPr>
      </w:pPr>
      <w:r>
        <w:rPr>
          <w:rFonts w:ascii="Arial" w:cs="Arial" w:eastAsia="Arial" w:hAnsi="Arial"/>
          <w:sz w:val="18"/>
          <w:szCs w:val="18"/>
          <w:b w:val="1"/>
          <w:bCs w:val="1"/>
          <w:color w:val="auto"/>
        </w:rPr>
        <w:t>9800 N.W. 41st Street,</w:t>
        <w:tab/>
        <w:t>Miami,</w:t>
        <w:tab/>
        <w:t>Florida</w:t>
      </w:r>
      <w:r>
        <w:rPr>
          <w:sz w:val="20"/>
          <w:szCs w:val="20"/>
          <w:color w:val="auto"/>
        </w:rPr>
        <w:tab/>
      </w:r>
      <w:r>
        <w:rPr>
          <w:rFonts w:ascii="Arial" w:cs="Arial" w:eastAsia="Arial" w:hAnsi="Arial"/>
          <w:sz w:val="17"/>
          <w:szCs w:val="17"/>
          <w:b w:val="1"/>
          <w:bCs w:val="1"/>
          <w:color w:val="auto"/>
        </w:rPr>
        <w:t>33178</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(Address of Principal Executive Offices) (Zip Code)</w:t>
      </w:r>
    </w:p>
    <w:p>
      <w:pPr>
        <w:spacing w:after="0" w:line="117" w:lineRule="exact"/>
        <w:rPr>
          <w:sz w:val="24"/>
          <w:szCs w:val="24"/>
          <w:color w:val="auto"/>
        </w:rPr>
      </w:pPr>
    </w:p>
    <w:p>
      <w:pPr>
        <w:ind w:left="160"/>
        <w:spacing w:after="0"/>
        <w:rPr>
          <w:sz w:val="20"/>
          <w:szCs w:val="20"/>
          <w:color w:val="auto"/>
        </w:rPr>
      </w:pPr>
      <w:r>
        <w:rPr>
          <w:rFonts w:ascii="Arial" w:cs="Arial" w:eastAsia="Arial" w:hAnsi="Arial"/>
          <w:sz w:val="18"/>
          <w:szCs w:val="18"/>
          <w:u w:val="single" w:color="auto"/>
          <w:color w:val="auto"/>
        </w:rPr>
        <w:t>Registrant’s telephone number, including area code:</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305  )  428-8000</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Trading Symbol (s)</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WKC</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59-2459427</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(I.R.S. Employer</w:t>
      </w:r>
    </w:p>
    <w:p>
      <w:pPr>
        <w:ind w:left="6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40"/>
        <w:spacing w:after="0"/>
        <w:rPr>
          <w:sz w:val="20"/>
          <w:szCs w:val="20"/>
          <w:color w:val="auto"/>
        </w:rPr>
      </w:pPr>
      <w:r>
        <w:rPr>
          <w:rFonts w:ascii="Arial" w:cs="Arial" w:eastAsia="Arial" w:hAnsi="Arial"/>
          <w:sz w:val="18"/>
          <w:szCs w:val="18"/>
          <w:u w:val="single" w:color="auto"/>
          <w:color w:val="auto"/>
        </w:rPr>
        <w:t>Name of each exchange on which registered</w:t>
      </w:r>
    </w:p>
    <w:p>
      <w:pPr>
        <w:spacing w:after="0" w:line="9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New York Stock Exchange</w:t>
      </w:r>
    </w:p>
    <w:p>
      <w:pPr>
        <w:spacing w:after="0" w:line="468" w:lineRule="exact"/>
        <w:rPr>
          <w:sz w:val="24"/>
          <w:szCs w:val="24"/>
          <w:color w:val="auto"/>
        </w:rPr>
      </w:pPr>
    </w:p>
    <w:p>
      <w:pPr>
        <w:sectPr>
          <w:pgSz w:w="11900" w:h="16838" w:orient="portrait"/>
          <w:cols w:equalWidth="0" w:num="3">
            <w:col w:w="2640" w:space="720"/>
            <w:col w:w="4540" w:space="500"/>
            <w:col w:w="2840"/>
          </w:cols>
          <w:pgMar w:left="320" w:top="229" w:right="339" w:bottom="1440" w:gutter="0" w:footer="0" w:header="0"/>
          <w:type w:val="continuous"/>
        </w:sectPr>
      </w:pPr>
    </w:p>
    <w:p>
      <w:pPr>
        <w:ind w:right="780"/>
        <w:spacing w:after="0" w:line="31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the last business day of the registrant’s most recently completed second fiscal quarter, the aggregate market value of the voting and non-voting common equity held by non-affiliates computed by reference to the market price at which the common equity was last sold was $1.525 billion.</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registrant had a total of 51,278,990 shares of common stock, par value $0.01 per share, issued and outstanding as of February 13,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registrant’s proxy statement relating to its 2026 Annual Meeting of Shareholders, to be filed with the Securities and Exchange Commission pursuant to Regulation 14A under the Securities Exchange Act of 1934, are incorporated by reference to the extent set forth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260" w:type="dxa"/>
            <w:vAlign w:val="bottom"/>
            <w:gridSpan w:val="3"/>
            <w:vMerge w:val="restart"/>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90"/>
        </w:trPr>
        <w:tc>
          <w:tcPr>
            <w:tcW w:w="640" w:type="dxa"/>
            <w:vAlign w:val="bottom"/>
            <w:tcBorders>
              <w:bottom w:val="single" w:sz="8" w:color="0000FF"/>
            </w:tcBorders>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8500" w:type="dxa"/>
            <w:vAlign w:val="bottom"/>
            <w:gridSpan w:val="22"/>
          </w:tcPr>
          <w:p>
            <w:pPr>
              <w:spacing w:after="0"/>
              <w:rPr>
                <w:sz w:val="18"/>
                <w:szCs w:val="18"/>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center"/>
              <w:ind w:left="270"/>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1B.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980" w:type="dxa"/>
            <w:vAlign w:val="bottom"/>
            <w:gridSpan w:val="1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1C.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Cybersecurity</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1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20" w:type="dxa"/>
            <w:vAlign w:val="bottom"/>
            <w:tcBorders>
              <w:top w:val="single" w:sz="8" w:color="0000FF"/>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8140" w:type="dxa"/>
            <w:vAlign w:val="bottom"/>
            <w:gridSpan w:val="1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740" w:type="dxa"/>
            <w:vAlign w:val="bottom"/>
            <w:gridSpan w:val="16"/>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4.</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7300" w:type="dxa"/>
            <w:vAlign w:val="bottom"/>
            <w:gridSpan w:val="14"/>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23</w:t>
            </w:r>
          </w:p>
        </w:tc>
        <w:tc>
          <w:tcPr>
            <w:tcW w:w="0" w:type="dxa"/>
            <w:vAlign w:val="bottom"/>
          </w:tcPr>
          <w:p>
            <w:pPr>
              <w:spacing w:after="0"/>
              <w:rPr>
                <w:sz w:val="1"/>
                <w:szCs w:val="1"/>
                <w:color w:val="auto"/>
              </w:rPr>
            </w:pPr>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100" w:type="dxa"/>
            <w:vAlign w:val="bottom"/>
            <w:tcBorders>
              <w:top w:val="single" w:sz="8" w:color="0000FF"/>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360" w:type="dxa"/>
            <w:vAlign w:val="bottom"/>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24</w:t>
            </w:r>
          </w:p>
        </w:tc>
        <w:tc>
          <w:tcPr>
            <w:tcW w:w="0" w:type="dxa"/>
            <w:vAlign w:val="bottom"/>
          </w:tcPr>
          <w:p>
            <w:pPr>
              <w:spacing w:after="0"/>
              <w:rPr>
                <w:sz w:val="1"/>
                <w:szCs w:val="1"/>
                <w:color w:val="auto"/>
              </w:rPr>
            </w:pPr>
          </w:p>
        </w:tc>
      </w:tr>
      <w:tr>
        <w:trPr>
          <w:trHeight w:val="210"/>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8360" w:type="dxa"/>
            <w:vAlign w:val="bottom"/>
            <w:gridSpan w:val="2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FF"/>
              </w:rPr>
              <w:t>Item 7.</w:t>
            </w:r>
          </w:p>
        </w:tc>
        <w:tc>
          <w:tcPr>
            <w:tcW w:w="2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7A.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520" w:type="dxa"/>
            <w:vAlign w:val="bottom"/>
            <w:gridSpan w:val="7"/>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8.</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9.</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060" w:type="dxa"/>
            <w:vAlign w:val="bottom"/>
            <w:gridSpan w:val="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9A.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7240" w:type="dxa"/>
            <w:vAlign w:val="bottom"/>
            <w:gridSpan w:val="13"/>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380" w:type="dxa"/>
            <w:vAlign w:val="bottom"/>
            <w:gridSpan w:val="24"/>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7"/>
              </w:rPr>
              <w:t>PART III.</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10.</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10"/>
        </w:trPr>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5"/>
              </w:rPr>
              <w:t>Item 11.</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Executive Compensation</w:t>
            </w:r>
          </w:p>
        </w:tc>
        <w:tc>
          <w:tcPr>
            <w:tcW w:w="4740" w:type="dxa"/>
            <w:vAlign w:val="bottom"/>
            <w:gridSpan w:val="8"/>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12.</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20" w:type="dxa"/>
            <w:vAlign w:val="bottom"/>
            <w:gridSpan w:val="2"/>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9"/>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160" w:type="dxa"/>
            <w:vAlign w:val="bottom"/>
            <w:gridSpan w:val="5"/>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14.</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PART IV.</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15.</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720" w:type="dxa"/>
            <w:vAlign w:val="bottom"/>
            <w:gridSpan w:val="10"/>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43</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16.</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Form 10-K Summary</w:t>
            </w:r>
          </w:p>
        </w:tc>
        <w:tc>
          <w:tcPr>
            <w:tcW w:w="7560" w:type="dxa"/>
            <w:vAlign w:val="bottom"/>
            <w:gridSpan w:val="15"/>
          </w:tcPr>
          <w:p>
            <w:pPr>
              <w:spacing w:after="0"/>
              <w:rPr>
                <w:sz w:val="18"/>
                <w:szCs w:val="18"/>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0000FF"/>
                <w:w w:val="99"/>
              </w:rPr>
              <w:t>97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10-K ("2025 10-K Report") as "World Kinect," "we," "our," and "us."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global energy management company offering fulfillment and related services to customers across the aviation, marine, and land transportation sectors. We also supply natural gas along with a complementary suite of sustainability-related products and services.</w:t>
      </w:r>
    </w:p>
    <w:p>
      <w:pPr>
        <w:spacing w:after="0" w:line="4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N.W. 41st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www.world-kinect.com and the investor relations section of our website is located at ir.world-kinect.com.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website and information contained on our website are not part of this 2025 10-K Report and are not incorporated by reference in this 2025 10-K Report.</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reference to a "Note" herein refers to the accompanying Notes to the Consolidated Financial Statements within Part IV. Item 15. – Notes to the Consolidated Financial Statements included in this 2025 10-K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from our segments is generally determined by the volume and the unit margin achieved on fuel resales. Profitability in our segments also depends on our operating expenses, which may be materially affected to the extent that we are exposed to credit losses. Corporate expenses are allocated to each segment based on usage, where possible, or other factors according to the nature of the activity. We evaluate and manage our business segments using the performance measure of income from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information with respect to our business segments, the geographic areas of our business and our customers is provided below and within Note 15. Business Segments, Geographic Information, and Major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global aviation fuel supply and comprehensive service solutions to major commercial, international, and regional airlines, cargo carriers, airports, fixed-based operators, corporate fleets, and charter and fractional operators. Our aviation-related service offerings include fuel management, ground handling, 24/7 global dispatch services, and trip support services, including flight planning and scheduling. We also supply fuel and provide services to U.S. and foreign government and military customers.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that fuel is a major component of an aircraft’s operating costs, our customers require surety of supply and cost-effective fuel services. We have developed an extensive network of on-airport fueling operations and third-party suppliers and service providers that enable us to provide aviation fuel and related services throughout the world. We believe the breadth of our service offerings combined with our global supplier network is a strategic differentiator that allows customers to secure fuel and high-quality services in locations worldwide.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at one of our locations or our suppliers’ locations pursuant to arrangements with them. Inventory is purchased at airport locations or shipped, typically via pipelines or trucks, and held at multiple locations in order to meet the needs of our customers.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us. Our cost of fuel is generally tied to market-based formulas or government-controlled prices. Additionally, we have been taking actions designed to increase the availability of renewable and lower-carbon fuels such as sustainable aviation fuel and are working to expand and develop our supply chain to meet customer demand.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land segment, we sell liquid fuels, natural gas, and related products and services to commercial, industrial, and government customers, as well as retail fuel outlets under long-term contracts. Our typical customers include commercial and industrial enterprises in the transportation, manufacturing, mining, and construction industries. We typically serve as a reseller, where we purchase fuel from a supplier and contemporaneously resell it to our customers through contract and spot sales and using our cardlock network. We primarily conduct these activities throughout North America.</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in "Restructuring and Exit Activities" in Part II. Item 7. – Management's Discussion and Analysis of Financial Condition and Results of Operations, management has initiated actions to execute a plan to exit certain operations within the land segment, including direct fuel transportation services, lubricants, heating oil, power, and certain advisory and sustainability offerings, that are no longer profitable or not aligned with the Company's core business and corporate strategy.</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Going forward, we intend to focus the land segment on our higher margin and more ratable cardlock and retail activities, as well as our natural gas business, that we believe will deliver improved operating leverage, stronger cash flow, and more predictable returns on capital.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dry bulk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marine segment, 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a supplier and an end-user, as well as for expediting delivery of the fuel. The majority of our marine segment activity consists of spot sales under which our cost of fuel is generally tied to spot pricing, market-based formulas, or government-regulated prices. We also contract with third parties to provide various services for our customers, including fueling of vessels in ports and at sea and transportation and delivery of fuel and fuel-related products. Through collaboration with suppliers, customers and other industry participants, we are actively working to identify lower carbon alternatives and solutions that will facilitate the ability of our maritime industry counterparties to achieve their energy transition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from large multinational corporations, which have significantly greater capital resources than us, to relatively small and specialized firms that compete with us in a particular line of business. In our fuel distribution activities, we compete with major oil companies that market fuel and other energy products directly to large commercial airlines, shipping companies, distributors, resellers and other commercial and industrial customers.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effectively in the markets that we 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results can be subject to seasonal variability resulting from numerous factors. Our results for the second and third quarters of the year have historically been stronger for our aviation segment as a result of demand changes related to seasonal travel. In the land segment, while our results for the fourth and first quarters of the year have historically been stronger as a result of weather patterns, we expect less seasonal impact following the completion of our exit activities as discussed in "Restructuring and Exit Activities" in Part II. Item 7. – Management's Discussion and Analysis of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impacts on the environment. Our business activities are subject to numerous federal, state, local and international laws, treaties, regulations and administrative requirements,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(ii) impose ambient standards and, in some cases, emission standards, for air pollutants that may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other means; fuel storage terminals or underground storage tanks that we own, lease or operate; or the quality of product under our control may require capital expenditures and increased operating and maintenance costs, particularly as we continue to expand our physical operations.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Environmental laws and regulations have historically been subject to frequent change and have tended to become more stringent and costly over time.</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be subject to joint and several as well as strict liability for environmental contamination or violations of environmental regulations. Some of our current and former properties have been operated by third parties whose handling and management of hazardous materials were not under our control. Pursuant to certain environmental laws, we could be responsible for investigating and remediating contamination, including impacts attributable to prior site occupants or other third parties, and for implementing remedial measures to mitigate the risk of future contamination. In some cases, we may be eligible to receive money from state underground storage tank trust funds to help fund remediation. However, receipt of such payments is subject to stringent eligibility requirements and other limitations that can significantly reduce the availability of such trust fund payments and may delay or increase the duration of associated cleanups. Any such contamination, leaks from storage tanks or other releases of regulated materials could result in claims against us by governmental authorities and other third parties for fines or penalties, natural resource damages, personal injury and property damage.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legal and administrative actions governing the investigation and remediation of contamination, spills, or other environmental effects from current and past operations. The penalties for violations of environmental laws can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 and Sustainability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 adopted, or are considering the adoption of, regulatory frameworks to reduce greenhouse gas ("GHG") emissions. In the U.S., the U.S. Environmental Protection Agency ("EPA")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California, Oregon and Washington, which have formally enacted cap-and-trade programs and low carbon fuel standard ("LCFS") obligations. Other states are also considering the adoption of LCFSs, with New Mexico authorizing a Clean Transportation Fuel Standard that is expected to go into effect by July 1, 2026.</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 federal law and policy continues to evolve. The U.S. signed the Paris Agreement in April 2016, withdrew in August 2017, rejoined in January 2021 and then withdrew again in January 2025. In August 2022, the Inflation Reduction Act of 2022 (the "IRA") was signed into law, appropriating significant federal funding for renewable energy initiatives and imposing a fee on methane emissions from certain facilities in the oil and natural gas sector. However, the emissions fee was overturned by a joint congressional resolution in February 2025. In July 2025, the One, Big, Beautiful Bill Act ("OBBBA") was signed into law, substantially modifying and extending certain IRA tax provisions. Additionally, while the SEC adopted climate-change related disclosure requirements in March 2024, the SEC stayed its rules and voted to withdraw its defense of such rules in pending litigation in March 2025. In February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2026, the Trump administration moved to rescind the EPA’s 2009 "endangerment finding" under the Clean Air Act, eliminating the legal basis for regulating greenhouse gases and rolling back certain climate rules. As a result of these and other developments, the scope and implementation of climate-related disclosure obligations, greenhouse gas regulation, and federal tax incentives for renewable and low-carbon energy projects have shifted and remain subject to ongoing legal, regulatory, and legislative developments.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 international level, the European Union ("E.U.") has committed to reducing net GHG emissions by at least 55% by 2030. E.U. member states have implemented a range of subsidies and incentives to achieve the E.U.’s climate change goals, including through the European Union Emissions Trading System (‘‘E.U. ETS’’) for industrial emissions. The E.U. ETS is expected to become progressively more stringent over time, such as by including by reducing the number of allowances to emit GHGs as well as broadening the industries subject to the restrictions. In other non-E.U. countries, regulations include the adoption of cap and trade regimes, carbon taxes, restrictive permitting, increased efficiency standards, and incentives or mandates for renewable energy.</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requirements related to environmental, social and governance ("ESG") or sustainability reporting have been adopted and may continue to be introduced in various jurisdictions. The E.U.'s Corporate Sustainability Reporting Directive was adopted in December 2022, although a December 2025 amendment delayed its application, simplified its reporting requirements and significantly narrowed the scope of subject companies. California has enacted the Climate Corporate Data Accountability Act, with initial emissions data reports due in August 2026, and the Climate Related Financial Risk Act, which is subject to a preliminary injunction issued in the Ninth Circuit in November 2025, that will, if implemented, require reporting of climate-related financial risks. California has also enacted the Voluntary Carbon Market Disclosures Act, which requires companies that operate within the state and make certain climate-related claims to provide enhanced disclosure around the achievement of such claims. Given these evolving policy changes across jurisdictions, we anticipate continued movement in ESG matters worldwide, but the ultimate scope, timing, and assurance requirements applicable to us and our value chain remain uncertain.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vendors and customers, or could adversely affect demand for our energy products. The potential increase in our operating costs could include additional costs to operate and maintain our facilities, such as installing new infrastructure or technology to respond to new mandates, or paying taxes or fees related to our GHG emissions, among others. Furthermore, changes in regulatory policies or increased awareness and any adverse publicity in the global marketplace about potential impacts on climate change by us, or other companies in our industry, could result in a reduction in the demand for hydrocarbon products that are deemed to contribute to GHGs, harm our reputation and adversely impact our sales of fuel products. See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organization with customers and operations around the world, we are subject to an often complicated, multi-jurisdictional matrix of laws, regulations and policies that govern international trade, including laws relating to anti-corruption, anti-money-laundering, export controls, economic sanctions, anti-boycott rules, currency exchange controls and transfer pricing rules. These laws, regulations and policies continue to evolve and often become more stringent over time. Changes to trade policies, including the imposition of tariffs and retaliatory tariffs or other trade measures, or the renegotiation of existing trade arrangements with the U.S. or countries where we have significant sales, procure products, or recruit and employ employees, could impact our business. As a result of the military conflict in Eastern Europe, countries in which we operate have imposed economic sanctions, export controls, and other trade restrictions on Russia and Belarus and other individuals and entities with connections to the Russian and Belarusian nations. Violations of these laws, regulations and policies can result in significant penalties and civil and criminal liabilities.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and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workplace and driver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petroleum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 rights and modern slavery;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antitrust and 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regulatory reporting and licensing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in addition to any regulatory, civil, or criminal penalties imposed, we would be required to correct or implement measures to prevent a recurrence of any violations, which could increase our operating costs. See Item 1A. – Risk Factors for additional information regarding the impacts of government regulation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World Kinect, we believe that our people's passion and expertise are what differentiates us, and we are deeply committed to investing in their growth and success. Our comprehensive approach to serving our workforce includes our commitment to promoting an inclusive environment, as well as focusing on our employees' growth and development, health and safety, and overall well-being. The following charts provide information about our global workforce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37555"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755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global energy management company, we continually seek to minimize the impact of our operations and ensure the health and safety of our employees, contractors, customers, suppliers and the communities in which we operate. We are actively striving to promote best practices within the transportation industry and are closely involved in developing, setting, and maintaining health, safety and environment ("HSE") industry standards. We have established a set of "Rules to Live By" to help strengthen our existing Integrated Management System and promote appropriate safety behaviors and practices that we believe are vital to preventing workplace incidents.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developed what we believe to be a comprehensive process designed to identify, assess and manage HSE risks in our operations. We set targets for performance improvements, regularly measure, audit and report on our performance, and investigate near misses and incidents to determine root causes to prevent similar incidents from occurring in the future. We also expect our contractors to manage HSE matters in line with our policies and include an HSE component in our contractors' performance appraisals.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Representing a Global Workforce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that representative, talented teams, across all levels and areas of our organization, are a key part of our success. We continue to strengthen our talent pipelines, hone our hiring processes, and are committed to competitive and transparent pay to attract and retain talent. In this regard, we are working on increasing transparency across our company, particularly around our talent recruitment, development and retention efforts and conducting comprehensive assessments of the strengths and growth opportunities for our employees.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Developing Our People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Through hands-on learning experiences, training, coaching and development programs, we believe we have fostered a culture that empowers our people to succeed. We are committed to providing opportunities for both career enhancement and advancement paths, which is why we have taken measures to provide professional development opportunities and strive to recruit and cultivate a wide range of talent.</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take a holistic approach to providing support and resources that empower our employees and their families to cultivate well-being and personal excellence. For example, we offer competitive compensation packages composed of salaries, incentive bonuses, various forms of equity awards and comprehensive benefits packages. Additionally, we have launched various programs designed to integrate employee health and well-being into our culture through events, webinars, activities and fitness challenges.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2025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"ability," "achieve," "can," "forecast," "grow," "intend," "may," "potential," "predict," "remain," "seek," "strategy," "target," or words or phrases of similar meaning. Specifically, this 2025 10-K Report includes forward-looking statements regarding (i) expectations regarding macroeconomic conditions, including inflation and its impact on us, (ii) conditions in the aviation, land, and marine markets and their impact on our business, (iii) growth in our core businesses, (iv) the impact of fuel prices and our working capital, liquidity, and capital expenditure requirements, (v) our expectations and estimates regarding tax, legal and accounting matters, including the impact on our financial statements, (vi) our hedging strategy, (vii) our acquisitions, divestitures, restructurings and other strategic transactions (viii) global trade trends and patterns, including the impact of tariffs, and (ix) estimates regarding the financial impact of our derivative and other trading contracts. Our forward-looking statements are qualified in their entirety by cautionary statements and risk factor disclosures contained in our SEC filings.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tariffs or retaliatory tariffs and other trade measures, or renegotiation of existing trade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market prices of, or an unexpected shortage or disruption in the supply of, energy or commodities or extremely high or low fuel prices that continue for an extended period of time;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technology or security related incidents on us, our customers or other 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including as a result of the current conflicts in Eastern Europe and the Middle East, and uncertainty in Venezuela;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 or fully realize the anticipated benefits of our acquisitions, divestitures and other strategic transactions;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complete divestitures in accordance with anticipated timing;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proliferation of alternative fuel which could result in lower global demand for certain energy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pandemics, terrorism, power outages, and other events that could impact demand for fuel;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and trade measures or other arrangements between or among sovereign nations;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this 2025 10-K Report and those described from time to time in our other filings with the SEC.</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2025 10-K Report will be deemed to modify or supersede such forward-looking statements.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risks and all the other information contained in this 2025 10-K Report in evaluating us and our common stock. Although the risks are organized by headings, and each risk is discussed separately, many are interrelated. Our business, financial condition, results of operations and cash flows could be materially and adversely affected by these risks, and, as a result, the trading price of our common stock could decline. We have in the past been adversely affected by certain of, and may in the future be affected by, these risks.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extend credit to many of our customers in connection with their purchase of fuel and services from us, and our business, financial condition, results of operations and cash flows will be adversely affected if we are unable to collect accounts receivable. </w:t>
      </w:r>
      <w:r>
        <w:rPr>
          <w:rFonts w:ascii="Arial" w:cs="Arial" w:eastAsia="Arial" w:hAnsi="Arial"/>
          <w:sz w:val="18"/>
          <w:szCs w:val="18"/>
          <w:color w:val="auto"/>
        </w:rPr>
        <w:t>Our success in attracting customers has been partly due to our willingness to extend credit on an unsecured basis to customers instead of requiring prepayment, letters of credit or other forms of credit support. Even in cases where we do obtain credit enhancements, such as guarantees, offset rights, collateral or other forms of security, such rights may not be sufficient to ensure amounts owed to us are fully collectible. Furthermore, our credit risk is concentrated in the aviation, land and marine transportation industries, which exposes us to greater risk when there are global impacts to these industries.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factors include decreased demand for travel and other transportation services, weakness in the world economy or in the industries we serve, significant changes in oil prices and political instability, among others. Sudden or unexpected negative changes in the financial condition of our customers, including insolvency or bankruptcy, can have a negative impact on our sales, make it more difficult to collect on receivables, and cause us to incur bad debt expense at levels higher than we have historically experienced.</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efforts to manage our credit exposure and respond to changes in our customers' financial condition and other macroeconomic events may not be sufficient to mitigate these risks. Substantial credit losses could have a material and adverse effect on our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prices of energy and commodities may have a material adverse effect on our business.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Energy and commodity prices and supply are volatile and can be impacted by many factors beyond our control, including: expectations about future supply and demand for petroleum products and availability of alternatives, including the technological developments necessary to create alternatives; oil production levels set and maintained by the Organization of the Petroleum Exporting Countries ("OPEC") as well as non-OPEC countries; global economic and political conditions that impact or create uncertainty in the global energy markets, such as the ongoing military conflicts in Eastern Europe and the Middle East, and uncertainty in Venezuela, and threatened or actual acts of terrorism, war or civil unrest; the imposition of tariffs in the U.S. and retaliatory tariffs and trade measures in response thereto; laws, regulations or taxes related to environmental matters, including those mandating or incentivizing alternative energy sources, such as the E.U.'s sustainable aviation fuel mandate on fuel supplied at E.U. airports, or otherwise addressing global climate change; energy conservation efforts and technological advances affecting energy consumption or supply; regulatory changes in commodities markets; and extreme weather and other natural disasters, which may be exacerbated by climate change.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above, we extend credit to many of our customers in connection with their purchase of fuel and services from us. During periods of high fuel prices, our customers may not be able to purchase the same volumes of fuel from us because of their financial credit limits with us. An inability to purchase fuel from us or other suppliers can have an adverse impact on their business, causing them to be unable to make payments owed to us for fuel they previously purchased on credit and potentially resulting in their insolvency. In addition, high fuel prices can impact our own credit limits with our suppliers, preventing us from purchasing enough fuel to meet customer demand unless we provide additional credit support for fuel purchases, such as letters of credit, bank guarantees or prepayments, any of which could adversely impact our liquidity and increase our working capital costs.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us.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because of the lower working capital requirements.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also experience negative results in volatile market pricing environments experiencing severe disruption. For example, in the first six months of 2022, our aviation segment was significantly and adversely affected by severe backwardation, a market condition in which oil futures forward prices trade at lower levels than the current market price. Our efforts to limit our exposure to this type of market risk may not be fully effective.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we maintain fuel inventories for competitive and logistical reasons. Significant variations in the market prices of products held in our inventories may require us to record inventory valuation charges. Our inventory is principally valued using the weighted average cost methodology and is stated at the lower of average cost or net realizable value. Hedging transactions we undertake to limit the financial effects of commodity price fluctuations may not be fully effective. Accordingly, if the market value of our inventory is less than our average cost and to the extent our hedges are not effective at mitigating the impacts of price fluctuations, we may be required to record a write-down of inventory on hand and incur a non-cash charge or suffer losses as fuel is sold, which can adversely impact our earnings.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events affecting the aviation, marine and land transportation industries can affect our business.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focused on the marketing of energy and other related products and services primarily to the aviation, land and marine transportation industries, which are generally affected by economic cycles and other global events. Weak economic conditions that have a negative impact on our customers' business have in the past and may in the future have an adverse effect on our business. Additionally, our business and that of our customers has been or may in the future be adversely impacted by political instability, terrorist activities, piracy, military action, transportation, terminal or pipeline capacity constraints, pandemics, natural disasters and other weather-related events that disrupt shipping, flight operations, land transportation or the availability of fuel, which may negatively impact sales of our products and services. Certain of our customers are affected by variations in demand for business and leisure travel. Business travel is impacted by increased use of conferencing and collaboration technology, increased remote work and cost-driven business travel limitations, while leisure travel demand is impacted by reductions in consumer discretionary income and other economic factors. Our customers may also choose to reduce the amount of fuel they consume in their operations. For example, our customers in the shipping industry may elect to sail their vessels at reduced speeds, known as "slow steaming," to conserve fuel and reduce emissions. Additionally, political or governmental developments or global health concerns or crises, including pandemics and climate change, in the countries in which we or our customers operate could result in social, economic or labor instability. Further, personnel or other shortages can impact our customers’ ability to meet demand, which may in turn adversely affect their demand for our fuel products. Accordingly, the effects of any of the foregoing risks and uncertainties on us or our customers could have a material adverse effect on our business, results of operations and financial condition.</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may also be adversely affected by consolidation in the aviation, land or marine transportation industries, which may reduce the number of customers that purchase our products and services. Larger shipping companies and airlines often have greater leverage and have a greater ability to buy directly from major oil companies and suppliers. Accordingly, this can negatively impact our value proposition to these types of customers and increase the risk of disintermediation.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business interruptions and casualty losses.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operations have in the past and may in the future be subject to business interruptions and casualty losses, such as fires, floods and other catastrophic incidents or events; vehicle collisions, injuries and loss of life; spills, discharges, contaminations and other releases; severe damage and destruction of property and equipment; and loss of product and business interruption.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of the foregoing has in the past and may in the future result in distribution difficulties and disruptions, environmental pollution, government-imposed fines or clean-up obligations, personal injury or wrongful death claims, or damage to our properties or the properties of others. The occurrence of any of these events could also damage our reputation, which could adversely affect our business, whether or not we are ultimately held financially liable for such event. While we keep business continuity plans to address these and other types of contingencies, our failure to timely or properly implement our business continuity plans could exacerbate the impact on the business. Certain losses may exceed our insurance coverage limits or be outside the scope of our coverage. If any of our third-party insurers fail, become insolvent, cancel our coverage or otherwise are unable to provide us with adequate insurance coverage, or we are unable to renew our insurance coverage on reasonable terms, then our overall risk exposure and our operational expenses would increase. If we are held liable for any material damages, and the liability is not adequately covered by insurance, our financial position and results of operations would be adversely affected.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difficult. Accordingly, we may be forced to incur significant costs in maintaining or even exiting a physical location, which would have an adverse effect on our results of operations.</w:t>
      </w:r>
    </w:p>
    <w:p>
      <w:pPr>
        <w:spacing w:after="0" w:line="6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the proper functioning and availability of both internal and third-party information technology systems, including network infrastructure and cloud applications and services, to support a variety of business processes and activities across our global operations. All information technology systems are subject to disruptions, outages, failures, and security breaches or incidents. Cybersecurity incidents have in the past and may in the future arise from employee or contractor error or misuse or unauthorized use of information technology systems or confidential information, individual attempts to gain unauthorized access to these information systems, and sophisticated cybersecurity attacks, known as advanced persistent threats, any of which may impact us directly or indirectly through our customers, suppliers or third-party service providers.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Cybersecurity incidents and attacks are increasing in number, attackers are increasingly organized and well-financed and at times supported by state-sponsored actors, and attacks often target critical infrastructure. Additionally, the use of artificial intelligence and other emerging technologies, such as generative artificial intelligence, may enable more automated and effective attacks. Cybersecurity incidents can remain undetected for a period of time despite efforts to detect and respond to them in a timely manner. Cybersecurity incidents and similar attacks vary in their form and can include the deployment of harmful malware or ransomware, denial-of-services attacks, and other attacks, which may affect business continuity and threaten the availability, confidentiality and integrity of our systems and information. Cybersecurity incidents can also affect third-party networks outside of our control that are required to operate trading platforms, pipelines, and other infrastructure we rely on to conduct our business, together with the financial systems we rely upon to send and receive funds throughout the world. For example, in 2021, a U.S. pipeline company temporarily shut down its pipeline system following a ransomware attack on its systems. Cybersecurity incidents and other technology failures can also affect the sectors in which our customers operate. In 2024, a well-publicized incident involving a major cybersecurity company resulted in widespread crashes of information technology systems into which the cybersecurity company’s products were integrated, causing significant impacts to the banking, transportation and other industries. While these incidents did not have a material adverse impact on us, future cyberattacks, incidents and disruptions affecting the banking, transportation, or other industries, or pipelines and other critical fuel delivery infrastructure, could significantly impact us.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exposed to risks associated with the failure of our employees, customers, business partners and other third parties to use appropriate controls to protect sensitive information, due to risks associated with social engineering (e.g., phishing and impersonation), fraud and email scams. External parties have in the past and may in the future attempt to fraudulently induce employees, customers, suppliers or other users of our systems to disclose sensitive information to gain access to our data or use electronic means to induce us to enter into fraudulent transactions. We may also face increased cybersecurity risk and threats for a period of time after acquisitions as we transition the acquired entity’s historical systems and networks to our standards.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and make operational and financial decisions or damage our reputation with customers or suppliers, particularly in the event of billing errors or payment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delays. Similarly, if our or any of our business partners' or cloud service providers' access to cloud-based or similar platforms and services is disrupted for any reason and leads to disruptions in our critical systems, our operations and ability to manage our business could be adversely impacted, which has occurred in the past and may occur in the future. We may not have sufficient recourse against these parties in the event they experience a significant cybersecurity incident or similar attack or other security breach affecting our or our customers' data.</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cybersecurity and infrastructure protection technologies, disaster recovery plans and systems, employee training and vendor risk management that we use to mitigate cybersecurity threats may not be sufficient to defend us against all unauthorized attempts to access our information or impact our systems. 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We have experienced and our third-party providers have experienced, and expect to continue to experience, cybersecurity events. To our knowledge, we have not experienced any material losses relating to cybersecurity events. However, there can be no assurance that we will not suffer material losses in the future. We currently maintain insurance to protect us from certain losses arising as a result of cybersecurity incidents, but this insurance may not be sufficient to cover the financial, legal, business or reputational losses that may result from such incidents and there is no guarantee that such coverage will continue to be available on commercially reasonable terms or at all. Any of the adverse effects described above could damage our brand, competitiveness and ability to conduct our business, impact our credit and risk exposure decisions, cause us to lose customers or revenues, subject us to significant remediation costs, litigation or regulatory actions, loss or corruption of data, costs related to remediation or the payment of ransom, fines and penalties, or otherwise have a material and adverse effect on our business, financial condition, results of operations and cash flows.</w:t>
      </w:r>
    </w:p>
    <w:p>
      <w:pPr>
        <w:spacing w:after="0" w:line="7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have acted and may in the future act as a counterparty in over-the-counter swap transactions with some of our customers where the customer may be required to pay us in connection with changes in the price of the underlying energy product. Further, we have and may in the future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result in additional costs and have in the past and may in the future require cash deposits for margin calls. If there is a sudden significant change in fuel prices, the amount of cash necessary to cover margin calls can be material and impact our liquidity.</w:t>
      </w:r>
    </w:p>
    <w:p>
      <w:pPr>
        <w:spacing w:after="0" w:line="68"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b w:val="1"/>
          <w:bCs w:val="1"/>
          <w:color w:val="auto"/>
        </w:rPr>
        <w:t>We are exposed to various risks in connection with trading activities and our use of derivatives, which could have a material adverse effect on our results of operations.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financial derivative contracts to mitigate the risk of market price fluctuations in energy products and currency exchange rates, to offer our customers energy pricing alternatives to meet their needs, and to manage price exposures associated with our inventories. Despite our efforts to mitigate risks associated with these transactions, we remain subject to substantial energy price and exchange rate risks.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efforts to hedge our exposure to fluctuations in energy prices and exchange rates have in the past and may in the future also be ineffective when the prices of historically correlated commodities diverge from their historical correlations. For example, we hedge jet fuel prices with derivatives tied to other petroleum products that have historically been correlated to aviation jet fuel (e.g., heating oil in the U.S. or gasoil in Europe or Asia). If the price of aviation jet fuel at a specific location diverges from historical correlations, our attempts to mitigate price risk associated with our aviation business may not be effective. We may, as a component of our overall business strategy, increase or decrease from time to time our use of such hedging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 the past and may in the future also enter into proprietary derivative transactions that are not intended to hedge our own risk but are instead intended to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derivative and other trading transactions, including our energy trading transactions, are subject to employee and system risks. Our employees have in the past and may in the future fail to comply with our policies and procedures, may engage in unauthorized trading activity, may fail to comply with our internal limits on exposure or any applicable statutory or regulatory requirements, or may otherwise make errors in connection with the trading process. These and other risks may result in substantial losses. For example, as previously disclosed in a Form 8-K filed with the SEC on November 27, 2023, in November 2023, one of our subsidiaries submitted an erroneous bid in the Finnish power market. During the fourth quarter of 2023, the Company recognized related extraordinary losses totaling $48.8 million in connection with such bid. See Note 10. Commitments and Contingencies for additional information.</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the enforceability of our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many of our derivative transactions are not designated as hedges for accounting purposes.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because of gains or losses may cause our earnings to fluctuate from period to period, and such fluctuation may be significant.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depends on the availability and supply of fuel and fuel-related products, as well as the satisfactory performance of services by us or third parties on our behalf. If the fuel and other products we sell or the services we provide, whether directly or through a third party, fail to meet the requirements we have agreed to with customers or those mandated by law or regulation, whether due to contamination, arising in connection with our advisory services or otherwise, our relationship with our customers can be adversely affected, and we have in the past and may in the future be subject to material claims and liabilities. Changes in product quality specifications or blending requirements have in the past and may in the future increase or reduce demand, impact our throughput volume, require us to incur additional costs or require capital expenditures. For example, the E.U.'s sustainable aviation fuels mandate requires a minimum percentage of sustainable aviation fuel, which began at 2% in 2025 and will reach 6% by 2030. The introduction of this mandate has led to a significant surge in demand that has outpaced supply, and our business and reputation could be adversely impacted if we are unable to meet the demand for sustainable aviation fuels on a timely basis or at all. We have in the past and may in the future also incur material liabilities if our products cause physical damage to a vessel or aircraft, bodily injury or result in the assertion of substantial claims of civil liability against us. In addition, adverse publicity about any allegations of contaminated products may negatively impact our business, regardless of whether such allegations are true.</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our agreements with suppliers generally provide that we have recourse against them for products that fail to meet contractual specifications, such recourse may be time-barred or otherwise insufficient to adequately cover the liability we may incur and our ability to enforce such recourse may be limited or costly. For example, we may enter into supply agreements with foreign entities, including foreign governments, that are subject to the laws of foreign jurisdictions. We may incur substantial costs in seeking to enforce our rights against a local supplier in a foreign jurisdiction and the ultimate outcome can be unpredictable. In certain markets, we have in the past and may in the future rely on a single or limited number of suppliers to sell us fuel or provide services on our behalf. We have in the past and may in the future have limited alternatives if such supplier fails to meet applicable standards 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requirements. Any of the foregoing can result in material liabilities that may exceed any applicable insurance coverage or other form of recourse and ultimately, could have a material adverse effect on our business, financial condition, results of operations and cash flows.</w:t>
      </w:r>
    </w:p>
    <w:p>
      <w:pPr>
        <w:spacing w:after="0" w:line="45" w:lineRule="exact"/>
        <w:rPr>
          <w:sz w:val="20"/>
          <w:szCs w:val="20"/>
          <w:color w:val="auto"/>
        </w:rPr>
      </w:pPr>
    </w:p>
    <w:p>
      <w:pPr>
        <w:ind w:right="1040"/>
        <w:spacing w:after="0" w:line="260" w:lineRule="auto"/>
        <w:rPr>
          <w:sz w:val="20"/>
          <w:szCs w:val="20"/>
          <w:color w:val="auto"/>
        </w:rPr>
      </w:pPr>
      <w:r>
        <w:rPr>
          <w:rFonts w:ascii="Arial" w:cs="Arial" w:eastAsia="Arial" w:hAnsi="Arial"/>
          <w:sz w:val="18"/>
          <w:szCs w:val="18"/>
          <w:b w:val="1"/>
          <w:bCs w:val="1"/>
          <w:color w:val="auto"/>
        </w:rPr>
        <w:t>We may be unable to successfully integrate our acquisitions or fully realize the anticipated benefits of our acquisitions, divestitures and other strategic transactions.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pursue acquisitions, divestitures and other strategic transactions. For example, on May 1, 2024, we completed the sale of our Avinode Group and our portfolio of aviation fixed-based operator software products, on December 13, 2024, we completed the sale of our land and marine subsidiaries in Brazil (the "Brazil sale"), on April 9, 2025, we signed and closed on the sale of WFL (UK) Ltd., which represents our U.K. land fuels business (the "Watson Fuels sale"), and on November 5, 2025, we completed the acquisition of Universal Weather and Aviation's Trip Support Services division ("Universal TSS").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integration of acquired businesses with our existing business can be complex, costly and time-consuming. We have incurred, and expect to continue incurring, expenses related to the integration of businesses we acquire. The success of our acquisitions depends on our ability to successfully combine our existing business with acquired businesses and realize the anticipated benefits from such acquisitions, including synergies, cost savings, earnings growth, and operational efficiencies.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in the past not achieved, and we may not be able to achieve in the future the level of benefit that we expect to realize from our past or future restructuring activities or divestitures. For example, we may be unable to produce returns on the reinvestment of proceeds that are greater than that of the divested activity. We may also materially alter various aspects of our business, or our business model, and we cannot provide any assurances that such changes will be successful or that they will not ultimately have a negative effect on our business and results of operations. Selling businesses is a difficult and complex process, and our assumptions about the timing and sales price may not be accurate. Anticipated buyers may also pull out or otherwise fail to close deals, resulting in potential economic loss. Finally, restructuring activities and divestitures may result in restructuring charges and material write-offs, including those related to goodwill and other intangible assets, as well as ongoing indemnity obligations to purchasers. For example, we recorded goodwill impairment charges during the three months ended June 30, 2025 following our exit from the U.K. land fuels business, as part of the evolution of our strategy we completed our reassessment of the remaining business lines within the land reporting unit, and during the three months ended December 31, 2025 we further evaluated our expectations for the land reporting unit taking into consideration the impact of the fourth quarter exit activities and weaker-than-expected performance driven by continued challenging market conditions in the third and fourth quarters of 2025. See "A material impairment of our goodwill or intangible assets could reduce our earnings or adversely impact our results of operations." below as well as Note 2. Acquisitions and Divestitures and Note 7. Goodwill and Identifiable Intangible Assets.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Acquiring, integrating and exiting businesses may place a strain on our management, operations and financial resources, and expose us to additional risks and unexpected expenses, some of which we have experienced in the past and which we may experience in the future, including:</w:t>
      </w:r>
    </w:p>
    <w:p>
      <w:pPr>
        <w:spacing w:after="0" w:line="63" w:lineRule="exact"/>
        <w:rPr>
          <w:sz w:val="20"/>
          <w:szCs w:val="20"/>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and difficulties in efficiently integrating the operations, financial reporting, IT systems, technology, and personnel of acquired businesses or of new business operations;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managing acquired businesses while maintaining consistent standards, controls and risk management processes appropriate for a public company;</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estimates and judgments when evaluating the various risks and opportunities of the acquired business that may ultimately prove to be incorrect;</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impacts of changes in management on existing business relationships and other disruptions of the acquired business;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into markets in which we may have no or limited direct prior experience;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retaining key employees, customers or suppliers of the acquired businesses;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or increased indebtedness if we use a material portion of our available cash or borrowing capacity to fund acquisitions;</w:t>
      </w:r>
    </w:p>
    <w:p>
      <w:pPr>
        <w:spacing w:after="0" w:line="44" w:lineRule="exact"/>
        <w:rPr>
          <w:rFonts w:ascii="Arial" w:cs="Arial" w:eastAsia="Arial" w:hAnsi="Arial"/>
          <w:sz w:val="18"/>
          <w:szCs w:val="18"/>
          <w:color w:val="auto"/>
        </w:rPr>
      </w:pPr>
    </w:p>
    <w:p>
      <w:pPr>
        <w:ind w:left="580" w:right="20" w:hanging="329"/>
        <w:spacing w:after="0" w:line="28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hanging="329"/>
        <w:spacing w:after="0" w:line="28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indemnities, or security supporting such indemnities, from sellers in an acquisition or ongoing indemnity obligations to purchasers in a divestiture.</w:t>
      </w:r>
    </w:p>
    <w:p>
      <w:pPr>
        <w:spacing w:after="0" w:line="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undertake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to government customers subject us to additional risks.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supply fuel and provide equipment and services to U.S. and foreign government and military customers. Government sales are materially impacted by factors such as administration policy changes, including the government's ability to unilaterally cancel or renegotiate contracts or renounce or default on obligations, as well as supply disruptions, inventory shortages and other logistical difficulties that can arise when conducting business in areas with active military conflicts, natural disasters or other severe circumstances. Moreover, there has been in the past and may be in the future a risk of serious injury or loss of life for our employees or subcontractors when operating in high-risk locations. We may therefore incur substantial operating costs as a result of, among other things, hostility-related product losses, the need to use alternate supply routes, and increased security requirements, particularly where our facilities are likely to be subject to terrorist activity or extreme weather-related impacts.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complying with government contracting rules and regulations is complex and government customers routinely audit contractors to review performance, cost structure and compliance with applicable laws, regulations, and standards, as well as the adequacy of and compliance with internal control systems and policies. Any inadequacies in our systems and policies has in the past and could in the future result in payments being withheld, penalties and reduced future business. Improper or illegal activities, including those caused by our subcontractors, could also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or results of operations. See Part I. Item 1. – Business of this 2025 10-K Report for additional details regarding applicable laws and regulations.</w:t>
      </w:r>
    </w:p>
    <w:p>
      <w:pPr>
        <w:spacing w:after="0" w:line="77" w:lineRule="exact"/>
        <w:rPr>
          <w:sz w:val="20"/>
          <w:szCs w:val="20"/>
          <w:color w:val="auto"/>
        </w:rPr>
      </w:pPr>
    </w:p>
    <w:p>
      <w:pPr>
        <w:ind w:right="1060"/>
        <w:spacing w:after="0" w:line="260" w:lineRule="auto"/>
        <w:rPr>
          <w:sz w:val="20"/>
          <w:szCs w:val="20"/>
          <w:color w:val="auto"/>
        </w:rPr>
      </w:pPr>
      <w:r>
        <w:rPr>
          <w:rFonts w:ascii="Arial" w:cs="Arial" w:eastAsia="Arial" w:hAnsi="Arial"/>
          <w:sz w:val="18"/>
          <w:szCs w:val="18"/>
          <w:b w:val="1"/>
          <w:bCs w:val="1"/>
          <w:color w:val="auto"/>
        </w:rPr>
        <w:t>Inability to adapt to and manage the benefits and risks of artificial intelligence could expose us to liability or put us at a disadvantage.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Artificial intelligence could disrupt certain aspects of our business and change use of technology in ways that are not yet known. Artificial intelligence technologies are subject to a variety of laws and compliance risks, including intellectual property, data protection and privacy, cybersecurity, consumer protection, competition, and equal opportunity laws, and are expected to be subject to increased regulation and new laws or new applications of existing laws. The use of artificial intelligence may also result in litigation, ethical concerns, and other legal and business risks. If we are not able to adapt and effectively incorporate potential advantages of artificial intelligence in our business, it may negatively impact our ability to compete. If we are not able to effectively govern the use and manage the risks of artificial intelligence, we may suffer harm to our results of operations and reputation.</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Some of our workforce is unionized, and we may face labor disruptions and cost increases that adversely affect our business. </w:t>
      </w:r>
      <w:r>
        <w:rPr>
          <w:rFonts w:ascii="Arial" w:cs="Arial" w:eastAsia="Arial" w:hAnsi="Arial"/>
          <w:sz w:val="18"/>
          <w:szCs w:val="18"/>
          <w:color w:val="auto"/>
        </w:rPr>
        <w:t>Some of our employees, including many of our drivers that transport fuel products, are represented by labor unions under collective bargaining agreements. Additional unionization of our workforce, wage negotiations with unions or renegotiation of collective bargaining agreements have in the past and may in the future result in increased labor costs or other terms that are less favorable to us, or a strike or work stoppage. Any strike, work stoppage or other dispute with unions representing our employees (or representing employees of third parties who provide us services or operate assets or upon which we otherwise rely to distribute products or deliver services) could have a material adverse effect on our results of operations and cash flows. Our customers have in the past and may in the future also experience strikes or other labor disputes that could reduce their demand for our products and services or their ability to pay for products and services already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risks associated with doing business internationally, such as:</w:t>
      </w:r>
    </w:p>
    <w:p>
      <w:pPr>
        <w:spacing w:after="0" w:line="99" w:lineRule="exact"/>
        <w:rPr>
          <w:sz w:val="20"/>
          <w:szCs w:val="20"/>
          <w:color w:val="auto"/>
        </w:rPr>
      </w:pPr>
    </w:p>
    <w:p>
      <w:pPr>
        <w:ind w:left="580" w:hanging="329"/>
        <w:spacing w:after="0" w:line="28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economic sanctions, export controls, and import or export restrictions, including licensing requirements, which could increase our costs or prevent us from doing certain business internationally;</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vary across jurisdictions and require significant time to implement;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that restrict us from repatriating profits earned from our activities within certain foreign countries;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severe currency devaluations;</w:t>
      </w:r>
    </w:p>
    <w:p>
      <w:pPr>
        <w:spacing w:after="0" w:line="117"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actions that may result in expropriation, the deprivation of our contractual rights or the inability to obtain or retain authorizations required to conduct our business;</w:t>
      </w:r>
    </w:p>
    <w:p>
      <w:pPr>
        <w:spacing w:after="0" w:line="44"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w:t>
      </w:r>
    </w:p>
    <w:p>
      <w:pPr>
        <w:spacing w:after="0" w:line="117" w:lineRule="exact"/>
        <w:rPr>
          <w:rFonts w:ascii="Arial" w:cs="Arial" w:eastAsia="Arial" w:hAnsi="Arial"/>
          <w:sz w:val="18"/>
          <w:szCs w:val="18"/>
          <w:color w:val="auto"/>
        </w:rPr>
      </w:pPr>
    </w:p>
    <w:p>
      <w:pPr>
        <w:jc w:val="both"/>
        <w:ind w:left="580" w:hanging="329"/>
        <w:spacing w:after="0" w:line="268"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and trade measures or other arrangements between or among sovereign nations, including, for example, the United Kingdom's ("U.K.") exit from the E.U., which can increase costs and lead to legal uncertainties and potentially divergent national laws and regulations with regard to tax, licensing and other regulatory rights and obligations; and</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terrorism, war, civil unrest, pandemics and other health crises, natural disasters, and other severe weather-related events.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can be no assurance that any or all of these events will not have a material adverse effect on our business operations, results of operations and financial condition.</w:t>
      </w:r>
    </w:p>
    <w:p>
      <w:pPr>
        <w:spacing w:after="0" w:line="4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Our business depends on our ability to adequately finance our capital requirements and fund our investments, which, if not available to us, would impact our ability to conduct our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that are not satisfied by our operating cash flow. Market volatility, inflation, and future persistent weakness in global energy markets have in the past and may in the future adversely affect our ability to access capital and credit markets or to obtain funds at low interest rates or on other advantageous terms. If we are unable to obtain credit on acceptable terms or at all, perhaps due to a substantial tightening of the global credit markets, our liquidity, business, financial condition, and cash flows, as well as our future development and growth could be negatively impacted. In addition, if we are unable to obtain debt or other forms of financing and resort to raising capital through equity issuances, our existing shareholders would be diluted.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also impacted by the availability of trade credit to fund our fuel purchases from suppliers.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agreements governing our credit arrangements impose certain operating and/or financial covenants on us, which, among other things, restrict our ability to pay dividends or make certain other restricted payments, incur additional debt, create liens and sell a material amount of assets. Our failure or inability to comply with these requirements, including financial ratios or other covenants, could limit the availability under our Credit Facility, as defined under "Liquidity and Capital Resources" in Part II, Item 7 of this Annual Report on Form 10-K,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Our business is subject to seasonal variability, which can cause our financial results to fluctuate and can adversely affect the market price of our shares.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operating results can be subject to seasonal variability. Seasonality results from numerous factors, including demand changes related to seasonal travel and weather patterns. As such, our results for the second and third quarters of the year have historically been stronger for our aviation segment and our results for the fourth and first quarters of the year have historically been stronger for our land segment. However, extreme or unseasonable weather conditions, exacerbated by the effects of climate change, has in the past and may in the future affect seasonal demand patterns and the prices of the products we sell, which can in turn adversely impact our results of operations.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63" w:lineRule="exact"/>
        <w:rPr>
          <w:sz w:val="20"/>
          <w:szCs w:val="20"/>
          <w:color w:val="auto"/>
        </w:rPr>
      </w:pPr>
    </w:p>
    <w:p>
      <w:pPr>
        <w:ind w:right="1020"/>
        <w:spacing w:after="0" w:line="260"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several factors including industry experience, the economic environment, and our projections of future operating performance. If our estimates and assumptions prove to be incorrect, we may be required to impair some or all of the carrying amount of goodwill and intangible assets within one or more of our reporting units.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goodwill for impairment at the reporting unit level annually as of December 31, or more frequently if events or circumstances indicate that the carrying value may be impaired. In the past, we have recorded impairment charges in connection with actions such as exiting certain markets or lines of business. For example, during the second quarter of 2025, following our exit from the U.K. land fuels business, as part of the evolution of our strategy we completed our reassessment of the remaining business lines within the land reporting unit. Through this process, we updated key assumptions regarding certain lines of business and made related downward revisions to our long-term forecasts versus prior projections, reflecting both our efforts to optimize the land portfolio to focus on core activities with the highest return potential and the unanticipated persistence of macroeconomic pressures and underperformance against financial expectations. We determined that these circumstances indicated that it was more likely than not that the fair value of goodwill may be less than its carrying value, which required us to perform a quantitative impairment test as of June 30, 2025. As a result of the quantitative impairment test performed, we concluded that the carrying value of the land reporting unit exceeded its estimated fair value. Accordingly, we recognized a goodwill impairment charge of $359.0 million during the three months ended June 30, 2025.</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2025, we identified further impacts to the fair value of the land reporting unit. As we engaged in our annual budgeting and internal forecasting for 2026, we further evaluated our expectations for the land reporting unit taking into consideration (i) the impact of the fourth quarter exit activities on the land reporting unit, including a further-developed understanding of the potential purchasers and pricing for the operations being exited as well as the implied valuation of the land reporting unit post-divestitures and business exits and</w:t>
      </w:r>
    </w:p>
    <w:p>
      <w:pPr>
        <w:spacing w:after="0" w:line="2" w:lineRule="exact"/>
        <w:rPr>
          <w:sz w:val="20"/>
          <w:szCs w:val="20"/>
          <w:color w:val="auto"/>
        </w:rPr>
      </w:pPr>
    </w:p>
    <w:p>
      <w:pPr>
        <w:jc w:val="both"/>
        <w:ind w:firstLine="8"/>
        <w:spacing w:after="0" w:line="253"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weaker-than-expected performance driven by continued challenging market conditions for the land reporting unit in the third and fourth quarters of 2025 that impacted volumes and margin growth rates and our corresponding views with respect to long-term growth. Consequently, we identified a greater risk to our previous forecasts and estimates and the related impact on the fair value of the reporting unit and concluded that the carrying value of the land reporting unit exceeded its estimated fair value. Accordingly, we recognized a goodwill impairment charge of $169.3 million during the three months ended December 31, 2025, inclusive of the impairment of $35.3 million of goodwill allocated to the Land Fuel Transportation and Lubricants disposal group as discussed in Note 2. Acquisitions and Divestitures.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continual changes in market and general business conditions, we cannot predict whether, and to what extent, our goodwill and long-lived intangible assets may be impaired or further impaired in future periods. Our operating results may be negatively affected by both the impairment and the underlying business trends that triggered the impairment. See Note 7. Goodwill and Identifiable Intangible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inflation and higher interest rates may adversely affect our business and financial condition.</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Inflation in the United States and other jurisdictions in which we do business has increased significantly in recent years, driven in part by supply chain disruptions, labor shortages and increased commodity prices, which has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resulted in higher costs.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 For additional information on the effects of inflation on our business, see Item 7. – Management’s Discussion and Analysis of Financial Condition and Results of Operations.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reduction in prices, either of which can result in lower revenues and profits. We have numerous competitors, ranging from large multinational corporations, which have significantly greater capital resources than we do, to relatively small and specialized firms that compete with us in a particular line of business.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competing with resellers, we also compete with major oil companies that market fuel and other energy products directly to large commercial airlines, shipping companies, petroleum distributors operating in the land transportation market, fuel resellers, and other commercial and industrial customers. Our business could be adversely affected and subject to the risk of disintermediation if our suppliers choose to enter or increase their operations in markets in which we compete, increase their direct marketing to our customers to compete with us or provide less advantageous price and credit terms to us than to our other competitors.</w:t>
      </w:r>
    </w:p>
    <w:p>
      <w:pPr>
        <w:spacing w:after="0" w:line="7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color w:val="auto"/>
        </w:rPr>
        <w:t>We are subject to counterparty risk with respect to the bond hedge transactions which serve to mitigate the dilutive impact of our Convertible Notes.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offering of Convertible Notes in June 2023, we entered into bond hedge transactions with multiple financial institutions, which increased the effective conversion price of the Convertible Notes. Consequently, the bond hedge transaction is expected to reduce the potential dilution upon conversion of the Convertible Notes and/or offset any cash payments we are required to make in excess of the principal amount of the Convertible Notes upon their conversion. We also entered into warrant transactions with the bond hedge counterparties, which could have a dilutive effect on our common stock to the extent that the market price per share of our common stock exceeds the strike price of the warrants.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exposure to the credit risk of the bond hedge counterparties is not secured by any collateral. Global economic conditions have, from time-to-time, resulted in the actual or perceived failure or financial difficulties of several financial institutions. If any bond hedge counterparty becomes subject to insolvency proceedings, we would become an unsecured creditor in those proceedings with a claim equal to our exposure at that time under the bond hedge transaction. If any of these counterparties were to fail to comply with their contractual obligations under bond hedge transactions, we would (i) be exposed to greater dilution with respect to their respective portion of the hedge, to the extent that our stock price exceeded the nominal conversion price upon conversion, (ii) may suffer adverse tax consequences, or (iii) incur additional costs associated with entering into a replacement bond hedge transaction with a different bond hedge counterparty.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22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business operations and financial results.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Climate change continues to attract considerable public and scientific attention throughout the world. As a result, numerous proposals have been adopted and will likely continue to be made at various levels of governments globally to monitor and limit GHG emissions, reduce the use of hydrocarbon-based fuels or require substantial additional and costly disclosure relating to emissions. These efforts have included consideration of cap-and-trade regimes, carbon taxes, trade tariffs, minimum renewable usage requirements, restrictive permitting, increased efficiency standards, and incentives or mandates for renewable energy.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regulations is difficult to predict given the potential for policy changes under different Presidential administrations and changing Congressional leadership. It is unclear the extent to which any new environmental laws or regulations, or any repeal of existing environmental laws or regulations, will impact our business or that of our customers.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2022, the IRA was signed into law, which appropriates significant federal funding for renewable energy initiatives and for the first time imposes a fee on methane emissions from certain facilities in the oil and natural gas sector. However, the OBBBA rescinded much of such funding in July 2025, and the emissions fee was overturned by a joint congressional resolution in February 2025. Depending on the extent implemented, the emissions fee and renewable and low carbon energy funding provisions of the IRA could accelerate the transition away from fossil fuels or otherwise adversely impact the use of petroleum-based motor fuels, which could in turn have an indirect adverse effect on our business and results of operations.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Automotive, industrial and power generation manufacturers are developing more fuel-efficient engines, hybrid engines and alternative clean power systems. Several automobile manufacturers have announced goals to substantially increase the proportion of their new vehicle sales from battery electric, fuel cell and plug-in hybrid vehicles. Further, in August 2022, the California Air Resources Board finalized its Advanced Clean Cars II program, including requiring an increasing percentage of new passenger vehicles sold in the state to be zero-emission vehicles for the 2026-2035 model years, ending with a 100% sales target in the 2035 model year. Additional U.S. jurisdictions could adopt similar requirements. The more prevalent these vehicles become as a result of governmental incentives or regulations, technological advances, consumer demand, improved pricing or otherwise, the greater the potential negative impact on pricing and demand for our fuel products and accordingly, our profitability.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activities to increase the availability of renewable and lower-carbon fuels are also subject to risks, including related to complex and evolving applicable regulatory requirements in various jurisdictions and associated enforcement risk. Additionally, climate-, sustainability-, and emissions reduction-related claims associated with lower-carbon fuels and energy products have been subject to heightened scrutiny and legal challenges, and we could face litigation, regulatory inquiries, reputational harm or decreased demand for these products in connection with our advisory services, supply activities, or the environmental representations made by us or by third parties with whom we do business.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changes in regulatory policies or any adverse publicity in the global marketplace about our potential impact on climate change or the impact of other companies in our industry could also lead to a reduction in the demand for products that are deemed to contribute to GHGs, harm our reputation and adversely impact our sales of fuel products. Finally, the potential physical impacts of climate change on our operations are highly uncertain and vary among the geographic areas in which we operate. These may include changes in rainfall and storm patterns and intensities, hurricanes, changing sea levels, and changing temperatures that may impact the seasonality of our businesses, such as our natural gas business in North America and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company, we are subject to various U.S. and foreign taxes, including income taxes and taxes imposed on the purchase and sale of aviation, marine and land fuel products, such as sales, excise, value-added tax ("VAT"), mineral oil, energy, environmental and other taxes. We are also subject to a variety of tax collection obligations including obligations to withhold or collect these types of taxes or other taxes or other requirements that may result in liability for third party obligations. We may recognize additional tax expense and be subject to additional tax liabilities, including other liabilities for tax collection obligations due to changes in laws, regulations, administrative practices, and interpretations related to tax. Our results of operations and cash flows could be adversely affected by additional carbon or other taxes imposed on us prospectively or retroactively or additional taxes and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timely build systems and adopt sufficient processes to timely comply with new reporting or collection obligations.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tax rate is subject to significant variation due to numerous factors, including variability in our pre-tax income and loss, the impact of discrete items and non-deductible expenses, changes to our corporate structure,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mix of earnings in countries with differing statutory tax rates, foreign currency fluctuations, intercompany transactions, changes in the valuation of deferred tax assets and liabilities, changes in tax laws or in their interpretation or enforcement, and the applicability of tax concessions. For example, we currently benefit from an income tax concession in Singapore, which reduces the income tax rate on qualified sales and derivative gains and losses. We renewed the concession for an additional five-year period beginning January 1, 2023. The concession remains conditioned upon our meeting certain employment and investment thresholds which, if not met, may eliminate the benefit.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because of political or economic factors beyond our control. Ongoing developments regarding the projects by the Organisation for Economic Co-operation and Development ("OECD"), including global minimum tax and other initiatives, could adversely affect our worldwide effective tax rate. Countries continue to introduce the OECD model rules on a global minimum tax and other OECD initiatives into their tax regimes and continue to develop and refine the applicable legislation. The extent to which countries in which we operate adopt and implement these rules and actions could have a material adverse impact on our income tax expense, effective tax rate, financial condition, and results of operations and cash flows. On January 5, 2026, the OECD released guidance related to a "side-by-side arrangement" which primarily excludes U.S. parented companies from the impact of certain global minimum tax provisions beginning in 2026. We are continuing to review and evaluate the potential impact of these rules as additional guidance and clarification becomes available.</w:t>
      </w:r>
    </w:p>
    <w:p>
      <w:pPr>
        <w:spacing w:after="0" w:line="7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realizability of our net deferred tax assets.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regularly audited by various domestic and foreign tax authorities and are involved in various inquiries, audits, challenges and litigation in a number of countries, including Denmark, South Korea and the U.S., where the amounts under controversy may be material. In some jurisdictions, these challenges require the posting of collateral or payment of the contested amount, which may affect our flexibility in operating our business or our liquidity.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Notes 14. Income Taxes and 10. Commitments and Contingencies for additional details regarding certain tax matters.</w:t>
      </w:r>
    </w:p>
    <w:p>
      <w:pPr>
        <w:spacing w:after="0" w:line="7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Increasing attention to environmental, social and governance issues, including those related to climate change and sustainability, may increase our costs and impose difficult and expensive compliance requirements.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customers, consumers, investors, and other stakeholders are increasingly focusing on ESG matters, including climate, water use and other sustainability concerns. Furthermore, certain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companies' long-term prospects and have developed ESG standards and guidelines to measure companies' performance. At the same time, in recent years "anti-ESG" sentiment has gained momentum across the U.S., with several states, the executive branch, and Congress having proposed, enacted or indicated an intent to pursue anti-ESG policies, legislation or initiatives and with anti-ESG legislation becoming increasingly common.</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ESG initiatives fail to satisfy our investors, customers, suppliers, or other stakeholders, or if our initiatives are viewed unfavorably by stakeholders supporting anti-ESG initiatives, our reputation, ability to sell products and services to customers, our ability to attract or retain employees, and our attractiveness as an investment or business partner could be negatively impacted. In addition, various governmental authorities, as well as voluntary sustainability initiatives and organizations, have promulgated different environmental and social responsibility laws, regulations, policies, and initiatives, which are under active development, can be unpredictable and conflicting, and may change rapidly in future periods. For example, while SEC adopted climate-change related disclosure requirements in March 2024, the SEC stayed such rules and voted to withdraw its defense of such rules in pending litigation in March 2025; if the disclosure requirements are reinstated and the SEC begins to scrutinize climate-change related disclosures in public filings, we would face an increased potential for enforcement if the SEC were to allege that our climate disclosures are misleading or deficient.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operations are in jurisdictions that have or are developing regulatory regimes governing disclosure of GHG emissions, such as the E.U.’s Corporate Sustainability Reporting Directive, and California’s Climate Corporate Data Accountability Act and Climate Related Financial Risk Act. In 2023, California also enacted the Voluntary Carbon Market Disclosures Act, which requires companies that operate within the state and make certain climate-related claims to provide enhanced disclosures around the achievement of such claims. Unfavorable ratings under or non-compliance with these evolving laws, standards and benchmarks could adversely impact our reputation, business, stock price or access to capital. Non-compliance with any applicable laws, regulations or standards may also result in potential cost increases, litigation, fines, penalties, sales restrictions or loss of customers.</w:t>
      </w:r>
    </w:p>
    <w:p>
      <w:pPr>
        <w:spacing w:after="0" w:line="7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 Business for additional information about laws and regulations applicable to our business. Laws and regulations relating to environmental protection and occupational safety and health can be particularly complex and can impose strict 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 at an affected area. We may also be held responsible for remediation costs for natural resource damages as well as third-party damages. In our marine segment, we utilize fuel delivery barges and store and transfer refined products adjacent to water, thereby potentially subjecting us to strict, joint, and potentially unlimited liability for removal costs and other consequences of where a spill is into navigable or inland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77"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b w:val="1"/>
          <w:bCs w:val="1"/>
          <w:color w:val="auto"/>
        </w:rPr>
        <w:t>The data that we collect may be vulnerable to cybersecurity incidents, breach, loss or misuse, and our handling of such data may be impacted by changes in data privacy and protection laws and regulations, which could increase operational costs or result in regulatory penalties or litigation.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access to sensitive, confidential or personal data from our employees, customers (both corporate and individual consumers), suppliers and other third parties, some of which is subject to privacy, security or residency or localization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and business partners may be vulnerable to cybersecurity incidents, security breaches, theft, misplaced or lost data, and programming, technical failures or disruptions, and procedural or human errors that may lead to such information being compromised or handled improperly.</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 China, Australia and other jurisdictions where we have operations and customers, could impact our processing of this data, including requiring us to make costly changes to our IT systems to properly handle such data. For example, the E.U.'s General Data Protection Regulation imposes strict rules on handling personal data related to the E.U. and imposes significant fines for violations. We have substantial operations in the E.U. and are therefore subject to these heightened standards. Similarly, the California Consumer Privacy Act grants certain rights to California residents with respect to their personal data and requires that companies take or refrain from taking certain actions. Several other U.S. states have enacted similar data privacy legislation, and additional states have passed or are considering additional privacy laws that are expected to take effect in the near future.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failure to adequately comply with these requirements could lead to substantial fines, penalties, third-party liability, remediation costs, litigation (including class action or commercial litigation), regulatory investigations and actions, potential cancellation of existing contracts and the inability to compete for future business. Any significant breach of data privacy-related regulations or related customer requirements could have a material adverse effect on our business and reputation, as well as our financial condition, results of operations and cash flows.</w:t>
      </w:r>
    </w:p>
    <w:p>
      <w:pPr>
        <w:spacing w:after="0" w:line="6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color w:val="auto"/>
        </w:rPr>
        <w:t>Our international operations subject us to international trade control, anti-money laundering and anti-corruption laws, including substantial compliance costs and potential exposure to administrative, civil and/or criminal penalties.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global operations are subject to risks associated with compliance with applicable economic sanctions, export controls, anti-bribery and anti-corruption laws, including the U.S. Foreign Corrupt Practices Act and the U.K. Bribery Act 2010, anti-money laundering laws, and competition laws. Anti-bribery and anti-corruption laws generally prohibit us from providing anything of value to foreign officials for the purpose of improperly influencing official decisions or improperly obtaining or retaining a business advantage and may also apply to commercial bribery. U.S. and state laws may impose similar restrictions with respect to U.S. federal and state level officials.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business, we operate in countries and regions that experience a high degree of corruption and we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trade controls, including economic sanctions and export controls such as those administered by the U.S. Treasury's Office of Foreign Assets Control ("OFAC"), the U.S. Department of State, the U.S. Department of Commerce's Bureau of Industry and Security, or the U.K.'s HM Treasury, as well as anti-boycott regulations, restrict our business dealings with certain countries and individuals, are complex, may conflict with each other, are continually changing and may be adopted quickly. For example, as a result of the military conflict in Eastern Europe, the U.S., the E.U., the U.K. and other countries in which we operate have imposed sanctions and export controls on Russia and Belarus and certain other individuals and entities with connections to the Russian and Belarusian nations.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restrictions may be enacted, amended, enforced or interpreted in a manner that materially impacts our operations. From time to time, certain of our subsidiaries have limited business dealings in countries subject to comprehensive sanctions. While such activities are undertaken pursuant to general and/or specific licenses issued by OFAC or as otherwise permitted by applicable sanctions regulations and currently represent an immaterial amount of our consolidated revenue and income, these activities, as well as rapidly changing sanctions regimes across the globe, may expose us to a heightened risk of violating economic sanctions and similar trade control regulations.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the past and will in the future be continually subject to examinations, inquiries, and investigations in areas of heightened regulatory scrutiny, such as tax and indirect tax, market conduct, anti-corruption, money laundering, forfeiture, narcotics, sanctions and international trade controls. We are cooperating with all pending examinations, inquiries, and investigations, any of which could lead to administrative or legal proceedings or settlements. Remedies in these proceedings or settlements may include fines, penalties, restitution, or alterations in our business practices. If any of these remedies are significant, it could have a material adverse effect on our business and reputation, as well as our financial condition, results of operations and cash flows.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policies and procedures designed to promote compliance with these laws and regulations. Such policies and procedures may not always prevent us, our employees or parties acting on our behalf from violating these laws and regulations. Violations may expose us to criminal or civil penalties, or other adverse 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Agreement, as defined under "Liquidity and Capital Resources" in Part II, Item 7 of this Annual Report on Form 10-K, which if not waived, could result in the acceleration of any outstanding indebtedness, cause cross-defaults under other agreements to which we are a party (such as certain derivative contracts), and impair our ability to obtain working capital advances or letters of credit. Accordingly, violations could adversely affect, among other things, our reputation, business, financial condition, results of operations and cash flows.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Data Privacy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commitment to cybersecurity risk management and sound governance of cybersecurity and other information security-related risks is reflected at the highest levels of our company. This commitment begins with our Board of Directors, which plays a key role in providing oversight of our business practices and related risks, while remaining informed as we evolve and new risks emerge over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 – Roles of our Board of Directors and Management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has delegated the Audit Committee with responsibility for monitoring and oversight of the information technology and cybersecurity components of our risk assessment and risk management programs. The Audit Committee, composed entirely of independent directors:</w:t>
      </w:r>
    </w:p>
    <w:p>
      <w:pPr>
        <w:spacing w:after="0" w:line="70" w:lineRule="exact"/>
        <w:rPr>
          <w:sz w:val="20"/>
          <w:szCs w:val="20"/>
          <w:color w:val="auto"/>
        </w:rPr>
      </w:pPr>
    </w:p>
    <w:p>
      <w:pPr>
        <w:ind w:left="580" w:hanging="329"/>
        <w:spacing w:after="0" w:line="28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regularly reviews our cybersecurity and related information technology risks, controls and procedures, including data protection and privacy and our plans to mitigate cybersecurity risks and to respond to cybersecurity incidents;</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oversees technology and operations processes that relate to or affect our internal control systems, information security, data protection and privacy, fraud and cybersecurity risks; and,</w:t>
      </w:r>
    </w:p>
    <w:p>
      <w:pPr>
        <w:spacing w:after="0" w:line="44" w:lineRule="exact"/>
        <w:rPr>
          <w:rFonts w:ascii="Arial" w:cs="Arial" w:eastAsia="Arial" w:hAnsi="Arial"/>
          <w:sz w:val="18"/>
          <w:szCs w:val="18"/>
          <w:color w:val="auto"/>
        </w:rPr>
      </w:pPr>
    </w:p>
    <w:p>
      <w:pPr>
        <w:ind w:left="580" w:hanging="329"/>
        <w:spacing w:after="0" w:line="287"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assists management in developing our risk management methodologies and the steps taken to identify, monitor and control such exposures.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Chief Information Officer ("CIO") and our Chief Information Security Officer ("CISO") are responsible for our company’s overall information security activities and cyber risk programs. Our CISO reports to the CIO and leads our cyber and data-related incident response activities. Our cybersecurity leaders possess a range of skills, experiences, educations and certifications that we believe make them qualified to be enterprise-wide leaders. Our CISO has extensive cybersecurity knowledge and skills gained from experience as an architect in the financial services and energy industries, with additional experience in business process design, cloud/development operations, digital application programming interfaces, and identity integration and strategic information technology ("IT") experiences, among others. Our interim CIO has extensive experience gained from years of experience, including with World Kinect, in cybersecurity, IT strategy, infrastructure, applications, data, and artificial intelligence.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cross-functional approach to addressing cybersecurity risk, with our information technology, legal, and internal audit functions regularly presenting to the Audit Committee on key cybersecurity topics. Our CISO, together with our CIO and other members of the senior leadership in our information technology organization, also provide the Audit Committee with these updates on at least a quarterly basis, and more often as needed. These reports include topics such as analyses of recent cybersecurity threats and incidents across the industry, as well as a review of our own security controls, assessments and program maturity, and risk mitigation status.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Cybersecurity Risk Management &amp; Strategy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strategically integrated cybersecurity risk management into our broader enterprise risk management program to ensure cybersecurity risks are identified, evaluated and addressed alongside our operational objectives. Overall, we seek to address cybersecurity risks through a comprehensive, cross-functional approach that is focused on preserving the confidentiality, integrity and availability of our data and information by identifying, preventing and mitigating cybersecurity threats and being prepared to effectively respond to cybersecurity incidents when they occur. As a global company, we are also committed to respecting individual privacy and complying with applicable data privacy laws throughout the world, such as the European Union’s General Data Protection Regulation ("GDPR"), U.K. Data Protection Act and the California Consumer Privacy Act ("CCPA").</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cybersecurity policies, standards, processes, and practices are designed to align with the National Institute of Standards and Technology ("NIST") Cybersecurity Framework. We last achieved ISO 27001 certification on April 11, 2025 and intend to review and update that certification as appropriate in the future. Our cybersecurity program also includes a detailed control catalog that is designed to map to several other frameworks, providing a broad approach to managing cyber risks. However, we use NIST and other cybersecurity frameworks solely as a guide to help us identify, assess and manage cybersecurity risks relevant to our business.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internal vulnerability scans, penetration tests, and breach simulation exercises, reinforcing our controls and our readiness to respond to potential threats. Recognizing the complexity and evolving nature of cybersecurity threats, we engage with a range of external experts, including cybersecurity consultants, auditors and advisers, in evaluating and testing our risk management systems. Our collaboration with these third parties includes cybersecurity audits and testing, threat assessments and tabletop exercises, along with consultation on security enhancements.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implemented processes designed to mitigate risks related to data breaches or other security events originating from third parties. With our vendors, we conduct security assessments of key third-party providers before engagement and maintain ongoing monitoring to ensure their compliance with our cybersecurity standards.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our cybersecurity training program, employees and contractors are provided with cybersecurity training upon hire and thereafter on an annual basis. In addition, training and awareness campaigns continue throughout the year, where we employ various methods such as conducting mock phishing tests, live training sessions and informational articles.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we have as of the date of this Form 10-K, we do not believe any risks from cybersecurity threats, including as a result of any previous cybersecurity incidents, have materially affected or are reasonably likely to materially affect our business strategy, results of operations or financial condition. While we maintain cybersecurity insurance, the costs related to cybersecurity threats or cybersecurity incidents may not be fully insured. See Item 1A. – Risk Factors for additional information regarding cybersecurity threats.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properties consist primarily of administrative offices and inventory storage facilities, none of which are individually material. We lease our corporate headquarters in Miami, Florida as well as administrative office space in London, Singapore and other strategic locations throughout the world.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13, 2026, the majority of our principal properties are leased on commercially reasonable terms and we do not anticipate that we will experience difficulty in renewing or replacing any leases upon expiration in any material respect. Our properties are often utilized by one or more of our business segments and we consider all of our properties and facilities to be suitable and adequate for our current needs.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14. Income Taxes and 10. Commitments and Contingencies for additional details regarding certain tax matters.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Note 10. Commitments and Contingencies is incorporated herein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common stock is traded on the New York Stock Exchange ("NYSE") under the symbol WKC. As of December 31, 2025, the closing price of our stock on the NYSE was $23.43.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13, 2026, there were 66 shareholders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decision to pay cash dividends in the future is made at the discretion of our board of directors and will depend on then-existing conditions, including our financial condition, operating results, capital requirements, business prospects and other factors our board may deem relevant.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2025 we declared a quarterly dividend on common stock of $0.20 per share with payments in January of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This graph compares the cumulative total shareholder return assuming the investment of $100 on our common stock with the total return on the Russell 2000 Index and the S&amp;P 500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2020 through December 31, 2025.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5263515" cy="4371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3515" cy="43719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Total Number</w:t>
            </w:r>
          </w:p>
        </w:tc>
        <w:tc>
          <w:tcPr>
            <w:tcW w:w="200" w:type="dxa"/>
            <w:vAlign w:val="bottom"/>
          </w:tcPr>
          <w:p>
            <w:pPr>
              <w:spacing w:after="0"/>
              <w:rPr>
                <w:sz w:val="17"/>
                <w:szCs w:val="17"/>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5"/>
                <w:szCs w:val="15"/>
                <w:color w:val="auto"/>
              </w:rPr>
            </w:pPr>
          </w:p>
        </w:tc>
        <w:tc>
          <w:tcPr>
            <w:tcW w:w="18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Total Number</w:t>
            </w:r>
          </w:p>
        </w:tc>
        <w:tc>
          <w:tcPr>
            <w:tcW w:w="260" w:type="dxa"/>
            <w:vAlign w:val="bottom"/>
          </w:tcPr>
          <w:p>
            <w:pPr>
              <w:spacing w:after="0"/>
              <w:rPr>
                <w:sz w:val="15"/>
                <w:szCs w:val="15"/>
                <w:color w:val="auto"/>
              </w:rPr>
            </w:pPr>
          </w:p>
        </w:tc>
        <w:tc>
          <w:tcPr>
            <w:tcW w:w="17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8"/>
              </w:rPr>
              <w:t>Average</w:t>
            </w:r>
          </w:p>
        </w:tc>
        <w:tc>
          <w:tcPr>
            <w:tcW w:w="2420" w:type="dxa"/>
            <w:vAlign w:val="bottom"/>
            <w:gridSpan w:val="2"/>
          </w:tcPr>
          <w:p>
            <w:pPr>
              <w:jc w:val="center"/>
              <w:ind w:right="140"/>
              <w:spacing w:after="0" w:line="183" w:lineRule="exact"/>
              <w:rPr>
                <w:sz w:val="20"/>
                <w:szCs w:val="20"/>
                <w:color w:val="auto"/>
              </w:rPr>
            </w:pPr>
            <w:r>
              <w:rPr>
                <w:rFonts w:ascii="Arial" w:cs="Arial" w:eastAsia="Arial" w:hAnsi="Arial"/>
                <w:sz w:val="18"/>
                <w:szCs w:val="18"/>
                <w:b w:val="1"/>
                <w:bCs w:val="1"/>
                <w:color w:val="auto"/>
              </w:rPr>
              <w:t>of Shares Purchased</w:t>
            </w:r>
          </w:p>
        </w:tc>
        <w:tc>
          <w:tcPr>
            <w:tcW w:w="200" w:type="dxa"/>
            <w:vAlign w:val="bottom"/>
          </w:tcPr>
          <w:p>
            <w:pPr>
              <w:spacing w:after="0"/>
              <w:rPr>
                <w:sz w:val="15"/>
                <w:szCs w:val="15"/>
                <w:color w:val="auto"/>
              </w:rPr>
            </w:pPr>
          </w:p>
        </w:tc>
        <w:tc>
          <w:tcPr>
            <w:tcW w:w="2300" w:type="dxa"/>
            <w:vAlign w:val="bottom"/>
          </w:tcPr>
          <w:p>
            <w:pPr>
              <w:jc w:val="center"/>
              <w:ind w:right="90"/>
              <w:spacing w:after="0" w:line="183"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42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9"/>
              </w:rPr>
              <w:t>as Part of Publicly</w:t>
            </w:r>
          </w:p>
        </w:tc>
        <w:tc>
          <w:tcPr>
            <w:tcW w:w="200" w:type="dxa"/>
            <w:vAlign w:val="bottom"/>
          </w:tcPr>
          <w:p>
            <w:pPr>
              <w:spacing w:after="0"/>
              <w:rPr>
                <w:sz w:val="15"/>
                <w:szCs w:val="15"/>
                <w:color w:val="auto"/>
              </w:rPr>
            </w:pPr>
          </w:p>
        </w:tc>
        <w:tc>
          <w:tcPr>
            <w:tcW w:w="230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6"/>
        </w:trPr>
        <w:tc>
          <w:tcPr>
            <w:tcW w:w="2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of Shares</w:t>
            </w:r>
          </w:p>
        </w:tc>
        <w:tc>
          <w:tcPr>
            <w:tcW w:w="260" w:type="dxa"/>
            <w:vAlign w:val="bottom"/>
          </w:tcPr>
          <w:p>
            <w:pPr>
              <w:spacing w:after="0"/>
              <w:rPr>
                <w:sz w:val="15"/>
                <w:szCs w:val="15"/>
                <w:color w:val="auto"/>
              </w:rPr>
            </w:pPr>
          </w:p>
        </w:tc>
        <w:tc>
          <w:tcPr>
            <w:tcW w:w="170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8"/>
              </w:rPr>
              <w:t>Price Paid</w:t>
            </w:r>
          </w:p>
        </w:tc>
        <w:tc>
          <w:tcPr>
            <w:tcW w:w="242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5"/>
                <w:szCs w:val="15"/>
                <w:color w:val="auto"/>
              </w:rPr>
            </w:pPr>
          </w:p>
        </w:tc>
        <w:tc>
          <w:tcPr>
            <w:tcW w:w="23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Purchased</w:t>
            </w:r>
          </w:p>
        </w:tc>
        <w:tc>
          <w:tcPr>
            <w:tcW w:w="260" w:type="dxa"/>
            <w:vAlign w:val="bottom"/>
          </w:tcPr>
          <w:p>
            <w:pPr>
              <w:spacing w:after="0"/>
              <w:rPr>
                <w:sz w:val="21"/>
                <w:szCs w:val="21"/>
                <w:color w:val="auto"/>
              </w:rPr>
            </w:pPr>
          </w:p>
        </w:tc>
        <w:tc>
          <w:tcPr>
            <w:tcW w:w="1700" w:type="dxa"/>
            <w:vAlign w:val="bottom"/>
            <w:gridSpan w:val="2"/>
          </w:tcPr>
          <w:p>
            <w:pPr>
              <w:jc w:val="center"/>
              <w:ind w:right="400"/>
              <w:spacing w:after="0" w:line="243" w:lineRule="exact"/>
              <w:rPr>
                <w:sz w:val="20"/>
                <w:szCs w:val="20"/>
                <w:color w:val="auto"/>
              </w:rPr>
            </w:pPr>
            <w:r>
              <w:rPr>
                <w:rFonts w:ascii="Arial" w:cs="Arial" w:eastAsia="Arial" w:hAnsi="Arial"/>
                <w:sz w:val="18"/>
                <w:szCs w:val="18"/>
                <w:b w:val="1"/>
                <w:bCs w:val="1"/>
                <w:color w:val="auto"/>
                <w:w w:val="94"/>
              </w:rPr>
              <w:t xml:space="preserve">Per Share </w:t>
            </w:r>
            <w:r>
              <w:rPr>
                <w:rFonts w:ascii="Arial" w:cs="Arial" w:eastAsia="Arial" w:hAnsi="Arial"/>
                <w:sz w:val="23"/>
                <w:szCs w:val="23"/>
                <w:b w:val="1"/>
                <w:bCs w:val="1"/>
                <w:color w:val="auto"/>
                <w:w w:val="94"/>
                <w:vertAlign w:val="superscript"/>
              </w:rPr>
              <w:t>(1)</w:t>
            </w: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or Programs</w:t>
            </w:r>
          </w:p>
        </w:tc>
        <w:tc>
          <w:tcPr>
            <w:tcW w:w="200" w:type="dxa"/>
            <w:vAlign w:val="bottom"/>
          </w:tcPr>
          <w:p>
            <w:pPr>
              <w:spacing w:after="0"/>
              <w:rPr>
                <w:sz w:val="21"/>
                <w:szCs w:val="21"/>
                <w:color w:val="auto"/>
              </w:rPr>
            </w:pPr>
          </w:p>
        </w:tc>
        <w:tc>
          <w:tcPr>
            <w:tcW w:w="2300" w:type="dxa"/>
            <w:vAlign w:val="bottom"/>
          </w:tcPr>
          <w:p>
            <w:pPr>
              <w:jc w:val="center"/>
              <w:ind w:right="110"/>
              <w:spacing w:after="0" w:line="243"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10/1/2025 - 10/31/2025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4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185,510</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11/1/2025 - 11/30/2025</w:t>
            </w:r>
          </w:p>
        </w:tc>
        <w:tc>
          <w:tcPr>
            <w:tcW w:w="170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25.20</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152,023</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12/1/2025 - 12/31/2025</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302,023</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19"/>
                <w:szCs w:val="19"/>
                <w:color w:val="auto"/>
              </w:rPr>
            </w:pP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302,023</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per share excludes the impact of the 1% Federal excise tax owed pursuant to the IRA.</w:t>
      </w:r>
    </w:p>
    <w:p>
      <w:pPr>
        <w:spacing w:after="0" w:line="85"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On March 16, 2020, we announced that our Board of Directors approved a stock repurchase program authorizing $200.0 million in common stock repurchases. On September 9, 2024 and December 4, 2025, we announced that our Board of Directors approved additional stock repurchase programs authorizing common stock repurchases of $200.0 million and $150.0 million, respectively. These repurchase authorizations do not require a minimum number of shares of common stock to be purchased, have no expiration date, and repurchases may be initiated, suspended or discontinued at any time. As of December 31, 2025, approximately $302.0 million remained available under our repurchase authorizations. The timing and amount of our repurchases will depend on market conditions, share price, securities law and other legal requirements and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2025, see the corresponding Quarterly Reports on Form 10-Q.</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1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 Notes to the Consolidated Financial Statements in this 2025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in Item 1. – Business under the section titled "Forward-Looking Statements."</w:t>
      </w:r>
    </w:p>
    <w:p>
      <w:pPr>
        <w:spacing w:after="0" w:line="88"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We have elected to omit discussion on the earliest of the three years covered by the Consolidated Financial Statements presented in this 2025 10</w:t>
      </w:r>
      <w:r>
        <w:rPr>
          <w:rFonts w:ascii="MS PGothic" w:cs="MS PGothic" w:eastAsia="MS PGothic" w:hAnsi="MS PGothic"/>
          <w:sz w:val="18"/>
          <w:szCs w:val="18"/>
          <w:color w:val="auto"/>
        </w:rPr>
        <w:t>‑</w:t>
      </w:r>
      <w:r>
        <w:rPr>
          <w:rFonts w:ascii="Arial" w:cs="Arial" w:eastAsia="Arial" w:hAnsi="Arial"/>
          <w:sz w:val="18"/>
          <w:szCs w:val="18"/>
          <w:color w:val="auto"/>
        </w:rPr>
        <w:t>K Report. Refer to Item 7. – Management’s Discussion and Analysis of Financial Condition and Results of Operations located in our Form 10-K for the fiscal year ended December 31, 2024 (herein incorporated by reference), filed with the SEC on February 25, 2025, for management's discussion of the fiscal year ended December 31,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principally engaged in the distribution of fuel and related products and services in the aviation, land, and marine transportation industries. For additional discussion on our businesses, climate change and sustainability, and the associated risks, see Part I, Item 1. – Business and Item 1A. – Risk Factors within this 2025 10-K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Exit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Exit Activities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including direct fuel transportation services, lubricants, heating oil, power, and certain advisory and sustainability offerings, that are no longer profitable or not aligned with the Company's core business and corporate strategy. As a result of the actions taken, we recognized charges for exit activities totaling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$57.8 million, comprised of severance and compensation costs of $ 26.2 million, charges associated with various legal matters and contract termination costs of $21.7 million, write-offs of receivables and other assets of $5.1 million, and a loss on the sale of assets of $4.7 million. In addition, we recognized asset impairment charges of $5.8 million related to assets no longer in use or expected to provide nominal future economic benefit. We expect to incur additional charges in 2026 as we continue to execute our exit plans. See Note 2. Acquisitions and Divestitures and Note 16. Restructuring and Exit Activities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Restructuring Plan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first quarter of 2025, in alignment with ongoing efforts to rationalize our assets and operations, we began a company-wide restructuring initiative designed to further streamline our operating model and enhance organizational efficiency and effectiveness (the "2025 Restructuring Plan"). As part of this initiative, we undertook cost management actions in response to the current and projected business needs, including the closure of certain open positions and the elimination of other roles to better align the workforce with our current strategic priorities. These actions are expected to result in approximately $30 million in annualized compensation related savings. As a component of the 2025 Restructuring Plan, in June 2025, we launched a program intended to optimize our global finance and accounting operations. We expect this initiative to result in some initial cost savings beginning in 2026 and with increased savings in following years. Total cost savings for the five-year period from 2026 through 2030 are expected to be approximately $80 million. During the fourth quarter of 2025, we also announced an executive transition as a component of the 2025 Restructuring Plan.</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actions taken under the 2025 Restructuring Plan, we recognized $ 45.2 million of restructuring charges associated with the 2025 Restructuring Plan during the year ended December 31, 2025, including $32.7 million of severance and other compensation costs and $12.6 million of other transition related costs. We plan to complete the transition activities associated with the global finance and accounting optimization in the fourth quarter of 2026 and expect to recognize an additional $10.8 million in transition costs and one-time charges associated with the planned global finance and accounting initiatives during the year ending December 31, 2026. See Note 16. Restructuring and Exit Activities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three reportable segments consisting of aviation, land, and marine. See Part I. Item 1. – Business and Note 15. Business Segments, Geographic Information, and Major Customers for additional information about our 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Since 2023, we have successfully achieved higher returns in a high interest rate environment, driven in part by targeted improvements in working capital management consistent with our strategy to rationalize lower-return business activity.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efforts to sharpen our portfolio of businesses and accelerate growth in our core businesses, we completed our sale of the Avinode Group and our portfolio of aviation FBO software products (the "Avinode sale") during the second quarter of 2024. On November 5, 2025, we completed the acquisition of Universal TSS for a total purchase price of approximately $207.0 million. See Note 2. Acquisitions and Divestitures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land segment, we continue to focus on improving capital efficiency by optimizing asset utilization, leveraging the capabilities of our acquisitions, and realigning our operational platform. During the year ended December 31, 2024, we took actions to exit certain operations, including the rationalization of certain assets and associated personnel within our North American land business as well as the disposal of our operations in Brazil. In 2025, we launched an initiative designed to further streamline our operating model and enhance organizational efficiency and effectiveness. We closed the Watson Fuels sale on April 9, 2025 and in the fourth quarter of 2025, committed to and initiated actions to exit certain operations within the land segment, including direct fuel transportation services, lubricants, heating oil, power, and certain advisory and sustainability offerings, that are no longer profitable or not aligned with the Company's core business and corporate strategy.</w:t>
      </w:r>
    </w:p>
    <w:p>
      <w:pPr>
        <w:spacing w:after="0" w:line="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See Note 2. Acquisitions and Divestitures, Note 5. Fair Value Measurements, Note 7. Goodwill and Identifiable Intangible Assets, and Note 16. Restructuring and Exit Activities for additional information about the actions taken and related impairment charges.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as well as a constrained credit environment. We believe that our marine business is well-positioned to generate relatively moderate levels of earnings in stable markets and provide additional value in volatile and credit constrained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uncertainty remains regarding the extent to which changes in U.S. policy will impact international trade and demand for global transportation services. Tariffs and other trade restrictions can lead to continuing uncertainty and volatility in global financial and commodity markets, declining consumer confidence, lower personal and business travel and consequent demand for our fuel products. Additionally, in recent years, inflation in the United States and other jurisdictions in which we do business increased significantly, driven in part by supply chain disruptions, labor shortages and increased commodity prices, which generally resulted in higher costs. Inflation, however, decelerated in 2024 as supply chains stabilized.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rising cost environment, there may be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seen some impact associated with changes in U.S. policy and trade-related uncertainty. While a February 20, 2026 Supreme Court ruling struck down a sweeping series of tariffs that had been imposed in 2025, substantial uncertainty remains with respect to how the ruling will be interpreted and whether some of such tariffs might be reimposed under different legal authority. A significant or prolonged period of trade uncertainty or high inflation could adversely impact our results.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within this 2025 10-K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2025 Compared to Year Ended December 31,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36,916.6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42,168.0</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35,968.8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41,141.6</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r>
      <w:tr>
        <w:trPr>
          <w:trHeight w:val="209"/>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282.5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exit costs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1,512.5</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consolidated revenue for the year ended December 31, 2025 was $36.9 billion, a decrease of $5.3 billion, or 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2024, primarily driven by decreased revenue of $2.6 billion, $1.5 billion, and $1.2 billion in our land, aviation, and marine segments, respectively, as discussed further below.</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consolidated gross profit for the year ended December 31, 2025 was $947.8 million, a decrease of $78.5 million, or 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2024, attributable to decreased gross profit of $86.0 million and $33.3 million in our land and marine segments, respectively, partially offset by increased gross profit of $40.8 million in our aviation segment, as discussed further below.</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Consolidated total operating expenses for the year ended December 31, 2025 were $1.5 billion, an increase of $696.8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85%, compared to the year ended December 31, 2024. The increase in operating expenses was primarily attributable to goodwill and other asset impairment charges of $689.6 million recognized during the year ended December 31, 2025, as discussed in Note 5. Fair Value Measurements and Note 7. Goodwill and Identifiable Intangible Assets, and restructuring and exit costs $103.1 million recognized during the year ended December 31, 2025, as discussed in Note 16. Restructuring and Exit Activities. These costs were partially offset by lower compensation and employee benefit costs and general and administrative expenses primarily driven by the sales of Avinode, Brazil, and Watson Fuels, as well as reduced compensation costs associated with cost reduction initiatives as part of our restructuring program.</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Non-Operating Income (Expenses), net. </w:t>
      </w:r>
      <w:r>
        <w:rPr>
          <w:rFonts w:ascii="Arial" w:cs="Arial" w:eastAsia="Arial" w:hAnsi="Arial"/>
          <w:sz w:val="18"/>
          <w:szCs w:val="18"/>
          <w:color w:val="auto"/>
        </w:rPr>
        <w:t>For the year ended December 31, 2025, we had net non-operating expense of $174.9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$ 115.1 million for the year ended December 31, 2024. The increase in non-operating expense of $59.9 million was primarily attributable to the $81.7 million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the sale of Watson Fuels during the year ended December 31, 2025 compared to the net of the $111.2 million loss recognized on the sale of the Brazil disposal group and the $96.0 million gain recognized on the sale of Avinode during the year ended December 31, 2024, as discussed in Note 2. Acquisitions and Divestitures, partially offset by a decrease in interest expense, driven by a decrease in our average interest rates and daily borrowings, and an increase in other investment income.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December 31, 2025, we recognized income tax benefit of $ 127.9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$27.6 million in 2024. The decrease of $155.6 million was primarily attributable to lower income before income taxes as well as changes in the mix of our worldwide earnings, in addition to a net discrete tax expense of $ 18.1 million the year ended December 31, 2025 as compared to a net discrete tax expense of $3.2 million for the year ended December 31, 2024. See Note 14. Income Taxes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18,993.6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74"/>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7,148.4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7,250.5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in our aviation segment were $ 19.0 billion for the year ended December 31, 2025, a decrease of $1.5 billion, or 7%, compared to the year ended December 31, 2024. The decrease in revenue was driven by lower average prices and a decrease in volumes. Average jet fuel price per gallon sold decreased by $0.20, or 8%, in the year ended December 31, 2025 compared to the year ended December 31, 2024. Total aviation volumes decreased by 102.0 million, or 1%, to 7.1 billion gallons.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Aviation segment gross profit for the year ended December 31, 2025 was $ 526.3 million, an increase of $40.8 million compared to the year ended December 31, 2024. The increase in gross profit was primarily driven by higher profit contributions from our operated airport locations in Europe, increased government and business and general aviation activity, including the contribution from Universal TSS acquired in the fourth quarter of 2025, partially offset by a decrease in gross profit attributable to the Avinode sale, which closed during the second quarter of 2024.</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our aviation segment for the year ended December 31, 2025 was $259.1 million, an increase of $18.8 million, or 8%, compared to the year ended December 31, 2024, attributable to the increase in gross profit discussed above, partially offset by an increase in operating expenses. The increase in operating expenses was primarily due to higher general and administrative and compensation costs associated with increased business and general aviation activity, including the Universal TSS acquisition in the fourth quarter of 2025, higher restructuring charges as discussed in Note 16. Restructuring and Exit Activities, and a higher provision for credit losses compared to the year ended December 31, 2024, which benefited from the recovery of a receivable previously written off as uncollectible. These increased expenses were partially offset by a reduction in compensation and general and administrative expenses associated with the Avinode sale.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10,240.0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0" w:type="dxa"/>
            <w:vAlign w:val="bottom"/>
          </w:tcPr>
          <w:p>
            <w:pPr>
              <w:spacing w:after="0"/>
              <w:rPr>
                <w:sz w:val="1"/>
                <w:szCs w:val="1"/>
                <w:color w:val="auto"/>
              </w:rPr>
            </w:pPr>
          </w:p>
        </w:tc>
      </w:tr>
      <w:tr>
        <w:trPr>
          <w:trHeight w:val="94"/>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5,612.7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our land segment were $ 10.2 billion for the year ended December 31, 2025, a decrease of $ 2.6 billion, or 20%, compared to the year ended December 31, 2024. The decrease in revenue was principally driven by lower average fuel prices and a decrease in volumes. Average fuel prices decreased by $0.28, or 13%, in the year ended December 31, 2025 compared to the year ended December 31, 2024. Total land volumes decreased by 0.5 billion, or 8%, to 5.6 billion gallon or gallon equivalents in the year ended December 31, 2025 compared to the year ended December 31, 2024, primarily attributable to the sale of Watson Fuels and our fuel business in Brazil.</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Land segment gross profit for the year ended December 31, 2025 was $298.4 million, a decrease of $86.0 million, or 22%, compared to the year ended December 31, 2024. The decrease in gross profit was primarily due to unfavorable market conditions in parts of our North American liquid fuel business and our European power business, both non-core and in the process of being exited, as well as the Watson Fuels sale, which closed during the second quarter of 2025. These decreases were partially offset by higher profit contributions from our natural gas business in North America, driven by increased price volatility.</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for the year ended December 31, 2025 was $692.6 million compared to income from operations of $41.1 million for the year ended December 31, 2024. In addition to the decrease in gross profit discussed above, operating expenses increased principally related to goodwill and other asset impairment charges recognized during the year ended December 31, 2025, as discussed in Note 5. Fair Value Measurements and Note 7. Goodwill and Identifiable Intangible Assets, and restructuring and exit costs, as discussed in Note 16. Restructuring and Exit Activities, partially offset by reduced operating expenses associated with the sale of Watson Fuels in the second quarter of 2025 and the sale of our fuel business in Brazil. In addition, compensation and employee benefit costs were lower as a result of the 2025 Restructuring Plan initiatives and our provision for credit losses was lower as a result of the write-off of accounts receivable during the year ended December 31, 2024 associated with exit activities, as discussed under "Restructuring and Exit Activities" above.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94"/>
        </w:trPr>
        <w:tc>
          <w:tcPr>
            <w:tcW w:w="5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marine segment were $7.7 billion for the year ended December 31, 2025, a decrease of $1.2 billion, or 14%, compared to the year ended December 31, 2024. The decrease in revenue was principally driven by lower average fuel prices and a decrease in volumes. The average price per metric ton of bunker fuel sold decreased by $ 48.74, or 9%, in the year ended December 31, 2025 compared to the year ended December 31, 2024. In addition, total volumes decreased by 0.8 million metric tons, or 5%, to 15.8 million metric tons in the year ended December 31, 2025 compared to the year ended December 31, 2024 primarily due to lower demand in our resale businesses driven in part by market uncertainty with respect to international trade.</w:t>
      </w:r>
    </w:p>
    <w:p>
      <w:pPr>
        <w:spacing w:after="0" w:line="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Marine segment gross profit for the year ended December 31, 2025 was $123.1 million, a decrease of $33.3 million, or 21%, compared to the year ended December 31, 2024. The decrease in gross profit was principally driven by lower bunker fuel prices and continued low market price volatility, as well as a lower profit contribution from certain physical locations and an unfavorable transaction tax settlement recognized in the second quarter of 2025.</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 our marine segment for the year ended December 31, 2025 was $0.9 million, a decrease of $ 63.9 million, or 99%, compared to the year ended December 31, 2024. In addition to the decrease in gross profit discussed above, operating expenses increased primarily as a result of asset impairment charges recognized during the year ended December 31, 2025, as discussed in Note 5. Fair Value Measurements, partially offset by a reduction in incentive compensation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Liquidity to fund working capital, as well as make strategic investments,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credit arrangements with banks, suppliers and other parties as important sources of liquidity for capital requirements not satisfied by our operating cash flow. Market volatility, generally, and any persistent weakness in global energy markets may adversely affect our ability to access capital and credit markets or to obtain funds at reasonable interest rates or on other advantageous terms. In addition, since our business is impacted by the availability of trade credit to fund fuel purchases, an actual or perceived decline in our liquidity or business generally could cause our suppliers to reduce our credit lines, seek credit support in the form of additional collateral or otherwise materially modify our payment terms.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Furthermore, when fuel prices increase our working capital requirements increase and our own credit limits could prevent us from purchasing enough fuel from our suppliers to meet our customers’ demands, or we could be required to prepay for fuel purchases, any of which would adversely impact our liquidity.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information currently available, we believe that our cash and cash equivalents as of December 31, 2025 and available funds from our Credit Facility, together with cash flows generated by operations, are sufficient to fund our working capital and capital expenditure requirements for at least the next twelve months after the financial statements are issued.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As of December 31, 2025, we have outstanding $ 350.0 million aggregate principal amount of 3.250% Convertible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2028 (the "Convertible Notes") which mature on July 1, 2028, unless earlier converted, redeemed or repurchased. The Convertible Notes are senior, unsecured obligations that bear interest at a rate of 3.250% per year, payable semiannually in arrears on January 1 and July 1 of each year. As of December 31, 2025, the conversion rate is 35.6103 shares of common stock per $1,000 principal amount of Convertible Notes, which is equivalent to a conversion price of approximately $28.08 per share. The conversion rate is subject to adjustment upon the occurrence of certain events, but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and warrant transactions. The convertible note hedge transactions cover, subject to customary anti-dilution adjustments, the number of shares of common stock that initially underlie the Convertible Notes, and have a strike price equal to the conversion price of the Convertible Notes. Separately, we sold warrants to acquire, subject to anti-dilution adjustments, the same amount of shares at a strike price of $39.64 per share as of December 31, 2025. As a result, dilution upon conversion of the Convertible Notes will be mitigated as the bond hedge and warrant transactions increase the effective conversion price of the Convertible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See Note 9. Debt, Interest Income, Expense, and Other Finance Costs for additional information.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Our Credit Agreement matures in November 2030 and provides for a revolving credit facility and term loan borrowings.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10, 2025, we entered into Amendment No. 11 to the Fourth Amended and Restated Credit Agreement (as amended, the "Credit Agreement"), to amend certain terms and conditions of our credit facility, including to: (i) extend the maturity from April 1, 2027 to November 10, 2030; (ii) increase the revolving credit facility provided under the Credit Agreement to $1.65 billion (the "Credit Facility"); (iii) replace the existing term loan with a new term loan in the original principal amount of $350.0 million (the "Term Loan"), thereby maintaining the total borrowing capacity under the credit facility at $2.0 billion; (iv) modify the pricing of the loans and related fees; and (v) modify certain financial and other covenants to provide greater operating flexibility.</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9. Debt, Interest Income, Expense, and Other Finance Costs for additional information.</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bankers’ acceptances. These credit lines are renewable on an annual basis and are subject to fees at market rates. As of December 31, 2025 and 2024, our outstanding letters of credit and bank guarantees under these credit lines totaled $396.4 million and $360.1 million,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receivables purchase agreements ("RPAs")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 us to sell a specified amount of 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the third quarter of 2025, we amended one of our RPAs to extend the term of the agreement and reduce the overall fee structure. See Note 3. Accounts Receivable for additional information.</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Supplier Financing Programs. </w:t>
      </w:r>
      <w:r>
        <w:rPr>
          <w:rFonts w:ascii="Arial" w:cs="Arial" w:eastAsia="Arial" w:hAnsi="Arial"/>
          <w:sz w:val="18"/>
          <w:szCs w:val="18"/>
          <w:color w:val="auto"/>
        </w:rPr>
        <w:t>Under various supplier finance programs, we agree to pay counterparties engaged as paying agents the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confirmed invoices from our designated suppliers on the original maturity date of the invoices. Under certain of these arrangements, we may also pay fees for the supplier finance platform and related support. See Note 8. Supplier Finance Programs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Item 1A. – Risk Factors in Part I within this 2025 10-K Report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our material cash requirements from contractual obligations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Long-Term</w:t>
            </w:r>
          </w:p>
        </w:tc>
        <w:tc>
          <w:tcPr>
            <w:tcW w:w="3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0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interest obligations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w:t>
            </w:r>
          </w:p>
        </w:tc>
      </w:tr>
      <w:tr>
        <w:trPr>
          <w:trHeight w:val="229"/>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9"/>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Derivatives obligations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commitment obligations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obligations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Debt and interest obligations include principal and interest payments on fixed-rate and variable-rate, fixed-term debt based on their maturity dates. See Note 9. Debt, Interest Income, Expense, and Other Finance Costs for additional information.</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See Note 12. Leases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As part of our risk management program, we enter into derivative instruments intended to mitigate risks associated with changes in commodity prices, foreign currency exchange rates, and interest rates. Our obligations associated with these derivative instruments fluctuate based on changes in the fair value of the derivatives. See Note 4. Derivative Instruments and Note 5. Fair Value Measurements for additional information.</w:t>
      </w:r>
    </w:p>
    <w:p>
      <w:pPr>
        <w:spacing w:after="0" w:line="86"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We have fixed purchase commitments associated with our risk management program, as well as a purchase contract, that runs through 2026, under which we agreed to purchase annually 2.0 million barrels of aviation fuel at future market prices. See Note 10. Commitments and Contingencies for additional information.</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material cash requirements and off-balance sheet arrangements, in addition to the contractual obligations in the table above, include the following:</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During the year ended December 31, 2025, we incurred capital expenditures in the ordinary course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$65.6 million. In 2026, we expect our capital expenditures to be generally consistent with the year ended December 31,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2025, we have recorded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of $95.9 million. The timing of any settlement of our Unrecognized Tax Liabilities with the respective taxing authority cannot be reasonably estimated.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2025, we had issued letters of credit and bank guarantees totaling $490.3 million under our Credit Facility and other uncommitted credit lines.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$65.5 million as of December 31,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Trip Support Services Acquisition. </w:t>
      </w:r>
      <w:r>
        <w:rPr>
          <w:rFonts w:ascii="Arial" w:cs="Arial" w:eastAsia="Arial" w:hAnsi="Arial"/>
          <w:sz w:val="18"/>
          <w:szCs w:val="18"/>
          <w:color w:val="auto"/>
        </w:rPr>
        <w:t>On November 5, 2025, we completed the Universal TSS acquisition for a total estimated consideration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$207.0 million. At closing, $154.4 million was paid in cash and $60.0 million remains payable over the next four years. See Note 2. Acquisitions and Divestitures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reflects the major categories of cash flows (in millions). For additional details, please see the 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ind w:left="62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271.3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left="490"/>
              <w:spacing w:after="0"/>
              <w:rPr>
                <w:sz w:val="20"/>
                <w:szCs w:val="20"/>
                <w:color w:val="auto"/>
              </w:rPr>
            </w:pPr>
            <w:r>
              <w:rPr>
                <w:rFonts w:ascii="Arial" w:cs="Arial" w:eastAsia="Arial" w:hAnsi="Arial"/>
                <w:sz w:val="18"/>
                <w:szCs w:val="18"/>
                <w:color w:val="auto"/>
              </w:rPr>
              <w:t>(101.1)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(152.4)</w:t>
            </w:r>
          </w:p>
        </w:tc>
      </w:tr>
    </w:tbl>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2025, net cash provided by operating activities was $ 292.9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$259.9 million net cash provided during the year ended December 31, 2024. The $33.0 million increase in operating cash flows was principally due to increased cash provided by our accounts payable and accounts receivable, inclusive of cash provided by our RPA activity, driven by the declining price environment during the year ended December 31, 2025, as well as cash provided by the collection of transaction tax refunds during the year ended December 31, 2025. These increased cash flows were partially offset by a decrease in our net income adjusted for noncash items (see "Results of Operations" for further details of the drivers impacting our net income), an increase in cash used in our derivative activities, driven by increased collateral requirements, and income tax payments.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2025, net cash used in investing activities was $170.0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$64.5 million during the year ended December 31, 2024. The net cash used in investing activities in 2025 was primarily driven by $153.6 million paid to acquire Universal TSS as discussed in Note 2. Acquisitions and Divestitures, capital expenditures of $65.6 million, and asset acquisitions of $13.3 million, partially offset by $29.4 million of cash received from the net repayment of notes receivable and $23.4 million net proceeds from the Watson Sale. Net cash provided by investing activities in 2024 was principally driven by net proceeds of $200.1 million and $8.9 million from the Avinode sale and the Brazil sale, respectively, as discussed in Note 2. Acquisitions and Divestitures, partially offset by capital expenditures of $68.2 million, the issuance of notes receivable, net of repayments received, of $37.3 million and cash paid for the acquisition of a business of $40.0 million.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2025, net cash used in financing activities was $315.1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$230.6 million for the year ended December 31, 2024. The net cash used in financing activities in 2025 was primarily attributable to net repayments of debt of $ 171.7 million driven by net repayments of Credit Facility and term loan borrowings as well as secured borrowings associated with the transfer of transaction taxes, repurchases of common stock of $85.0 million, and dividend payments of $41.3 million. Net cash used in financing activities in 2024 was primarily attributable to repurchases of common stock of $100.0 million, payments of deferred consideration related to prior acquisitions of $51.8 million, dividend payments of $38.5 million, and net repayments under our Credit Facility of $21.9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in this 2025 10</w:t>
      </w:r>
      <w:r>
        <w:rPr>
          <w:rFonts w:ascii="MS PGothic" w:cs="MS PGothic" w:eastAsia="MS PGothic" w:hAnsi="MS PGothic"/>
          <w:sz w:val="18"/>
          <w:szCs w:val="18"/>
          <w:color w:val="auto"/>
        </w:rPr>
        <w:t>‑</w:t>
      </w:r>
      <w:r>
        <w:rPr>
          <w:rFonts w:ascii="Arial" w:cs="Arial" w:eastAsia="Arial" w:hAnsi="Arial"/>
          <w:sz w:val="18"/>
          <w:szCs w:val="18"/>
          <w:color w:val="auto"/>
        </w:rPr>
        <w:t xml:space="preserve"> 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long-lived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w:t>
      </w:r>
    </w:p>
    <w:p>
      <w:pPr>
        <w:spacing w:after="0" w:line="103" w:lineRule="exact"/>
        <w:rPr>
          <w:sz w:val="20"/>
          <w:szCs w:val="20"/>
          <w:color w:val="auto"/>
        </w:rPr>
      </w:pPr>
    </w:p>
    <w:p>
      <w:pPr>
        <w:ind w:left="1040"/>
        <w:spacing w:after="0"/>
        <w:tabs>
          <w:tab w:leader="none" w:pos="3440" w:val="left"/>
          <w:tab w:leader="none" w:pos="674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7"/>
          <w:szCs w:val="17"/>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17"/>
          <w:szCs w:val="17"/>
          <w:i w:val="1"/>
          <w:iCs w:val="1"/>
          <w:color w:val="auto"/>
        </w:rPr>
        <w:t>We evaluate goodwill for impairment at least annually, and whenever</w:t>
      </w:r>
    </w:p>
    <w:p>
      <w:pPr>
        <w:jc w:val="both"/>
        <w:ind w:left="20" w:right="20"/>
        <w:spacing w:after="0" w:line="221" w:lineRule="auto"/>
        <w:rPr>
          <w:sz w:val="20"/>
          <w:szCs w:val="20"/>
          <w:color w:val="auto"/>
        </w:rPr>
      </w:pPr>
      <w:r>
        <w:rPr>
          <w:rFonts w:ascii="Arial" w:cs="Arial" w:eastAsia="Arial" w:hAnsi="Arial"/>
          <w:sz w:val="17"/>
          <w:szCs w:val="17"/>
          <w:i w:val="1"/>
          <w:iCs w:val="1"/>
          <w:color w:val="auto"/>
        </w:rPr>
        <w:t>events or changes in circumstances indicate it is more likely than not that the fair value of a reporting unit is</w:t>
      </w:r>
    </w:p>
    <w:p>
      <w:pPr>
        <w:ind w:left="20"/>
        <w:spacing w:after="0" w:line="203" w:lineRule="auto"/>
        <w:rPr>
          <w:sz w:val="20"/>
          <w:szCs w:val="20"/>
          <w:color w:val="auto"/>
        </w:rPr>
      </w:pPr>
      <w:r>
        <w:rPr>
          <w:rFonts w:ascii="Arial" w:cs="Arial" w:eastAsia="Arial" w:hAnsi="Arial"/>
          <w:sz w:val="18"/>
          <w:szCs w:val="18"/>
          <w:i w:val="1"/>
          <w:iCs w:val="1"/>
          <w:color w:val="auto"/>
        </w:rPr>
        <w:t>less than its carrying amount. We</w:t>
      </w:r>
    </w:p>
    <w:p>
      <w:pPr>
        <w:ind w:left="20"/>
        <w:spacing w:after="0" w:line="203" w:lineRule="auto"/>
        <w:rPr>
          <w:sz w:val="20"/>
          <w:szCs w:val="20"/>
          <w:color w:val="auto"/>
        </w:rPr>
      </w:pPr>
      <w:r>
        <w:rPr>
          <w:rFonts w:ascii="Arial" w:cs="Arial" w:eastAsia="Arial" w:hAnsi="Arial"/>
          <w:sz w:val="18"/>
          <w:szCs w:val="18"/>
          <w:i w:val="1"/>
          <w:iCs w:val="1"/>
          <w:color w:val="auto"/>
        </w:rPr>
        <w:t>periodically evaluate whether the</w:t>
      </w:r>
    </w:p>
    <w:p>
      <w:pPr>
        <w:ind w:left="20"/>
        <w:spacing w:after="0" w:line="220" w:lineRule="auto"/>
        <w:rPr>
          <w:sz w:val="20"/>
          <w:szCs w:val="20"/>
          <w:color w:val="auto"/>
        </w:rPr>
      </w:pPr>
      <w:r>
        <w:rPr>
          <w:rFonts w:ascii="Arial" w:cs="Arial" w:eastAsia="Arial" w:hAnsi="Arial"/>
          <w:sz w:val="18"/>
          <w:szCs w:val="18"/>
          <w:i w:val="1"/>
          <w:iCs w:val="1"/>
          <w:color w:val="auto"/>
        </w:rPr>
        <w:t>carrying value of long-lived assets</w:t>
      </w:r>
    </w:p>
    <w:p>
      <w:pPr>
        <w:ind w:left="20"/>
        <w:spacing w:after="0" w:line="221" w:lineRule="auto"/>
        <w:rPr>
          <w:sz w:val="20"/>
          <w:szCs w:val="20"/>
          <w:color w:val="auto"/>
        </w:rPr>
      </w:pPr>
      <w:r>
        <w:rPr>
          <w:rFonts w:ascii="Arial" w:cs="Arial" w:eastAsia="Arial" w:hAnsi="Arial"/>
          <w:sz w:val="17"/>
          <w:szCs w:val="17"/>
          <w:i w:val="1"/>
          <w:iCs w:val="1"/>
          <w:color w:val="auto"/>
        </w:rPr>
        <w:t>(property and equipment, identifiable intangible assets, and leases), cost method investments, and equity</w:t>
      </w:r>
    </w:p>
    <w:p>
      <w:pPr>
        <w:ind w:left="20" w:right="140"/>
        <w:spacing w:after="0" w:line="221" w:lineRule="auto"/>
        <w:rPr>
          <w:sz w:val="20"/>
          <w:szCs w:val="20"/>
          <w:color w:val="auto"/>
        </w:rPr>
      </w:pPr>
      <w:r>
        <w:rPr>
          <w:rFonts w:ascii="Arial" w:cs="Arial" w:eastAsia="Arial" w:hAnsi="Arial"/>
          <w:sz w:val="17"/>
          <w:szCs w:val="17"/>
          <w:i w:val="1"/>
          <w:iCs w:val="1"/>
          <w:color w:val="auto"/>
        </w:rPr>
        <w:t>method investments have been impaired when circumstances indicate the carrying value of those</w:t>
      </w:r>
    </w:p>
    <w:p>
      <w:pPr>
        <w:ind w:left="20"/>
        <w:spacing w:after="0"/>
        <w:rPr>
          <w:sz w:val="20"/>
          <w:szCs w:val="20"/>
          <w:color w:val="auto"/>
        </w:rPr>
      </w:pPr>
      <w:r>
        <w:rPr>
          <w:rFonts w:ascii="Arial" w:cs="Arial" w:eastAsia="Arial" w:hAnsi="Arial"/>
          <w:sz w:val="18"/>
          <w:szCs w:val="18"/>
          <w:i w:val="1"/>
          <w:iCs w:val="1"/>
          <w:color w:val="auto"/>
        </w:rPr>
        <w:t>assets may not be recoverable.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380"/>
        <w:spacing w:after="0" w:line="224" w:lineRule="auto"/>
        <w:rPr>
          <w:sz w:val="20"/>
          <w:szCs w:val="20"/>
          <w:color w:val="auto"/>
        </w:rPr>
      </w:pPr>
      <w:r>
        <w:rPr>
          <w:rFonts w:ascii="Arial" w:cs="Arial" w:eastAsia="Arial" w:hAnsi="Arial"/>
          <w:sz w:val="17"/>
          <w:szCs w:val="17"/>
          <w:color w:val="auto"/>
        </w:rPr>
        <w:t>These assessments require us to make accounting estimates that</w:t>
      </w:r>
    </w:p>
    <w:p>
      <w:pPr>
        <w:ind w:right="260"/>
        <w:spacing w:after="0" w:line="221" w:lineRule="auto"/>
        <w:rPr>
          <w:sz w:val="20"/>
          <w:szCs w:val="20"/>
          <w:color w:val="auto"/>
        </w:rPr>
      </w:pPr>
      <w:r>
        <w:rPr>
          <w:rFonts w:ascii="Arial" w:cs="Arial" w:eastAsia="Arial" w:hAnsi="Arial"/>
          <w:sz w:val="17"/>
          <w:szCs w:val="17"/>
          <w:color w:val="auto"/>
        </w:rPr>
        <w:t>require consideration of forecasted financial information. Significant judgment is involved in performing</w:t>
      </w:r>
    </w:p>
    <w:p>
      <w:pPr>
        <w:ind w:right="320"/>
        <w:spacing w:after="0" w:line="221" w:lineRule="auto"/>
        <w:rPr>
          <w:sz w:val="20"/>
          <w:szCs w:val="20"/>
          <w:color w:val="auto"/>
        </w:rPr>
      </w:pPr>
      <w:r>
        <w:rPr>
          <w:rFonts w:ascii="Arial" w:cs="Arial" w:eastAsia="Arial" w:hAnsi="Arial"/>
          <w:sz w:val="17"/>
          <w:szCs w:val="17"/>
          <w:color w:val="auto"/>
        </w:rPr>
        <w:t>these estimates as they are developed based on forecasted assumptions. As of December 31,</w:t>
      </w:r>
    </w:p>
    <w:p>
      <w:pPr>
        <w:ind w:right="280"/>
        <w:spacing w:after="0" w:line="221" w:lineRule="auto"/>
        <w:rPr>
          <w:sz w:val="20"/>
          <w:szCs w:val="20"/>
          <w:color w:val="auto"/>
        </w:rPr>
      </w:pPr>
      <w:r>
        <w:rPr>
          <w:rFonts w:ascii="Arial" w:cs="Arial" w:eastAsia="Arial" w:hAnsi="Arial"/>
          <w:sz w:val="17"/>
          <w:szCs w:val="17"/>
          <w:color w:val="auto"/>
        </w:rPr>
        <w:t>2025, the assumptions used, particularly the expected growth rates, the profitability embedded in</w:t>
      </w:r>
    </w:p>
    <w:p>
      <w:pPr>
        <w:ind w:right="200"/>
        <w:spacing w:after="0" w:line="208" w:lineRule="auto"/>
        <w:rPr>
          <w:sz w:val="20"/>
          <w:szCs w:val="20"/>
          <w:color w:val="auto"/>
        </w:rPr>
      </w:pPr>
      <w:r>
        <w:rPr>
          <w:rFonts w:ascii="Arial" w:cs="Arial" w:eastAsia="Arial" w:hAnsi="Arial"/>
          <w:sz w:val="18"/>
          <w:szCs w:val="18"/>
          <w:color w:val="auto"/>
        </w:rPr>
        <w:t>the projected cash flow provided by our legacy and newly acquired businesses, the discount rate, and</w:t>
      </w:r>
    </w:p>
    <w:p>
      <w:pPr>
        <w:spacing w:after="0" w:line="2" w:lineRule="exact"/>
        <w:rPr>
          <w:sz w:val="20"/>
          <w:szCs w:val="20"/>
          <w:color w:val="auto"/>
        </w:rPr>
      </w:pPr>
    </w:p>
    <w:p>
      <w:pPr>
        <w:ind w:right="380"/>
        <w:spacing w:after="0" w:line="208" w:lineRule="auto"/>
        <w:rPr>
          <w:sz w:val="20"/>
          <w:szCs w:val="20"/>
          <w:color w:val="auto"/>
        </w:rPr>
      </w:pPr>
      <w:r>
        <w:rPr>
          <w:rFonts w:ascii="Arial" w:cs="Arial" w:eastAsia="Arial" w:hAnsi="Arial"/>
          <w:sz w:val="18"/>
          <w:szCs w:val="18"/>
          <w:color w:val="auto"/>
        </w:rPr>
        <w:t>the market-based multiples, were defined based on available information as of the testing date</w:t>
      </w:r>
    </w:p>
    <w:p>
      <w:pPr>
        <w:spacing w:after="0" w:line="2"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considering current market volatility and geopolitical risks. Specifically for goodwill, management also</w:t>
      </w:r>
    </w:p>
    <w:p>
      <w:pPr>
        <w:spacing w:after="0" w:line="2"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considered the volatility in the company's market capitalization and evaluated the potential impact that</w:t>
      </w:r>
    </w:p>
    <w:p>
      <w:pPr>
        <w:ind w:right="60"/>
        <w:spacing w:after="0" w:line="221" w:lineRule="auto"/>
        <w:rPr>
          <w:sz w:val="20"/>
          <w:szCs w:val="20"/>
          <w:color w:val="auto"/>
        </w:rPr>
      </w:pPr>
      <w:r>
        <w:rPr>
          <w:rFonts w:ascii="Arial" w:cs="Arial" w:eastAsia="Arial" w:hAnsi="Arial"/>
          <w:sz w:val="17"/>
          <w:szCs w:val="17"/>
          <w:color w:val="auto"/>
        </w:rPr>
        <w:t>this volatility may have had on the estimated fair value of our reporting units. For our cost and equity method</w:t>
      </w:r>
    </w:p>
    <w:p>
      <w:pPr>
        <w:spacing w:after="0" w:line="208" w:lineRule="auto"/>
        <w:rPr>
          <w:sz w:val="20"/>
          <w:szCs w:val="20"/>
          <w:color w:val="auto"/>
        </w:rPr>
      </w:pPr>
      <w:r>
        <w:rPr>
          <w:rFonts w:ascii="Arial" w:cs="Arial" w:eastAsia="Arial" w:hAnsi="Arial"/>
          <w:sz w:val="18"/>
          <w:szCs w:val="18"/>
          <w:color w:val="auto"/>
        </w:rPr>
        <w:t>investments, the profitability embedded in the projected cash flows provided by our investees are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critical estimate.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color w:val="auto"/>
        </w:rPr>
        <w:t>A reporting unit is considered at risk when its fair value does not exceed its carrying amount by more than 10%. While</w:t>
      </w:r>
    </w:p>
    <w:p>
      <w:pPr>
        <w:ind w:right="20"/>
        <w:spacing w:after="0" w:line="221" w:lineRule="auto"/>
        <w:rPr>
          <w:sz w:val="20"/>
          <w:szCs w:val="20"/>
          <w:color w:val="auto"/>
        </w:rPr>
      </w:pPr>
      <w:r>
        <w:rPr>
          <w:rFonts w:ascii="Arial" w:cs="Arial" w:eastAsia="Arial" w:hAnsi="Arial"/>
          <w:sz w:val="17"/>
          <w:szCs w:val="17"/>
          <w:color w:val="auto"/>
        </w:rPr>
        <w:t>our aviation reporting unit is not considered at risk, our land reporting unit has been considered to be at risk since the fourth quarter of 2024. As discussed in Note 7. Goodwill and</w:t>
      </w:r>
    </w:p>
    <w:p>
      <w:pPr>
        <w:ind w:right="20"/>
        <w:spacing w:after="0" w:line="221" w:lineRule="auto"/>
        <w:rPr>
          <w:sz w:val="20"/>
          <w:szCs w:val="20"/>
          <w:color w:val="auto"/>
        </w:rPr>
      </w:pPr>
      <w:r>
        <w:rPr>
          <w:rFonts w:ascii="Arial" w:cs="Arial" w:eastAsia="Arial" w:hAnsi="Arial"/>
          <w:sz w:val="17"/>
          <w:szCs w:val="17"/>
          <w:color w:val="auto"/>
        </w:rPr>
        <w:t>Identifiable Intangible Assets, during the second quarter of 2025 we identified a triggering event with respect to our land reporting unit and determined that it was more likely than</w:t>
      </w:r>
    </w:p>
    <w:p>
      <w:pPr>
        <w:ind w:right="80"/>
        <w:spacing w:after="0" w:line="221" w:lineRule="auto"/>
        <w:rPr>
          <w:sz w:val="20"/>
          <w:szCs w:val="20"/>
          <w:color w:val="auto"/>
        </w:rPr>
      </w:pPr>
      <w:r>
        <w:rPr>
          <w:rFonts w:ascii="Arial" w:cs="Arial" w:eastAsia="Arial" w:hAnsi="Arial"/>
          <w:sz w:val="17"/>
          <w:szCs w:val="17"/>
          <w:color w:val="auto"/>
        </w:rPr>
        <w:t>not that the fair value of the reporting unit was less than its carrying value. We performed a quantitative impairment test and concluded that the carrying value of the land reporting</w:t>
      </w:r>
    </w:p>
    <w:p>
      <w:pPr>
        <w:ind w:right="140"/>
        <w:spacing w:after="0" w:line="221" w:lineRule="auto"/>
        <w:rPr>
          <w:sz w:val="20"/>
          <w:szCs w:val="20"/>
          <w:color w:val="auto"/>
        </w:rPr>
      </w:pPr>
      <w:r>
        <w:rPr>
          <w:rFonts w:ascii="Arial" w:cs="Arial" w:eastAsia="Arial" w:hAnsi="Arial"/>
          <w:sz w:val="17"/>
          <w:szCs w:val="17"/>
          <w:color w:val="auto"/>
        </w:rPr>
        <w:t>unit exceeded its estimated fair value. As a result, we recognized a goodwill impairment charge of $359.0 million, which represented a partial impairment of goodwill in our</w:t>
      </w:r>
    </w:p>
    <w:p>
      <w:pPr>
        <w:spacing w:after="0"/>
        <w:rPr>
          <w:sz w:val="20"/>
          <w:szCs w:val="20"/>
          <w:color w:val="auto"/>
        </w:rPr>
      </w:pPr>
      <w:r>
        <w:rPr>
          <w:rFonts w:ascii="Arial" w:cs="Arial" w:eastAsia="Arial" w:hAnsi="Arial"/>
          <w:sz w:val="18"/>
          <w:szCs w:val="18"/>
          <w:color w:val="auto"/>
        </w:rPr>
        <w:t>land reporting unit.</w:t>
      </w:r>
    </w:p>
    <w:p>
      <w:pPr>
        <w:spacing w:after="0" w:line="194"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During the fourth quarter of 2025, revisions to our long-term forecasts in connection with our annual goodwill impairment</w:t>
      </w:r>
    </w:p>
    <w:p>
      <w:pPr>
        <w:spacing w:after="0" w:line="1" w:lineRule="exact"/>
        <w:rPr>
          <w:sz w:val="20"/>
          <w:szCs w:val="20"/>
          <w:color w:val="auto"/>
        </w:rPr>
      </w:pPr>
    </w:p>
    <w:p>
      <w:pPr>
        <w:ind w:right="60"/>
        <w:spacing w:after="0" w:line="208" w:lineRule="auto"/>
        <w:rPr>
          <w:sz w:val="20"/>
          <w:szCs w:val="20"/>
          <w:color w:val="auto"/>
        </w:rPr>
      </w:pPr>
      <w:r>
        <w:rPr>
          <w:rFonts w:ascii="Arial" w:cs="Arial" w:eastAsia="Arial" w:hAnsi="Arial"/>
          <w:sz w:val="18"/>
          <w:szCs w:val="18"/>
          <w:color w:val="auto"/>
        </w:rPr>
        <w:t>assessment resulted in a further decrease in the fair value of the land reporting unit. As a result, in the fourth quarter of 2025 we recognized an additional goodwill impairment</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charge of $ 169.3 million, which represented a partial impairment of goodwill in our land reporting unit. As of December 31, 2025, the remaining goodwill balances in our</w:t>
      </w:r>
    </w:p>
    <w:p>
      <w:pPr>
        <w:ind w:right="320"/>
        <w:spacing w:after="0" w:line="229" w:lineRule="auto"/>
        <w:rPr>
          <w:sz w:val="20"/>
          <w:szCs w:val="20"/>
          <w:color w:val="auto"/>
        </w:rPr>
      </w:pPr>
      <w:r>
        <w:rPr>
          <w:rFonts w:ascii="Arial" w:cs="Arial" w:eastAsia="Arial" w:hAnsi="Arial"/>
          <w:sz w:val="18"/>
          <w:szCs w:val="18"/>
          <w:color w:val="auto"/>
        </w:rPr>
        <w:t>land and aviation reporting units were $301.7 million and $435.8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2025, we also</w:t>
      </w:r>
    </w:p>
    <w:p>
      <w:pPr>
        <w:ind w:right="300"/>
        <w:spacing w:after="0" w:line="221" w:lineRule="auto"/>
        <w:rPr>
          <w:sz w:val="20"/>
          <w:szCs w:val="20"/>
          <w:color w:val="auto"/>
        </w:rPr>
      </w:pPr>
      <w:r>
        <w:rPr>
          <w:rFonts w:ascii="Arial" w:cs="Arial" w:eastAsia="Arial" w:hAnsi="Arial"/>
          <w:sz w:val="18"/>
          <w:szCs w:val="18"/>
          <w:color w:val="auto"/>
        </w:rPr>
        <w:t>recognized other asset impairment charges of $161.3 million, primarily associated with assets that were sold or classified as held for sale as of December 31, 2025.</w:t>
      </w:r>
    </w:p>
    <w:p>
      <w:pPr>
        <w:spacing w:after="0" w:line="193" w:lineRule="exact"/>
        <w:rPr>
          <w:sz w:val="20"/>
          <w:szCs w:val="20"/>
          <w:color w:val="auto"/>
        </w:rPr>
      </w:pPr>
    </w:p>
    <w:p>
      <w:pPr>
        <w:jc w:val="both"/>
        <w:ind w:right="120"/>
        <w:spacing w:after="0" w:line="228" w:lineRule="auto"/>
        <w:rPr>
          <w:sz w:val="20"/>
          <w:szCs w:val="20"/>
          <w:color w:val="auto"/>
        </w:rPr>
      </w:pPr>
      <w:r>
        <w:rPr>
          <w:rFonts w:ascii="Arial" w:cs="Arial" w:eastAsia="Arial" w:hAnsi="Arial"/>
          <w:sz w:val="17"/>
          <w:szCs w:val="17"/>
          <w:color w:val="auto"/>
        </w:rPr>
        <w:t>If our actual results differ significantly from the assumptions used to determined the fair value of the reporting unit, such impact could potentially result in additional goodwill</w:t>
      </w:r>
    </w:p>
    <w:p>
      <w:pPr>
        <w:spacing w:after="0" w:line="1" w:lineRule="exact"/>
        <w:rPr>
          <w:sz w:val="20"/>
          <w:szCs w:val="20"/>
          <w:color w:val="auto"/>
        </w:rPr>
      </w:pPr>
    </w:p>
    <w:p>
      <w:pPr>
        <w:ind w:right="400"/>
        <w:spacing w:after="0" w:line="221" w:lineRule="auto"/>
        <w:rPr>
          <w:sz w:val="20"/>
          <w:szCs w:val="20"/>
          <w:color w:val="auto"/>
        </w:rPr>
      </w:pPr>
      <w:r>
        <w:rPr>
          <w:rFonts w:ascii="Arial" w:cs="Arial" w:eastAsia="Arial" w:hAnsi="Arial"/>
          <w:sz w:val="18"/>
          <w:szCs w:val="18"/>
          <w:color w:val="auto"/>
        </w:rPr>
        <w:t>impairment charges in future periods. See Notes 5. Fair Value Measurements and 7. Goodwill and Identifiable Intangible Assets for additional information.</w:t>
      </w:r>
    </w:p>
    <w:p>
      <w:pPr>
        <w:spacing w:after="0" w:line="200" w:lineRule="exact"/>
        <w:rPr>
          <w:sz w:val="20"/>
          <w:szCs w:val="20"/>
          <w:color w:val="auto"/>
        </w:rPr>
      </w:pPr>
    </w:p>
    <w:p>
      <w:pPr>
        <w:sectPr>
          <w:pgSz w:w="11900" w:h="16838" w:orient="portrait"/>
          <w:cols w:equalWidth="0" w:num="3">
            <w:col w:w="2940" w:space="280"/>
            <w:col w:w="3020" w:space="180"/>
            <w:col w:w="4820"/>
          </w:cols>
          <w:pgMar w:left="320" w:top="121"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4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938"/>
        </w:trPr>
        <w:tc>
          <w:tcPr>
            <w:tcW w:w="274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Description</w:t>
            </w:r>
          </w:p>
        </w:tc>
        <w:tc>
          <w:tcPr>
            <w:tcW w:w="36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Judgments and Uncertainties</w:t>
            </w:r>
          </w:p>
        </w:tc>
        <w:tc>
          <w:tcPr>
            <w:tcW w:w="48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Effect if Actual Results Differ from Assumptions</w:t>
            </w:r>
          </w:p>
        </w:tc>
      </w:tr>
      <w:tr>
        <w:trPr>
          <w:trHeight w:val="236"/>
        </w:trPr>
        <w:tc>
          <w:tcPr>
            <w:tcW w:w="63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Accounts Receivable and Allowance for Credit Losses</w:t>
            </w:r>
          </w:p>
        </w:tc>
        <w:tc>
          <w:tcPr>
            <w:tcW w:w="48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line="211" w:lineRule="auto"/>
        <w:rPr>
          <w:sz w:val="20"/>
          <w:szCs w:val="20"/>
          <w:color w:val="auto"/>
        </w:rPr>
      </w:pPr>
      <w:r>
        <w:rPr>
          <w:rFonts w:ascii="Arial" w:cs="Arial" w:eastAsia="Arial" w:hAnsi="Arial"/>
          <w:sz w:val="18"/>
          <w:szCs w:val="18"/>
          <w:i w:val="1"/>
          <w:iCs w:val="1"/>
          <w:color w:val="auto"/>
        </w:rPr>
        <w:t>We maintain a provision for estimated credit losses based upon our</w:t>
      </w:r>
    </w:p>
    <w:p>
      <w:pPr>
        <w:spacing w:after="0" w:line="1" w:lineRule="exact"/>
        <w:rPr>
          <w:sz w:val="20"/>
          <w:szCs w:val="20"/>
          <w:color w:val="auto"/>
        </w:rPr>
      </w:pPr>
    </w:p>
    <w:p>
      <w:pPr>
        <w:ind w:left="20" w:right="360"/>
        <w:spacing w:after="0" w:line="221" w:lineRule="auto"/>
        <w:rPr>
          <w:sz w:val="20"/>
          <w:szCs w:val="20"/>
          <w:color w:val="auto"/>
        </w:rPr>
      </w:pPr>
      <w:r>
        <w:rPr>
          <w:rFonts w:ascii="Arial" w:cs="Arial" w:eastAsia="Arial" w:hAnsi="Arial"/>
          <w:sz w:val="17"/>
          <w:szCs w:val="17"/>
          <w:i w:val="1"/>
          <w:iCs w:val="1"/>
          <w:color w:val="auto"/>
        </w:rPr>
        <w:t>historical experience with our customers, any specific customer collection issues that we have</w:t>
      </w:r>
    </w:p>
    <w:p>
      <w:pPr>
        <w:ind w:left="20"/>
        <w:spacing w:after="0" w:line="208" w:lineRule="auto"/>
        <w:rPr>
          <w:sz w:val="20"/>
          <w:szCs w:val="20"/>
          <w:color w:val="auto"/>
        </w:rPr>
      </w:pPr>
      <w:r>
        <w:rPr>
          <w:rFonts w:ascii="Arial" w:cs="Arial" w:eastAsia="Arial" w:hAnsi="Arial"/>
          <w:sz w:val="18"/>
          <w:szCs w:val="18"/>
          <w:i w:val="1"/>
          <w:iCs w:val="1"/>
          <w:color w:val="auto"/>
        </w:rPr>
        <w:t>identified from current financial information and business prospects, as well as forward-looking information</w:t>
      </w:r>
    </w:p>
    <w:p>
      <w:pPr>
        <w:spacing w:after="0" w:line="2" w:lineRule="exact"/>
        <w:rPr>
          <w:sz w:val="20"/>
          <w:szCs w:val="20"/>
          <w:color w:val="auto"/>
        </w:rPr>
      </w:pPr>
    </w:p>
    <w:p>
      <w:pPr>
        <w:ind w:left="20" w:right="960"/>
        <w:spacing w:after="0" w:line="265" w:lineRule="auto"/>
        <w:rPr>
          <w:sz w:val="20"/>
          <w:szCs w:val="20"/>
          <w:color w:val="auto"/>
        </w:rPr>
      </w:pPr>
      <w:r>
        <w:rPr>
          <w:rFonts w:ascii="Arial" w:cs="Arial" w:eastAsia="Arial" w:hAnsi="Arial"/>
          <w:sz w:val="18"/>
          <w:szCs w:val="18"/>
          <w:i w:val="1"/>
          <w:iCs w:val="1"/>
          <w:color w:val="auto"/>
        </w:rPr>
        <w:t xml:space="preserve">from market sources. </w:t>
      </w:r>
      <w:r>
        <w:rPr>
          <w:rFonts w:ascii="Arial" w:cs="Arial" w:eastAsia="Arial" w:hAnsi="Arial"/>
          <w:sz w:val="18"/>
          <w:szCs w:val="18"/>
          <w:b w:val="1"/>
          <w:bCs w:val="1"/>
          <w:color w:val="auto"/>
        </w:rPr>
        <w:t>Business Combinations</w:t>
      </w:r>
    </w:p>
    <w:p>
      <w:pPr>
        <w:spacing w:after="0" w:line="1" w:lineRule="exact"/>
        <w:rPr>
          <w:sz w:val="20"/>
          <w:szCs w:val="20"/>
          <w:color w:val="auto"/>
        </w:rPr>
      </w:pPr>
    </w:p>
    <w:p>
      <w:pPr>
        <w:ind w:left="20" w:right="60"/>
        <w:spacing w:after="0" w:line="234" w:lineRule="auto"/>
        <w:rPr>
          <w:sz w:val="20"/>
          <w:szCs w:val="20"/>
          <w:color w:val="auto"/>
        </w:rPr>
      </w:pPr>
      <w:r>
        <w:rPr>
          <w:rFonts w:ascii="Arial" w:cs="Arial" w:eastAsia="Arial" w:hAnsi="Arial"/>
          <w:sz w:val="18"/>
          <w:szCs w:val="18"/>
          <w:i w:val="1"/>
          <w:iCs w:val="1"/>
          <w:color w:val="auto"/>
        </w:rPr>
        <w:t>A business combination occurs when an entity obtains control of a "business." To conclude if the definition of a business is met, we assess whether or not substantially all of the fair value of the gross</w:t>
      </w:r>
    </w:p>
    <w:p>
      <w:pPr>
        <w:spacing w:after="0" w:line="5" w:lineRule="exact"/>
        <w:rPr>
          <w:sz w:val="20"/>
          <w:szCs w:val="20"/>
          <w:color w:val="auto"/>
        </w:rPr>
      </w:pPr>
    </w:p>
    <w:p>
      <w:pPr>
        <w:ind w:left="20" w:right="80"/>
        <w:spacing w:after="0" w:line="226" w:lineRule="auto"/>
        <w:rPr>
          <w:sz w:val="20"/>
          <w:szCs w:val="20"/>
          <w:color w:val="auto"/>
        </w:rPr>
      </w:pPr>
      <w:r>
        <w:rPr>
          <w:rFonts w:ascii="Arial" w:cs="Arial" w:eastAsia="Arial" w:hAnsi="Arial"/>
          <w:sz w:val="18"/>
          <w:szCs w:val="18"/>
          <w:i w:val="1"/>
          <w:iCs w:val="1"/>
          <w:color w:val="auto"/>
        </w:rPr>
        <w:t>assets acquired is concentrated in a single identifiable asset or a group of</w:t>
      </w:r>
    </w:p>
    <w:p>
      <w:pPr>
        <w:spacing w:after="0" w:line="2" w:lineRule="exact"/>
        <w:rPr>
          <w:sz w:val="20"/>
          <w:szCs w:val="20"/>
          <w:color w:val="auto"/>
        </w:rPr>
      </w:pPr>
    </w:p>
    <w:p>
      <w:pPr>
        <w:ind w:left="20" w:right="100"/>
        <w:spacing w:after="0" w:line="234" w:lineRule="auto"/>
        <w:rPr>
          <w:sz w:val="20"/>
          <w:szCs w:val="20"/>
          <w:color w:val="auto"/>
        </w:rPr>
      </w:pPr>
      <w:r>
        <w:rPr>
          <w:rFonts w:ascii="Arial" w:cs="Arial" w:eastAsia="Arial" w:hAnsi="Arial"/>
          <w:sz w:val="18"/>
          <w:szCs w:val="18"/>
          <w:i w:val="1"/>
          <w:iCs w:val="1"/>
          <w:color w:val="auto"/>
        </w:rPr>
        <w:t>similar identifiable assets, which requires the use of significant judgment to determine the fair value. The determination of whether the acquired activities and assets constitute a business is critical because the accounting for a business combination differs significantly from that of an asset acquisition. Business combinations are accounted for using a fair value</w:t>
      </w:r>
    </w:p>
    <w:p>
      <w:pPr>
        <w:spacing w:after="0" w:line="8" w:lineRule="exact"/>
        <w:rPr>
          <w:sz w:val="20"/>
          <w:szCs w:val="20"/>
          <w:color w:val="auto"/>
        </w:rPr>
      </w:pPr>
    </w:p>
    <w:p>
      <w:pPr>
        <w:jc w:val="both"/>
        <w:ind w:left="20" w:right="60"/>
        <w:spacing w:after="0" w:line="226" w:lineRule="auto"/>
        <w:rPr>
          <w:sz w:val="20"/>
          <w:szCs w:val="20"/>
          <w:color w:val="auto"/>
        </w:rPr>
      </w:pPr>
      <w:r>
        <w:rPr>
          <w:rFonts w:ascii="Arial" w:cs="Arial" w:eastAsia="Arial" w:hAnsi="Arial"/>
          <w:sz w:val="18"/>
          <w:szCs w:val="18"/>
          <w:i w:val="1"/>
          <w:iCs w:val="1"/>
          <w:color w:val="auto"/>
        </w:rPr>
        <w:t>model. In contrast, asset acquisitions are accounted for using a cost</w:t>
      </w:r>
    </w:p>
    <w:p>
      <w:pPr>
        <w:spacing w:after="0" w:line="2" w:lineRule="exact"/>
        <w:rPr>
          <w:sz w:val="20"/>
          <w:szCs w:val="20"/>
          <w:color w:val="auto"/>
        </w:rPr>
      </w:pPr>
    </w:p>
    <w:p>
      <w:pPr>
        <w:ind w:left="20" w:right="200"/>
        <w:spacing w:after="0" w:line="281" w:lineRule="auto"/>
        <w:rPr>
          <w:sz w:val="20"/>
          <w:szCs w:val="20"/>
          <w:color w:val="auto"/>
        </w:rPr>
      </w:pPr>
      <w:r>
        <w:rPr>
          <w:rFonts w:ascii="Arial" w:cs="Arial" w:eastAsia="Arial" w:hAnsi="Arial"/>
          <w:sz w:val="18"/>
          <w:szCs w:val="18"/>
          <w:i w:val="1"/>
          <w:iCs w:val="1"/>
          <w:color w:val="auto"/>
        </w:rPr>
        <w:t xml:space="preserve">accumulation and allocation model. </w:t>
      </w:r>
      <w:r>
        <w:rPr>
          <w:rFonts w:ascii="Arial" w:cs="Arial" w:eastAsia="Arial" w:hAnsi="Arial"/>
          <w:sz w:val="18"/>
          <w:szCs w:val="18"/>
          <w:b w:val="1"/>
          <w:bCs w:val="1"/>
          <w:color w:val="auto"/>
        </w:rPr>
        <w:t>Revenue Recognition</w:t>
      </w:r>
    </w:p>
    <w:p>
      <w:pPr>
        <w:spacing w:after="0" w:line="1" w:lineRule="exact"/>
        <w:rPr>
          <w:sz w:val="20"/>
          <w:szCs w:val="20"/>
          <w:color w:val="auto"/>
        </w:rPr>
      </w:pPr>
    </w:p>
    <w:p>
      <w:pPr>
        <w:ind w:left="20" w:right="140"/>
        <w:spacing w:after="0" w:line="211" w:lineRule="auto"/>
        <w:rPr>
          <w:sz w:val="20"/>
          <w:szCs w:val="20"/>
          <w:color w:val="auto"/>
        </w:rPr>
      </w:pPr>
      <w:r>
        <w:rPr>
          <w:rFonts w:ascii="Arial" w:cs="Arial" w:eastAsia="Arial" w:hAnsi="Arial"/>
          <w:sz w:val="18"/>
          <w:szCs w:val="18"/>
          <w:i w:val="1"/>
          <w:iCs w:val="1"/>
          <w:color w:val="auto"/>
        </w:rPr>
        <w:t>The majority of our consolidated revenues are generated through the</w:t>
      </w:r>
    </w:p>
    <w:p>
      <w:pPr>
        <w:spacing w:after="0" w:line="1" w:lineRule="exact"/>
        <w:rPr>
          <w:sz w:val="20"/>
          <w:szCs w:val="20"/>
          <w:color w:val="auto"/>
        </w:rPr>
      </w:pPr>
    </w:p>
    <w:p>
      <w:pPr>
        <w:jc w:val="both"/>
        <w:ind w:left="20" w:right="60"/>
        <w:spacing w:after="0" w:line="221" w:lineRule="auto"/>
        <w:rPr>
          <w:sz w:val="20"/>
          <w:szCs w:val="20"/>
          <w:color w:val="auto"/>
        </w:rPr>
      </w:pPr>
      <w:r>
        <w:rPr>
          <w:rFonts w:ascii="Arial" w:cs="Arial" w:eastAsia="Arial" w:hAnsi="Arial"/>
          <w:sz w:val="17"/>
          <w:szCs w:val="17"/>
          <w:i w:val="1"/>
          <w:iCs w:val="1"/>
          <w:color w:val="auto"/>
        </w:rPr>
        <w:t>sale of fuel and fuel-related products. We generally recognize fuel sales on a gross basis as we have control of</w:t>
      </w:r>
    </w:p>
    <w:p>
      <w:pPr>
        <w:ind w:left="20" w:right="760"/>
        <w:spacing w:after="0" w:line="229" w:lineRule="auto"/>
        <w:rPr>
          <w:sz w:val="20"/>
          <w:szCs w:val="20"/>
          <w:color w:val="auto"/>
        </w:rPr>
      </w:pPr>
      <w:r>
        <w:rPr>
          <w:rFonts w:ascii="Arial" w:cs="Arial" w:eastAsia="Arial" w:hAnsi="Arial"/>
          <w:sz w:val="18"/>
          <w:szCs w:val="18"/>
          <w:i w:val="1"/>
          <w:iCs w:val="1"/>
          <w:color w:val="auto"/>
        </w:rPr>
        <w:t>the products before they are delivered to our customers.</w:t>
      </w:r>
    </w:p>
    <w:p>
      <w:pPr>
        <w:spacing w:after="0" w:line="20" w:lineRule="exact"/>
        <w:rPr>
          <w:sz w:val="20"/>
          <w:szCs w:val="20"/>
          <w:color w:val="auto"/>
        </w:rPr>
      </w:pPr>
      <w:r>
        <w:rPr>
          <w:sz w:val="20"/>
          <w:szCs w:val="20"/>
          <w:color w:val="auto"/>
        </w:rPr>
        <w:br w:type="column"/>
      </w:r>
    </w:p>
    <w:p>
      <w:pPr>
        <w:ind w:right="60"/>
        <w:spacing w:after="0" w:line="223" w:lineRule="auto"/>
        <w:rPr>
          <w:sz w:val="20"/>
          <w:szCs w:val="20"/>
          <w:color w:val="auto"/>
        </w:rPr>
      </w:pPr>
      <w:r>
        <w:rPr>
          <w:rFonts w:ascii="Arial" w:cs="Arial" w:eastAsia="Arial" w:hAnsi="Arial"/>
          <w:sz w:val="17"/>
          <w:szCs w:val="17"/>
          <w:color w:val="auto"/>
        </w:rPr>
        <w:t>We consider historical payment trends of our customers together with</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internal and external information about the economic outlook, geopolitical risks and macroeconomic</w:t>
      </w:r>
    </w:p>
    <w:p>
      <w:pPr>
        <w:ind w:right="100"/>
        <w:spacing w:after="0" w:line="221" w:lineRule="auto"/>
        <w:rPr>
          <w:sz w:val="20"/>
          <w:szCs w:val="20"/>
          <w:color w:val="auto"/>
        </w:rPr>
      </w:pPr>
      <w:r>
        <w:rPr>
          <w:rFonts w:ascii="Arial" w:cs="Arial" w:eastAsia="Arial" w:hAnsi="Arial"/>
          <w:sz w:val="17"/>
          <w:szCs w:val="17"/>
          <w:color w:val="auto"/>
        </w:rPr>
        <w:t>events, which may not fully capture the current or future creditworthiness of our customers, particularly in</w:t>
      </w:r>
    </w:p>
    <w:p>
      <w:pPr>
        <w:spacing w:after="0"/>
        <w:rPr>
          <w:sz w:val="20"/>
          <w:szCs w:val="20"/>
          <w:color w:val="auto"/>
        </w:rPr>
      </w:pPr>
      <w:r>
        <w:rPr>
          <w:rFonts w:ascii="Arial" w:cs="Arial" w:eastAsia="Arial" w:hAnsi="Arial"/>
          <w:sz w:val="18"/>
          <w:szCs w:val="18"/>
          <w:color w:val="auto"/>
        </w:rPr>
        <w:t>difficult economic periods.</w:t>
      </w:r>
    </w:p>
    <w:p>
      <w:pPr>
        <w:spacing w:after="0" w:line="234"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Significant judgment is involved in the determination of fair values in the</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context of acquisitions, such as the Universal TSS acquisition during the year ended December 31, 2025, as</w:t>
      </w:r>
    </w:p>
    <w:p>
      <w:pPr>
        <w:jc w:val="both"/>
        <w:ind w:right="240"/>
        <w:spacing w:after="0" w:line="221" w:lineRule="auto"/>
        <w:rPr>
          <w:sz w:val="20"/>
          <w:szCs w:val="20"/>
          <w:color w:val="auto"/>
        </w:rPr>
      </w:pPr>
      <w:r>
        <w:rPr>
          <w:rFonts w:ascii="Arial" w:cs="Arial" w:eastAsia="Arial" w:hAnsi="Arial"/>
          <w:sz w:val="17"/>
          <w:szCs w:val="17"/>
          <w:color w:val="auto"/>
        </w:rPr>
        <w:t>fair values are generally developed based on forecasted assumptions. The assumptions and inputs</w:t>
      </w:r>
    </w:p>
    <w:p>
      <w:pPr>
        <w:ind w:right="60"/>
        <w:spacing w:after="0" w:line="221" w:lineRule="auto"/>
        <w:rPr>
          <w:sz w:val="20"/>
          <w:szCs w:val="20"/>
          <w:color w:val="auto"/>
        </w:rPr>
      </w:pPr>
      <w:r>
        <w:rPr>
          <w:rFonts w:ascii="Arial" w:cs="Arial" w:eastAsia="Arial" w:hAnsi="Arial"/>
          <w:sz w:val="17"/>
          <w:szCs w:val="17"/>
          <w:color w:val="auto"/>
        </w:rPr>
        <w:t>incorporated within the fair value estimates are subject to considerable management judgment and are</w:t>
      </w:r>
    </w:p>
    <w:p>
      <w:pPr>
        <w:ind w:right="100"/>
        <w:spacing w:after="0" w:line="221" w:lineRule="auto"/>
        <w:rPr>
          <w:sz w:val="20"/>
          <w:szCs w:val="20"/>
          <w:color w:val="auto"/>
        </w:rPr>
      </w:pPr>
      <w:r>
        <w:rPr>
          <w:rFonts w:ascii="Arial" w:cs="Arial" w:eastAsia="Arial" w:hAnsi="Arial"/>
          <w:sz w:val="17"/>
          <w:szCs w:val="17"/>
          <w:color w:val="auto"/>
        </w:rPr>
        <w:t>based on industry, market, and economic conditions prevalent at the time of the acquisition. Significant</w:t>
      </w:r>
    </w:p>
    <w:p>
      <w:pPr>
        <w:ind w:right="60"/>
        <w:spacing w:after="0" w:line="221" w:lineRule="auto"/>
        <w:rPr>
          <w:sz w:val="20"/>
          <w:szCs w:val="20"/>
          <w:color w:val="auto"/>
        </w:rPr>
      </w:pPr>
      <w:r>
        <w:rPr>
          <w:rFonts w:ascii="Arial" w:cs="Arial" w:eastAsia="Arial" w:hAnsi="Arial"/>
          <w:sz w:val="17"/>
          <w:szCs w:val="17"/>
          <w:color w:val="auto"/>
        </w:rPr>
        <w:t>inputs incorporated in the determination of fair values, including customer relationships valued using</w:t>
      </w:r>
    </w:p>
    <w:p>
      <w:pPr>
        <w:ind w:right="80"/>
        <w:spacing w:after="0" w:line="221" w:lineRule="auto"/>
        <w:rPr>
          <w:sz w:val="20"/>
          <w:szCs w:val="20"/>
          <w:color w:val="auto"/>
        </w:rPr>
      </w:pPr>
      <w:r>
        <w:rPr>
          <w:rFonts w:ascii="Arial" w:cs="Arial" w:eastAsia="Arial" w:hAnsi="Arial"/>
          <w:sz w:val="17"/>
          <w:szCs w:val="17"/>
          <w:color w:val="auto"/>
        </w:rPr>
        <w:t>an income approach, include the discount rate determined using a market-based weighted average cost</w:t>
      </w:r>
    </w:p>
    <w:p>
      <w:pPr>
        <w:jc w:val="both"/>
        <w:spacing w:after="0" w:line="221" w:lineRule="auto"/>
        <w:rPr>
          <w:sz w:val="20"/>
          <w:szCs w:val="20"/>
          <w:color w:val="auto"/>
        </w:rPr>
      </w:pPr>
      <w:r>
        <w:rPr>
          <w:rFonts w:ascii="Arial" w:cs="Arial" w:eastAsia="Arial" w:hAnsi="Arial"/>
          <w:sz w:val="17"/>
          <w:szCs w:val="17"/>
          <w:color w:val="auto"/>
        </w:rPr>
        <w:t>of capital, expected growth rates, and profitability and risks embedded in the newly acquired activities, including</w:t>
      </w:r>
    </w:p>
    <w:p>
      <w:pPr>
        <w:spacing w:after="0"/>
        <w:rPr>
          <w:sz w:val="20"/>
          <w:szCs w:val="20"/>
          <w:color w:val="auto"/>
        </w:rPr>
      </w:pPr>
      <w:r>
        <w:rPr>
          <w:rFonts w:ascii="Arial" w:cs="Arial" w:eastAsia="Arial" w:hAnsi="Arial"/>
          <w:sz w:val="18"/>
          <w:szCs w:val="18"/>
          <w:color w:val="auto"/>
        </w:rPr>
        <w:t>customer attrition rates.</w:t>
      </w:r>
    </w:p>
    <w:p>
      <w:pPr>
        <w:spacing w:after="0" w:line="342"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color w:val="auto"/>
        </w:rPr>
        <w:t>In drawing this conclusion, we consider various factors, including</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color w:val="auto"/>
        </w:rPr>
        <w:t>inventory risk management, latitude in establishing the sales price, discretion in the supplier selection</w:t>
      </w:r>
    </w:p>
    <w:p>
      <w:pPr>
        <w:ind w:right="100"/>
        <w:spacing w:after="0" w:line="246" w:lineRule="auto"/>
        <w:rPr>
          <w:sz w:val="20"/>
          <w:szCs w:val="20"/>
          <w:color w:val="auto"/>
        </w:rPr>
      </w:pPr>
      <w:r>
        <w:rPr>
          <w:rFonts w:ascii="Arial" w:cs="Arial" w:eastAsia="Arial" w:hAnsi="Arial"/>
          <w:sz w:val="17"/>
          <w:szCs w:val="17"/>
          <w:color w:val="auto"/>
        </w:rPr>
        <w:t>and that we are normally the primary obligor in our sales arrangements.</w:t>
      </w:r>
    </w:p>
    <w:p>
      <w:pPr>
        <w:spacing w:after="0" w:line="20" w:lineRule="exact"/>
        <w:rPr>
          <w:sz w:val="20"/>
          <w:szCs w:val="20"/>
          <w:color w:val="auto"/>
        </w:rPr>
      </w:pPr>
      <w:r>
        <w:rPr>
          <w:sz w:val="20"/>
          <w:szCs w:val="20"/>
          <w:color w:val="auto"/>
        </w:rPr>
        <w:br w:type="column"/>
      </w:r>
    </w:p>
    <w:p>
      <w:pPr>
        <w:ind w:right="200"/>
        <w:spacing w:after="0" w:line="223" w:lineRule="auto"/>
        <w:rPr>
          <w:sz w:val="20"/>
          <w:szCs w:val="20"/>
          <w:color w:val="auto"/>
        </w:rPr>
      </w:pPr>
      <w:r>
        <w:rPr>
          <w:rFonts w:ascii="Arial" w:cs="Arial" w:eastAsia="Arial" w:hAnsi="Arial"/>
          <w:sz w:val="17"/>
          <w:szCs w:val="17"/>
          <w:color w:val="auto"/>
        </w:rPr>
        <w:t>As a result of the challenges inherent in estimating which customers are less likely to remit amounts owed to us, our</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color w:val="auto"/>
        </w:rPr>
        <w:t>provision for estimated credit losses may not always be sufficient. Any write-off of accounts receivable in excess of our provision for credit losses could adversely affect our</w:t>
      </w:r>
    </w:p>
    <w:p>
      <w:pPr>
        <w:spacing w:after="0"/>
        <w:rPr>
          <w:sz w:val="20"/>
          <w:szCs w:val="20"/>
          <w:color w:val="auto"/>
        </w:rPr>
      </w:pPr>
      <w:r>
        <w:rPr>
          <w:rFonts w:ascii="Arial" w:cs="Arial" w:eastAsia="Arial" w:hAnsi="Arial"/>
          <w:sz w:val="18"/>
          <w:szCs w:val="18"/>
          <w:color w:val="auto"/>
        </w:rPr>
        <w:t>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If assumptions used to estimate fair values are materially different, future earnings through depreciation and amortization expense could be impacted. In addition, if forecasts supporting the valuation of the long-lived assets, including intangibles, or goodwill are not achieved, impairments could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34" w:lineRule="auto"/>
        <w:rPr>
          <w:sz w:val="20"/>
          <w:szCs w:val="20"/>
          <w:color w:val="auto"/>
        </w:rPr>
      </w:pPr>
      <w:r>
        <w:rPr>
          <w:rFonts w:ascii="Arial" w:cs="Arial" w:eastAsia="Arial" w:hAnsi="Arial"/>
          <w:sz w:val="17"/>
          <w:szCs w:val="17"/>
          <w:color w:val="auto"/>
        </w:rPr>
        <w:t>Our determination of whether to recognize revenue on a gross or net basis can materially impact the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 we report.</w:t>
      </w:r>
    </w:p>
    <w:p>
      <w:pPr>
        <w:spacing w:after="0" w:line="933" w:lineRule="exact"/>
        <w:rPr>
          <w:sz w:val="20"/>
          <w:szCs w:val="20"/>
          <w:color w:val="auto"/>
        </w:rPr>
      </w:pPr>
    </w:p>
    <w:p>
      <w:pPr>
        <w:sectPr>
          <w:pgSz w:w="11900" w:h="16838" w:orient="portrait"/>
          <w:cols w:equalWidth="0" w:num="3">
            <w:col w:w="3040" w:space="180"/>
            <w:col w:w="3020" w:space="180"/>
            <w:col w:w="4820"/>
          </w:cols>
          <w:pgMar w:left="320" w:top="108"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4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938"/>
        </w:trPr>
        <w:tc>
          <w:tcPr>
            <w:tcW w:w="274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Description</w:t>
            </w:r>
          </w:p>
        </w:tc>
        <w:tc>
          <w:tcPr>
            <w:tcW w:w="36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Judgments and Uncertainties</w:t>
            </w:r>
          </w:p>
        </w:tc>
        <w:tc>
          <w:tcPr>
            <w:tcW w:w="48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Effect if Actual Results Differ from Assumptions</w:t>
            </w:r>
          </w:p>
        </w:tc>
      </w:tr>
      <w:tr>
        <w:trPr>
          <w:trHeight w:val="236"/>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Taxes</w:t>
            </w:r>
          </w:p>
        </w:tc>
        <w:tc>
          <w:tcPr>
            <w:tcW w:w="364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right="60"/>
        <w:spacing w:after="0" w:line="211" w:lineRule="auto"/>
        <w:rPr>
          <w:sz w:val="20"/>
          <w:szCs w:val="20"/>
          <w:color w:val="auto"/>
        </w:rPr>
      </w:pPr>
      <w:r>
        <w:rPr>
          <w:rFonts w:ascii="Arial" w:cs="Arial" w:eastAsia="Arial" w:hAnsi="Arial"/>
          <w:sz w:val="18"/>
          <w:szCs w:val="18"/>
          <w:i w:val="1"/>
          <w:iCs w:val="1"/>
          <w:color w:val="auto"/>
        </w:rPr>
        <w:t>We estimate total income tax expense based on statutory tax rates</w:t>
      </w:r>
    </w:p>
    <w:p>
      <w:pPr>
        <w:spacing w:after="0" w:line="1" w:lineRule="exact"/>
        <w:rPr>
          <w:sz w:val="20"/>
          <w:szCs w:val="20"/>
          <w:color w:val="auto"/>
        </w:rPr>
      </w:pPr>
    </w:p>
    <w:p>
      <w:pPr>
        <w:ind w:left="20" w:right="60"/>
        <w:spacing w:after="0" w:line="221" w:lineRule="auto"/>
        <w:rPr>
          <w:sz w:val="20"/>
          <w:szCs w:val="20"/>
          <w:color w:val="auto"/>
        </w:rPr>
      </w:pPr>
      <w:r>
        <w:rPr>
          <w:rFonts w:ascii="Arial" w:cs="Arial" w:eastAsia="Arial" w:hAnsi="Arial"/>
          <w:sz w:val="17"/>
          <w:szCs w:val="17"/>
          <w:i w:val="1"/>
          <w:iCs w:val="1"/>
          <w:color w:val="auto"/>
        </w:rPr>
        <w:t>and tax planning opportunities available to us in various jurisdictions in which we operate. Deferred</w:t>
      </w:r>
    </w:p>
    <w:p>
      <w:pPr>
        <w:ind w:left="20" w:right="160"/>
        <w:spacing w:after="0" w:line="208" w:lineRule="auto"/>
        <w:rPr>
          <w:sz w:val="20"/>
          <w:szCs w:val="20"/>
          <w:color w:val="auto"/>
        </w:rPr>
      </w:pPr>
      <w:r>
        <w:rPr>
          <w:rFonts w:ascii="Arial" w:cs="Arial" w:eastAsia="Arial" w:hAnsi="Arial"/>
          <w:sz w:val="18"/>
          <w:szCs w:val="18"/>
          <w:i w:val="1"/>
          <w:iCs w:val="1"/>
          <w:color w:val="auto"/>
        </w:rPr>
        <w:t>income taxes are recognized for the future tax effects of temporary differences between financial and</w:t>
      </w:r>
    </w:p>
    <w:p>
      <w:pPr>
        <w:spacing w:after="0" w:line="2" w:lineRule="exact"/>
        <w:rPr>
          <w:sz w:val="20"/>
          <w:szCs w:val="20"/>
          <w:color w:val="auto"/>
        </w:rPr>
      </w:pPr>
    </w:p>
    <w:p>
      <w:pPr>
        <w:ind w:left="20" w:right="140"/>
        <w:spacing w:after="0" w:line="208" w:lineRule="auto"/>
        <w:rPr>
          <w:sz w:val="20"/>
          <w:szCs w:val="20"/>
          <w:color w:val="auto"/>
        </w:rPr>
      </w:pPr>
      <w:r>
        <w:rPr>
          <w:rFonts w:ascii="Arial" w:cs="Arial" w:eastAsia="Arial" w:hAnsi="Arial"/>
          <w:sz w:val="18"/>
          <w:szCs w:val="18"/>
          <w:i w:val="1"/>
          <w:iCs w:val="1"/>
          <w:color w:val="auto"/>
        </w:rPr>
        <w:t>income tax reporting using tax rates in effect for the years in which the differences are expected to reverse.</w:t>
      </w:r>
    </w:p>
    <w:p>
      <w:pPr>
        <w:spacing w:after="0" w:line="2" w:lineRule="exact"/>
        <w:rPr>
          <w:sz w:val="20"/>
          <w:szCs w:val="20"/>
          <w:color w:val="auto"/>
        </w:rPr>
      </w:pPr>
    </w:p>
    <w:p>
      <w:pPr>
        <w:ind w:left="20" w:right="180"/>
        <w:spacing w:after="0" w:line="208" w:lineRule="auto"/>
        <w:rPr>
          <w:sz w:val="20"/>
          <w:szCs w:val="20"/>
          <w:color w:val="auto"/>
        </w:rPr>
      </w:pPr>
      <w:r>
        <w:rPr>
          <w:rFonts w:ascii="Arial" w:cs="Arial" w:eastAsia="Arial" w:hAnsi="Arial"/>
          <w:sz w:val="18"/>
          <w:szCs w:val="18"/>
          <w:i w:val="1"/>
          <w:iCs w:val="1"/>
          <w:color w:val="auto"/>
        </w:rPr>
        <w:t>Valuation allowances are recorded when it is likely a tax benefit will not be realized for a deferred tax asset.</w:t>
      </w:r>
    </w:p>
    <w:p>
      <w:pPr>
        <w:spacing w:after="0" w:line="2" w:lineRule="exact"/>
        <w:rPr>
          <w:sz w:val="20"/>
          <w:szCs w:val="20"/>
          <w:color w:val="auto"/>
        </w:rPr>
      </w:pPr>
    </w:p>
    <w:p>
      <w:pPr>
        <w:jc w:val="both"/>
        <w:ind w:left="20" w:right="80"/>
        <w:spacing w:after="0" w:line="208" w:lineRule="auto"/>
        <w:rPr>
          <w:sz w:val="20"/>
          <w:szCs w:val="20"/>
          <w:color w:val="auto"/>
        </w:rPr>
      </w:pPr>
      <w:r>
        <w:rPr>
          <w:rFonts w:ascii="Arial" w:cs="Arial" w:eastAsia="Arial" w:hAnsi="Arial"/>
          <w:sz w:val="18"/>
          <w:szCs w:val="18"/>
          <w:i w:val="1"/>
          <w:iCs w:val="1"/>
          <w:color w:val="auto"/>
        </w:rPr>
        <w:t>We record unrecognized tax benefit liabilities for known or anticipated tax issues based on our analysis of</w:t>
      </w:r>
    </w:p>
    <w:p>
      <w:pPr>
        <w:spacing w:after="0" w:line="2" w:lineRule="exact"/>
        <w:rPr>
          <w:sz w:val="20"/>
          <w:szCs w:val="20"/>
          <w:color w:val="auto"/>
        </w:rPr>
      </w:pPr>
    </w:p>
    <w:p>
      <w:pPr>
        <w:ind w:left="20" w:right="380"/>
        <w:spacing w:after="0" w:line="243" w:lineRule="auto"/>
        <w:rPr>
          <w:sz w:val="20"/>
          <w:szCs w:val="20"/>
          <w:color w:val="auto"/>
        </w:rPr>
      </w:pPr>
      <w:r>
        <w:rPr>
          <w:rFonts w:ascii="Arial" w:cs="Arial" w:eastAsia="Arial" w:hAnsi="Arial"/>
          <w:sz w:val="17"/>
          <w:szCs w:val="17"/>
          <w:i w:val="1"/>
          <w:iCs w:val="1"/>
          <w:color w:val="auto"/>
        </w:rPr>
        <w:t>whether, and the extent to which, additional taxes will be due.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Derivatives</w:t>
      </w:r>
    </w:p>
    <w:p>
      <w:pPr>
        <w:spacing w:after="0" w:line="31" w:lineRule="exact"/>
        <w:rPr>
          <w:sz w:val="20"/>
          <w:szCs w:val="20"/>
          <w:color w:val="auto"/>
        </w:rPr>
      </w:pPr>
    </w:p>
    <w:p>
      <w:pPr>
        <w:ind w:left="20" w:right="220"/>
        <w:spacing w:after="0" w:line="211" w:lineRule="auto"/>
        <w:rPr>
          <w:sz w:val="20"/>
          <w:szCs w:val="20"/>
          <w:color w:val="auto"/>
        </w:rPr>
      </w:pPr>
      <w:r>
        <w:rPr>
          <w:rFonts w:ascii="Arial" w:cs="Arial" w:eastAsia="Arial" w:hAnsi="Arial"/>
          <w:sz w:val="18"/>
          <w:szCs w:val="18"/>
          <w:i w:val="1"/>
          <w:iCs w:val="1"/>
          <w:color w:val="auto"/>
        </w:rPr>
        <w:t>We enter into financial derivative contracts to mitigate our risk of fuel</w:t>
      </w:r>
    </w:p>
    <w:p>
      <w:pPr>
        <w:spacing w:after="0" w:line="1" w:lineRule="exact"/>
        <w:rPr>
          <w:sz w:val="20"/>
          <w:szCs w:val="20"/>
          <w:color w:val="auto"/>
        </w:rPr>
      </w:pPr>
    </w:p>
    <w:p>
      <w:pPr>
        <w:jc w:val="both"/>
        <w:ind w:left="20" w:right="100"/>
        <w:spacing w:after="0" w:line="208" w:lineRule="auto"/>
        <w:rPr>
          <w:sz w:val="20"/>
          <w:szCs w:val="20"/>
          <w:color w:val="auto"/>
        </w:rPr>
      </w:pPr>
      <w:r>
        <w:rPr>
          <w:rFonts w:ascii="Arial" w:cs="Arial" w:eastAsia="Arial" w:hAnsi="Arial"/>
          <w:sz w:val="18"/>
          <w:szCs w:val="18"/>
          <w:i w:val="1"/>
          <w:iCs w:val="1"/>
          <w:color w:val="auto"/>
        </w:rPr>
        <w:t>market price fluctuations in aviation, land, and marine as well as changes in interest and foreign currency</w:t>
      </w:r>
    </w:p>
    <w:p>
      <w:pPr>
        <w:spacing w:after="0" w:line="2" w:lineRule="exact"/>
        <w:rPr>
          <w:sz w:val="20"/>
          <w:szCs w:val="20"/>
          <w:color w:val="auto"/>
        </w:rPr>
      </w:pPr>
    </w:p>
    <w:p>
      <w:pPr>
        <w:jc w:val="both"/>
        <w:ind w:left="20" w:right="100"/>
        <w:spacing w:after="0" w:line="221" w:lineRule="auto"/>
        <w:rPr>
          <w:sz w:val="20"/>
          <w:szCs w:val="20"/>
          <w:color w:val="auto"/>
        </w:rPr>
      </w:pPr>
      <w:r>
        <w:rPr>
          <w:rFonts w:ascii="Arial" w:cs="Arial" w:eastAsia="Arial" w:hAnsi="Arial"/>
          <w:sz w:val="17"/>
          <w:szCs w:val="17"/>
          <w:i w:val="1"/>
          <w:iCs w:val="1"/>
          <w:color w:val="auto"/>
        </w:rPr>
        <w:t>exchange rates and also to offer our customers fuel pricing alternatives to meet their needs. These instruments</w:t>
      </w:r>
    </w:p>
    <w:p>
      <w:pPr>
        <w:ind w:left="20"/>
        <w:spacing w:after="0" w:line="208" w:lineRule="auto"/>
        <w:rPr>
          <w:sz w:val="20"/>
          <w:szCs w:val="20"/>
          <w:color w:val="auto"/>
        </w:rPr>
      </w:pPr>
      <w:r>
        <w:rPr>
          <w:rFonts w:ascii="Arial" w:cs="Arial" w:eastAsia="Arial" w:hAnsi="Arial"/>
          <w:sz w:val="18"/>
          <w:szCs w:val="18"/>
          <w:i w:val="1"/>
          <w:iCs w:val="1"/>
          <w:color w:val="auto"/>
        </w:rPr>
        <w:t>may be designated as cash flow or fair value hedges, or accounted for as non-designated derivatives. All</w:t>
      </w:r>
    </w:p>
    <w:p>
      <w:pPr>
        <w:spacing w:after="0" w:line="2" w:lineRule="exact"/>
        <w:rPr>
          <w:sz w:val="20"/>
          <w:szCs w:val="20"/>
          <w:color w:val="auto"/>
        </w:rPr>
      </w:pPr>
    </w:p>
    <w:p>
      <w:pPr>
        <w:ind w:left="20" w:right="100"/>
        <w:spacing w:after="0" w:line="229" w:lineRule="auto"/>
        <w:rPr>
          <w:sz w:val="20"/>
          <w:szCs w:val="20"/>
          <w:color w:val="auto"/>
        </w:rPr>
      </w:pPr>
      <w:r>
        <w:rPr>
          <w:rFonts w:ascii="Arial" w:cs="Arial" w:eastAsia="Arial" w:hAnsi="Arial"/>
          <w:sz w:val="18"/>
          <w:szCs w:val="18"/>
          <w:i w:val="1"/>
          <w:iCs w:val="1"/>
          <w:color w:val="auto"/>
        </w:rPr>
        <w:t>derivative instruments are measured and recorded at fair value.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also assess convertible notes</w:t>
      </w:r>
    </w:p>
    <w:p>
      <w:pPr>
        <w:ind w:left="20" w:right="440"/>
        <w:spacing w:after="0" w:line="208" w:lineRule="auto"/>
        <w:rPr>
          <w:sz w:val="20"/>
          <w:szCs w:val="20"/>
          <w:color w:val="auto"/>
        </w:rPr>
      </w:pPr>
      <w:r>
        <w:rPr>
          <w:rFonts w:ascii="Arial" w:cs="Arial" w:eastAsia="Arial" w:hAnsi="Arial"/>
          <w:sz w:val="18"/>
          <w:szCs w:val="18"/>
          <w:i w:val="1"/>
          <w:iCs w:val="1"/>
          <w:color w:val="auto"/>
        </w:rPr>
        <w:t>and other related contracts to determine if those contracts or embedded components of those</w:t>
      </w:r>
    </w:p>
    <w:p>
      <w:pPr>
        <w:spacing w:after="0" w:line="2" w:lineRule="exact"/>
        <w:rPr>
          <w:sz w:val="20"/>
          <w:szCs w:val="20"/>
          <w:color w:val="auto"/>
        </w:rPr>
      </w:pPr>
    </w:p>
    <w:p>
      <w:pPr>
        <w:ind w:left="20" w:right="420"/>
        <w:spacing w:after="0" w:line="221" w:lineRule="auto"/>
        <w:rPr>
          <w:sz w:val="20"/>
          <w:szCs w:val="20"/>
          <w:color w:val="auto"/>
        </w:rPr>
      </w:pPr>
      <w:r>
        <w:rPr>
          <w:rFonts w:ascii="Arial" w:cs="Arial" w:eastAsia="Arial" w:hAnsi="Arial"/>
          <w:sz w:val="18"/>
          <w:szCs w:val="18"/>
          <w:i w:val="1"/>
          <w:iCs w:val="1"/>
          <w:color w:val="auto"/>
        </w:rPr>
        <w:t>contracts meet the definition of a derivative that require separate accounting.</w:t>
      </w:r>
    </w:p>
    <w:p>
      <w:pPr>
        <w:spacing w:after="0" w:line="20" w:lineRule="exact"/>
        <w:rPr>
          <w:sz w:val="20"/>
          <w:szCs w:val="20"/>
          <w:color w:val="auto"/>
        </w:rPr>
      </w:pPr>
      <w:r>
        <w:rPr>
          <w:sz w:val="20"/>
          <w:szCs w:val="20"/>
          <w:color w:val="auto"/>
        </w:rPr>
        <w:br w:type="column"/>
      </w:r>
    </w:p>
    <w:p>
      <w:pPr>
        <w:ind w:right="120"/>
        <w:spacing w:after="0" w:line="223" w:lineRule="auto"/>
        <w:rPr>
          <w:sz w:val="20"/>
          <w:szCs w:val="20"/>
          <w:color w:val="auto"/>
        </w:rPr>
      </w:pPr>
      <w:r>
        <w:rPr>
          <w:rFonts w:ascii="Arial" w:cs="Arial" w:eastAsia="Arial" w:hAnsi="Arial"/>
          <w:sz w:val="17"/>
          <w:szCs w:val="17"/>
          <w:color w:val="auto"/>
        </w:rPr>
        <w:t>Changes in tax laws and rates could affect recorded deferred tax assets</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7"/>
          <w:szCs w:val="17"/>
          <w:color w:val="auto"/>
        </w:rPr>
        <w:t>and liabilities in the future. Changes in projected future earnings could affect the recorded valuation</w:t>
      </w:r>
    </w:p>
    <w:p>
      <w:pPr>
        <w:ind w:right="20"/>
        <w:spacing w:after="0" w:line="221" w:lineRule="auto"/>
        <w:rPr>
          <w:sz w:val="20"/>
          <w:szCs w:val="20"/>
          <w:color w:val="auto"/>
        </w:rPr>
      </w:pPr>
      <w:r>
        <w:rPr>
          <w:rFonts w:ascii="Arial" w:cs="Arial" w:eastAsia="Arial" w:hAnsi="Arial"/>
          <w:sz w:val="17"/>
          <w:szCs w:val="17"/>
          <w:color w:val="auto"/>
        </w:rPr>
        <w:t>allowances in the future. Our calculations related to income taxes contain uncertainties due to judgment</w:t>
      </w:r>
    </w:p>
    <w:p>
      <w:pPr>
        <w:spacing w:after="0" w:line="221" w:lineRule="auto"/>
        <w:rPr>
          <w:sz w:val="20"/>
          <w:szCs w:val="20"/>
          <w:color w:val="auto"/>
        </w:rPr>
      </w:pPr>
      <w:r>
        <w:rPr>
          <w:rFonts w:ascii="Arial" w:cs="Arial" w:eastAsia="Arial" w:hAnsi="Arial"/>
          <w:sz w:val="17"/>
          <w:szCs w:val="17"/>
          <w:color w:val="auto"/>
        </w:rPr>
        <w:t>used to calculate tax liabilities in the application of complex tax regulations across the tax jurisdictions where we</w:t>
      </w:r>
    </w:p>
    <w:p>
      <w:pPr>
        <w:ind w:right="240"/>
        <w:spacing w:after="0" w:line="221" w:lineRule="auto"/>
        <w:rPr>
          <w:sz w:val="20"/>
          <w:szCs w:val="20"/>
          <w:color w:val="auto"/>
        </w:rPr>
      </w:pPr>
      <w:r>
        <w:rPr>
          <w:rFonts w:ascii="Arial" w:cs="Arial" w:eastAsia="Arial" w:hAnsi="Arial"/>
          <w:sz w:val="17"/>
          <w:szCs w:val="17"/>
          <w:color w:val="auto"/>
        </w:rPr>
        <w:t>operate. Our analysis of unrecognized tax benefits contains uncertainties based on judgment</w:t>
      </w:r>
    </w:p>
    <w:p>
      <w:pPr>
        <w:ind w:right="20"/>
        <w:spacing w:after="0" w:line="221" w:lineRule="auto"/>
        <w:rPr>
          <w:sz w:val="20"/>
          <w:szCs w:val="20"/>
          <w:color w:val="auto"/>
        </w:rPr>
      </w:pPr>
      <w:r>
        <w:rPr>
          <w:rFonts w:ascii="Arial" w:cs="Arial" w:eastAsia="Arial" w:hAnsi="Arial"/>
          <w:sz w:val="18"/>
          <w:szCs w:val="18"/>
          <w:color w:val="auto"/>
        </w:rPr>
        <w:t>used to apply the more likely than not recognition and measurement thresholds.</w:t>
      </w:r>
    </w:p>
    <w:p>
      <w:pPr>
        <w:spacing w:after="0" w:line="200" w:lineRule="exact"/>
        <w:rPr>
          <w:sz w:val="20"/>
          <w:szCs w:val="20"/>
          <w:color w:val="auto"/>
        </w:rPr>
      </w:pPr>
    </w:p>
    <w:p>
      <w:pPr>
        <w:spacing w:after="0" w:line="38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When available, quoted market prices or prices obtained through external</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sources are used to determine a contract's fair value. For contracts for which quoted market prices are not</w:t>
      </w:r>
    </w:p>
    <w:p>
      <w:pPr>
        <w:ind w:right="180"/>
        <w:spacing w:after="0" w:line="221" w:lineRule="auto"/>
        <w:rPr>
          <w:sz w:val="20"/>
          <w:szCs w:val="20"/>
          <w:color w:val="auto"/>
        </w:rPr>
      </w:pPr>
      <w:r>
        <w:rPr>
          <w:rFonts w:ascii="Arial" w:cs="Arial" w:eastAsia="Arial" w:hAnsi="Arial"/>
          <w:sz w:val="17"/>
          <w:szCs w:val="17"/>
          <w:color w:val="auto"/>
        </w:rPr>
        <w:t>available, fair value is determined based on pricing models developed primarily from historical information</w:t>
      </w:r>
    </w:p>
    <w:p>
      <w:pPr>
        <w:ind w:right="120"/>
        <w:spacing w:after="0" w:line="221" w:lineRule="auto"/>
        <w:rPr>
          <w:sz w:val="20"/>
          <w:szCs w:val="20"/>
          <w:color w:val="auto"/>
        </w:rPr>
      </w:pPr>
      <w:r>
        <w:rPr>
          <w:rFonts w:ascii="Arial" w:cs="Arial" w:eastAsia="Arial" w:hAnsi="Arial"/>
          <w:sz w:val="17"/>
          <w:szCs w:val="17"/>
          <w:color w:val="auto"/>
        </w:rPr>
        <w:t>and the expected relationship with quoted market prices. Measurement of the fair value of our derivatives</w:t>
      </w:r>
    </w:p>
    <w:p>
      <w:pPr>
        <w:ind w:right="460"/>
        <w:spacing w:after="0" w:line="208" w:lineRule="auto"/>
        <w:rPr>
          <w:sz w:val="20"/>
          <w:szCs w:val="20"/>
          <w:color w:val="auto"/>
        </w:rPr>
      </w:pPr>
      <w:r>
        <w:rPr>
          <w:rFonts w:ascii="Arial" w:cs="Arial" w:eastAsia="Arial" w:hAnsi="Arial"/>
          <w:sz w:val="18"/>
          <w:szCs w:val="18"/>
          <w:color w:val="auto"/>
        </w:rPr>
        <w:t>also requires the assessment of certain risks related to non-performance, which requires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amount of judgment.</w:t>
      </w:r>
    </w:p>
    <w:p>
      <w:pPr>
        <w:spacing w:after="0" w:line="19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Significant judgment is involved in assessing if the contracts are indexed</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to our own stock and if the contracts shall be classified as equity or liabilities in our statement of financial</w:t>
      </w: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br w:type="column"/>
      </w:r>
    </w:p>
    <w:p>
      <w:pPr>
        <w:ind w:right="220"/>
        <w:spacing w:after="0" w:line="223" w:lineRule="auto"/>
        <w:rPr>
          <w:sz w:val="20"/>
          <w:szCs w:val="20"/>
          <w:color w:val="auto"/>
        </w:rPr>
      </w:pPr>
      <w:r>
        <w:rPr>
          <w:rFonts w:ascii="Arial" w:cs="Arial" w:eastAsia="Arial" w:hAnsi="Arial"/>
          <w:sz w:val="17"/>
          <w:szCs w:val="17"/>
          <w:color w:val="auto"/>
        </w:rPr>
        <w:t>Due to the complexity of some of these uncertainties, the ultimate resolution of our tax related balances or valuation</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allowances may result in a payment that is materially different from the current estimate of the tax liabilities. To the extent we prevail in matters for which unrecognized tax</w:t>
      </w:r>
    </w:p>
    <w:p>
      <w:pPr>
        <w:spacing w:after="0" w:line="2" w:lineRule="exact"/>
        <w:rPr>
          <w:sz w:val="20"/>
          <w:szCs w:val="20"/>
          <w:color w:val="auto"/>
        </w:rPr>
      </w:pPr>
    </w:p>
    <w:p>
      <w:pPr>
        <w:ind w:right="220"/>
        <w:spacing w:after="0" w:line="221" w:lineRule="auto"/>
        <w:rPr>
          <w:sz w:val="20"/>
          <w:szCs w:val="20"/>
          <w:color w:val="auto"/>
        </w:rPr>
      </w:pPr>
      <w:r>
        <w:rPr>
          <w:rFonts w:ascii="Arial" w:cs="Arial" w:eastAsia="Arial" w:hAnsi="Arial"/>
          <w:sz w:val="17"/>
          <w:szCs w:val="17"/>
          <w:color w:val="auto"/>
        </w:rPr>
        <w:t>benefit liabilities have been established, or are required to pay amounts in excess of our recorded unrecognized tax benefit liabilities, our effective tax rate in a given financial</w:t>
      </w:r>
    </w:p>
    <w:p>
      <w:pPr>
        <w:spacing w:after="0"/>
        <w:rPr>
          <w:sz w:val="20"/>
          <w:szCs w:val="20"/>
          <w:color w:val="auto"/>
        </w:rPr>
      </w:pPr>
      <w:r>
        <w:rPr>
          <w:rFonts w:ascii="Arial" w:cs="Arial" w:eastAsia="Arial" w:hAnsi="Arial"/>
          <w:sz w:val="18"/>
          <w:szCs w:val="18"/>
          <w:color w:val="auto"/>
        </w:rPr>
        <w:t>statement period could be materially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Our valuation methodology for derivative contracts requires us to make assumptions regarding the fair value of those</w:t>
      </w:r>
    </w:p>
    <w:p>
      <w:pPr>
        <w:spacing w:after="0" w:line="1"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contracts. While we currently believe that our derivative contracts will be effective in mitigating the associated price risks, if our estimates of fair value and related assumptions</w:t>
      </w:r>
    </w:p>
    <w:p>
      <w:pPr>
        <w:ind w:right="180"/>
        <w:spacing w:after="0" w:line="221" w:lineRule="auto"/>
        <w:rPr>
          <w:sz w:val="20"/>
          <w:szCs w:val="20"/>
          <w:color w:val="auto"/>
        </w:rPr>
      </w:pPr>
      <w:r>
        <w:rPr>
          <w:rFonts w:ascii="Arial" w:cs="Arial" w:eastAsia="Arial" w:hAnsi="Arial"/>
          <w:sz w:val="17"/>
          <w:szCs w:val="17"/>
          <w:color w:val="auto"/>
        </w:rPr>
        <w:t>prove to be incorrect, it is possible that our derivative instruments may be ineffective at mitigating material changes in prices, which could have an adverse impact on</w:t>
      </w:r>
    </w:p>
    <w:p>
      <w:pPr>
        <w:ind w:right="180"/>
        <w:spacing w:after="0" w:line="221" w:lineRule="auto"/>
        <w:rPr>
          <w:sz w:val="20"/>
          <w:szCs w:val="20"/>
          <w:color w:val="auto"/>
        </w:rPr>
      </w:pPr>
      <w:r>
        <w:rPr>
          <w:rFonts w:ascii="Arial" w:cs="Arial" w:eastAsia="Arial" w:hAnsi="Arial"/>
          <w:sz w:val="17"/>
          <w:szCs w:val="17"/>
          <w:color w:val="auto"/>
        </w:rPr>
        <w:t>our financial position and results of operations. If our estimates of fair value are inaccurate, we may be exposed to losses or gains that could be material. If contracts</w:t>
      </w:r>
    </w:p>
    <w:p>
      <w:pPr>
        <w:ind w:right="80"/>
        <w:spacing w:after="0" w:line="221" w:lineRule="auto"/>
        <w:rPr>
          <w:sz w:val="20"/>
          <w:szCs w:val="20"/>
          <w:color w:val="auto"/>
        </w:rPr>
      </w:pPr>
      <w:r>
        <w:rPr>
          <w:rFonts w:ascii="Arial" w:cs="Arial" w:eastAsia="Arial" w:hAnsi="Arial"/>
          <w:sz w:val="17"/>
          <w:szCs w:val="17"/>
          <w:color w:val="auto"/>
        </w:rPr>
        <w:t>indexed to our own stock are derivatives or contain embedded derivatives, they would be classified as a liability and remeasured to fair value through net income impacting</w:t>
      </w:r>
    </w:p>
    <w:p>
      <w:pPr>
        <w:ind w:right="80"/>
        <w:spacing w:after="0" w:line="246" w:lineRule="auto"/>
        <w:rPr>
          <w:sz w:val="20"/>
          <w:szCs w:val="20"/>
          <w:color w:val="auto"/>
        </w:rPr>
      </w:pPr>
      <w:r>
        <w:rPr>
          <w:rFonts w:ascii="Arial" w:cs="Arial" w:eastAsia="Arial" w:hAnsi="Arial"/>
          <w:sz w:val="17"/>
          <w:szCs w:val="17"/>
          <w:color w:val="auto"/>
        </w:rPr>
        <w:t>future earnings. See Item 7A. – Quantitative and Qualitative Disclosures About Market Risks for additional information.</w:t>
      </w:r>
    </w:p>
    <w:p>
      <w:pPr>
        <w:spacing w:after="0" w:line="1329" w:lineRule="exact"/>
        <w:rPr>
          <w:sz w:val="20"/>
          <w:szCs w:val="20"/>
          <w:color w:val="auto"/>
        </w:rPr>
      </w:pPr>
    </w:p>
    <w:p>
      <w:pPr>
        <w:sectPr>
          <w:pgSz w:w="11900" w:h="16838" w:orient="portrait"/>
          <w:cols w:equalWidth="0" w:num="3">
            <w:col w:w="3040" w:space="180"/>
            <w:col w:w="3000" w:space="200"/>
            <w:col w:w="4820"/>
          </w:cols>
          <w:pgMar w:left="320" w:top="108"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designed to achieve an economic offset of the underlying price risk exposure. As a result, any changes in income associated with our derivatives contracts are substantially offset by corresponding changes in the value of the underlying risk being mitigated. However, in markets where the derivative instruments with longer maturities are automatically replaced by equivalent positions with shorter maturities, we may experience timing differences between the realized and unrealized gain or loss of the underlying transaction and hedged item although the underlying risk being mitigated is still offset. Financial instruments and positions affecting our financial statements are described below and are held primarily for hedging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notional and fair market values of our commodity-based derivative instrument positions were as follows (in millions, except weighted average contract price):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auto"/>
            </w:tcBorders>
            <w:gridSpan w:val="4"/>
          </w:tcPr>
          <w:p>
            <w:pPr>
              <w:ind w:left="1200"/>
              <w:spacing w:after="0"/>
              <w:rPr>
                <w:sz w:val="20"/>
                <w:szCs w:val="20"/>
                <w:color w:val="auto"/>
              </w:rPr>
            </w:pPr>
            <w:r>
              <w:rPr>
                <w:rFonts w:ascii="Arial" w:cs="Arial" w:eastAsia="Arial" w:hAnsi="Arial"/>
                <w:sz w:val="14"/>
                <w:szCs w:val="14"/>
                <w:b w:val="1"/>
                <w:bCs w:val="1"/>
                <w:color w:val="auto"/>
              </w:rPr>
              <w:t>Commodity Contracts (In millions of BBL)</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7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7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Settlement</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Hedge Strategy</w:t>
            </w:r>
          </w:p>
        </w:tc>
        <w:tc>
          <w:tcPr>
            <w:tcW w:w="100" w:type="dxa"/>
            <w:vAlign w:val="bottom"/>
            <w:vMerge w:val="restart"/>
          </w:tcPr>
          <w:p>
            <w:pPr>
              <w:spacing w:after="0"/>
              <w:rPr>
                <w:sz w:val="12"/>
                <w:szCs w:val="12"/>
                <w:color w:val="auto"/>
              </w:rPr>
            </w:pPr>
          </w:p>
        </w:tc>
        <w:tc>
          <w:tcPr>
            <w:tcW w:w="1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Contract</w:t>
            </w:r>
          </w:p>
        </w:tc>
        <w:tc>
          <w:tcPr>
            <w:tcW w:w="140" w:type="dxa"/>
            <w:vAlign w:val="bottom"/>
          </w:tcPr>
          <w:p>
            <w:pPr>
              <w:spacing w:after="0"/>
              <w:rPr>
                <w:sz w:val="12"/>
                <w:szCs w:val="12"/>
                <w:color w:val="auto"/>
              </w:rPr>
            </w:pPr>
          </w:p>
        </w:tc>
        <w:tc>
          <w:tcPr>
            <w:tcW w:w="74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Contract</w:t>
            </w:r>
          </w:p>
        </w:tc>
        <w:tc>
          <w:tcPr>
            <w:tcW w:w="140" w:type="dxa"/>
            <w:vAlign w:val="bottom"/>
          </w:tcPr>
          <w:p>
            <w:pPr>
              <w:spacing w:after="0"/>
              <w:rPr>
                <w:sz w:val="12"/>
                <w:szCs w:val="12"/>
                <w:color w:val="auto"/>
              </w:rPr>
            </w:pPr>
          </w:p>
        </w:tc>
        <w:tc>
          <w:tcPr>
            <w:tcW w:w="74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5"/>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9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Commodity contracts</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2200" w:type="dxa"/>
            <w:vAlign w:val="bottom"/>
            <w:gridSpan w:val="2"/>
            <w:vMerge w:val="continue"/>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hedging inventory</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87.26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88.33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Total designated hedge commodity contracts</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Non-designated hedge</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Commodity contracts</w:t>
            </w:r>
          </w:p>
        </w:tc>
        <w:tc>
          <w:tcPr>
            <w:tcW w:w="1040" w:type="dxa"/>
            <w:vAlign w:val="bottom"/>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17.48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9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CCEEFF"/>
            </w:tcBorders>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20.26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non-designated hedge commodity contracts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0"/>
        </w:trPr>
        <w:tc>
          <w:tcPr>
            <w:tcW w:w="4200" w:type="dxa"/>
            <w:vAlign w:val="bottom"/>
            <w:gridSpan w:val="4"/>
          </w:tcPr>
          <w:p>
            <w:pPr>
              <w:ind w:left="20"/>
              <w:spacing w:after="0"/>
              <w:rPr>
                <w:sz w:val="20"/>
                <w:szCs w:val="20"/>
                <w:color w:val="auto"/>
              </w:rPr>
            </w:pPr>
            <w:r>
              <w:rPr>
                <w:rFonts w:ascii="Arial" w:cs="Arial" w:eastAsia="Arial" w:hAnsi="Arial"/>
                <w:sz w:val="16"/>
                <w:szCs w:val="16"/>
                <w:color w:val="auto"/>
              </w:rPr>
              <w:t>Total commodity derivative contracts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2025 would have a material impact on our income from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the foreign currency denominated notional amounts and fair value in U.S. dollars of our exposures from our foreign currency exchange derivatives, were primarily related to the following (in millions, except weighted average contract price):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Settlement Period</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Unit</w:t>
            </w:r>
          </w:p>
        </w:tc>
        <w:tc>
          <w:tcPr>
            <w:tcW w:w="2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Notional</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00" w:type="dxa"/>
            <w:vAlign w:val="bottom"/>
          </w:tcPr>
          <w:p>
            <w:pPr>
              <w:spacing w:after="0"/>
              <w:rPr>
                <w:sz w:val="17"/>
                <w:szCs w:val="17"/>
                <w:color w:val="auto"/>
              </w:rPr>
            </w:pPr>
          </w:p>
        </w:tc>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Fair Value Amount</w:t>
            </w:r>
          </w:p>
        </w:tc>
        <w:tc>
          <w:tcPr>
            <w:tcW w:w="0" w:type="dxa"/>
            <w:vAlign w:val="bottom"/>
          </w:tcPr>
          <w:p>
            <w:pPr>
              <w:spacing w:after="0"/>
              <w:rPr>
                <w:sz w:val="1"/>
                <w:szCs w:val="1"/>
                <w:color w:val="auto"/>
              </w:rPr>
            </w:pPr>
          </w:p>
        </w:tc>
      </w:tr>
      <w:tr>
        <w:trPr>
          <w:trHeight w:val="243"/>
        </w:trPr>
        <w:tc>
          <w:tcPr>
            <w:tcW w:w="2280" w:type="dxa"/>
            <w:vAlign w:val="bottom"/>
            <w:gridSpan w:val="2"/>
            <w:vMerge w:val="continue"/>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Net Long/(Short)</w:t>
            </w: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Contract Price</w:t>
            </w:r>
          </w:p>
        </w:tc>
        <w:tc>
          <w:tcPr>
            <w:tcW w:w="20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AUD</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CAD</w:t>
            </w:r>
          </w:p>
        </w:tc>
        <w:tc>
          <w:tcPr>
            <w:tcW w:w="2160" w:type="dxa"/>
            <w:vAlign w:val="bottom"/>
          </w:tcPr>
          <w:p>
            <w:pPr>
              <w:jc w:val="right"/>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CLP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5,898.8</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COP</w:t>
            </w:r>
          </w:p>
        </w:tc>
        <w:tc>
          <w:tcPr>
            <w:tcW w:w="2160" w:type="dxa"/>
            <w:vAlign w:val="bottom"/>
          </w:tcPr>
          <w:p>
            <w:pPr>
              <w:jc w:val="right"/>
              <w:spacing w:after="0"/>
              <w:rPr>
                <w:sz w:val="20"/>
                <w:szCs w:val="20"/>
                <w:color w:val="auto"/>
              </w:rPr>
            </w:pPr>
            <w:r>
              <w:rPr>
                <w:rFonts w:ascii="Arial" w:cs="Arial" w:eastAsia="Arial" w:hAnsi="Arial"/>
                <w:sz w:val="18"/>
                <w:szCs w:val="18"/>
                <w:color w:val="auto"/>
              </w:rPr>
              <w:t>(70,477.2)</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3,878.833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DKK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tcPr>
          <w:p>
            <w:pPr>
              <w:jc w:val="right"/>
              <w:spacing w:after="0"/>
              <w:rPr>
                <w:sz w:val="20"/>
                <w:szCs w:val="20"/>
                <w:color w:val="auto"/>
              </w:rPr>
            </w:pPr>
            <w:r>
              <w:rPr>
                <w:rFonts w:ascii="Arial" w:cs="Arial" w:eastAsia="Arial" w:hAnsi="Arial"/>
                <w:sz w:val="18"/>
                <w:szCs w:val="18"/>
                <w:color w:val="auto"/>
              </w:rPr>
              <w:t>578.7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GBP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HUF</w:t>
            </w:r>
          </w:p>
        </w:tc>
        <w:tc>
          <w:tcPr>
            <w:tcW w:w="2160" w:type="dxa"/>
            <w:vAlign w:val="bottom"/>
          </w:tcPr>
          <w:p>
            <w:pPr>
              <w:jc w:val="right"/>
              <w:spacing w:after="0"/>
              <w:rPr>
                <w:sz w:val="20"/>
                <w:szCs w:val="20"/>
                <w:color w:val="auto"/>
              </w:rPr>
            </w:pPr>
            <w:r>
              <w:rPr>
                <w:rFonts w:ascii="Arial" w:cs="Arial" w:eastAsia="Arial" w:hAnsi="Arial"/>
                <w:sz w:val="18"/>
                <w:szCs w:val="18"/>
                <w:color w:val="auto"/>
              </w:rPr>
              <w:t>(2,519.7)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337.507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JPY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KRW</w:t>
            </w:r>
          </w:p>
        </w:tc>
        <w:tc>
          <w:tcPr>
            <w:tcW w:w="2160" w:type="dxa"/>
            <w:vAlign w:val="bottom"/>
          </w:tcPr>
          <w:p>
            <w:pPr>
              <w:jc w:val="right"/>
              <w:spacing w:after="0"/>
              <w:rPr>
                <w:sz w:val="20"/>
                <w:szCs w:val="20"/>
                <w:color w:val="auto"/>
              </w:rPr>
            </w:pPr>
            <w:r>
              <w:rPr>
                <w:rFonts w:ascii="Arial" w:cs="Arial" w:eastAsia="Arial" w:hAnsi="Arial"/>
                <w:sz w:val="18"/>
                <w:szCs w:val="18"/>
                <w:color w:val="auto"/>
              </w:rPr>
              <w:t>(41,343.5)</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1,406.301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MXN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NOK</w:t>
            </w:r>
          </w:p>
        </w:tc>
        <w:tc>
          <w:tcPr>
            <w:tcW w:w="2160" w:type="dxa"/>
            <w:vAlign w:val="bottom"/>
          </w:tcPr>
          <w:p>
            <w:pPr>
              <w:jc w:val="right"/>
              <w:spacing w:after="0"/>
              <w:rPr>
                <w:sz w:val="20"/>
                <w:szCs w:val="20"/>
                <w:color w:val="auto"/>
              </w:rPr>
            </w:pPr>
            <w:r>
              <w:rPr>
                <w:rFonts w:ascii="Arial" w:cs="Arial" w:eastAsia="Arial" w:hAnsi="Arial"/>
                <w:sz w:val="18"/>
                <w:szCs w:val="18"/>
                <w:color w:val="auto"/>
              </w:rPr>
              <w:t>(771.1)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9.832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NZD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RON</w:t>
            </w:r>
          </w:p>
        </w:tc>
        <w:tc>
          <w:tcPr>
            <w:tcW w:w="216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ZAR</w:t>
            </w: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16.990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center"/>
              <w:ind w:left="14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fair value of our foreign currency exchange derivative contracts was a net liability of $2.2 million and a net asset of $6.2 million as of December 31, 2025 and 2024, respectively. The majority of foreign currency exchange derivatives are settled within one year. See Note 4. Derivative Instruments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Borrowings under our Credit Facility and Term Loan related to base rate loans or Term SOFR loans and alternative currency loans bear floating interest rates plus applicable margins. As of December 31, 2025, the applicable margins for base rate loans and Term SOFR loans and alternative currency loans were 0.875% and 1.875%, respectively, and we had a $346.5 million Term Loan and no outstanding borrowings under our Credit Facility. The aggregate outstanding balance of our finance lease obligations was $ 4.4 million as of December 31, 2025, which bear interest at annual rates ranging from 2.6% to 6.9%. We also have other agreements, such as our RPAs, with exposure to interest rate risk. See Note 3. Accounts Receivable and Note 9. Debt, Interest Income, Expense, and Other Finance Costs for additional information.</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fluctuation of 100 bps in interest rates as of December 31, 2025 would result in a $10.9 million change in interest expense during the next twelve months with respect to the outstanding amounts as of December 31, 2025 under these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our outstanding Convertible Notes is subject to market risk and other factors due to the convertible feature. The fair value of the Convertible Notes will generally increase as our common stock price increases and will generally decrease as our common stock price declines in value. The Convertible Notes are carried at amortized cost and their fair value is presented for disclosure purposes only. The interest and market value changes affect the fair value of our Convertible Notes, but do not impact our financial position, cash flows, or results of operations due to the fixed nature of the debt obligation.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conversion of the Convertible Notes, we have the option to pay or deliver, as the case may be, cash, shares of our common stock, or a combination of cash and shares of our common stock in respect of the portion, if any, of our conversion obligation in excess of the aggregate principal amount of the notes being converted. If we elect to settle the portion, if any, of our conversion obligation in excess of the aggregate principal amount of the Convertible Notes being converted in shares of our common stock or a combination of cash and shares of our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sales in the public market of our common stock issuable upon such conversion could adversely affect prevailing market prices of our common stock.</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pricing of the Convertible Notes, we entered into convertible note hedge transactions with certain of the initial purchasers or affiliates thereof and certain other financial institutions. We also entered into warrant transactions. The convertible note hedge transactions are expected generally to reduce the potential dilution upon conversion of the notes and/or offset any cash payments we are required to make in excess of the principal amount of converted notes, as the case may be. However, the warrant transactions could separately have a dilutive effect on our common stock to the extent that the market price per share of our common stock exceeds the strike price of the warrants. See Note 9. Debt, Interest Income, Expense, and Other Finance Costs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23, 2026, are set forth in Item 15 of this 2025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the end of the period covered by this 2025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 xml:space="preserve"> 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5"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2025 using the framework specified in Internal Control – Integrated Framework (2013) issued by the Committee of Sponsoring Organizations of the Treadway Commission. Based on such assessment, management has concluded that our internal control over financial reporting was effective as of December 31, 2025. Management has excluded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acquisition of Universal Weather and Aviation's Trip Support Services division ("Universal TSS"), which was acquired on November 5, 2025, from its assessment of internal control over financial reporting as of December 31, 2025. The total assets and total revenues of Universal TSS each represent less than 1% of the related consolidated financial statement amounts as of and for the year ended December 31,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2025 has been audited by PricewaterhouseCoopers LLP, an independent registered public accounting firm, as stated in their report appearing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24, 2025, Michael Kasbar, Executive Chairman of our Board of Directors, adopted a trading plan for the sale of shares of our common stock, which is intended to satisfy the affirmative defense conditions of Rule 10b5-1(c) under the Exchange Act. The plan is effective on March 2, 2026 and expires upon the earlier of March 2, 2027 or completion of the sale of the maximum number of shares under the plan. The plan provides for the sale of up to 180,000 shares of our common stock.</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as noted above, during the three months ended December 31, 2025, none of our officers (as defined in Rule 16a-1(f) of the Exchange Act) or directors adopted or terminated a "Rule 10b5-1 trading arrangement" or "non-Rule 10b5-1 trading arrangement," as each term is defined in Item 408(a)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Investor Relations website at ir.worldkinect.com under "Corporate Governance." We intend to disclose any amendments to our Code of Conduct or waivers with respect to our Code of Conduct granted to our principal executive, financial and accounting officers on our website.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an insider trading policy applicable to our directors, officers and employees, governing the purchase, sale, and other dispositions of our securities. We believe our insider trading policies and procedures are reasonably designed to promote compliance with insider trading laws, rules, and regulations and listing standards applicable to the Company. A copy of our insider trading policy is filed as Exhibit 19.1 to this 2025 10-K Report.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"Proposal No. 1--Election of Directors," "Corporate Governance" and "Information Concerning Executive Officers" in our Definitive Proxy Statement for the 2026 Annual Meeting of Shareholders ("2026 Proxy") to be filed pursuant to Regulation 14A within 120 days after the close of the fiscal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executive compensation is incorporated herein by reference from "Corporate Governance--Director Compensation and Ownership Guidelines," "Compensation Discussion and Analysis," and "Executive Compensation Tables" in our 2026 Proxy to be filed pursuant to Regulation 14A within 120 days after the close of the fiscal year ended December 31, 2025.</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"Security Ownership of Certain Beneficial Owners and Management" in our 2026 Proxy to be filed pursuant to Regulation 14A within 120 days after the close of the fiscal year ended December 31, 2025.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"Corporate Governance--Review and Approval of Related Person Transactions" and "Corporate Governance--Board and Committee Governance-- Director Independence" in our 2026 Proxy to be filed pursuant to Regulation 14A within 120 days after the close of the fiscal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Information on principal accounting fees and services is incorporated herein by reference from "Proposal No. 3--Ratification of Independent Registered Public Accounting Firm--Fees and Services of PricewaterhouseCoopers LLP" in our 2026 Proxy to be filed pursuant to Regulation 14A within 120 days after the close of the fiscal year ended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9800" w:type="dxa"/>
            <w:vAlign w:val="bottom"/>
            <w:gridSpan w:val="10"/>
          </w:tcPr>
          <w:p>
            <w:pPr>
              <w:spacing w:after="0" w:line="207" w:lineRule="exact"/>
              <w:rPr>
                <w:sz w:val="20"/>
                <w:szCs w:val="20"/>
                <w:color w:val="auto"/>
              </w:rPr>
            </w:pPr>
            <w:r>
              <w:rPr>
                <w:rFonts w:ascii="Arial" w:cs="Arial" w:eastAsia="Arial" w:hAnsi="Arial"/>
                <w:sz w:val="18"/>
                <w:szCs w:val="18"/>
                <w:color w:val="auto"/>
              </w:rPr>
              <w:t>The following Consolidated Financial Statements are filed as a part of this 2025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340" w:type="dxa"/>
            <w:vAlign w:val="bottom"/>
          </w:tcPr>
          <w:p>
            <w:pPr>
              <w:spacing w:after="0"/>
              <w:rPr>
                <w:sz w:val="24"/>
                <w:szCs w:val="24"/>
                <w:color w:val="auto"/>
              </w:rPr>
            </w:pPr>
          </w:p>
        </w:tc>
      </w:tr>
      <w:tr>
        <w:trPr>
          <w:trHeight w:val="215"/>
        </w:trPr>
        <w:tc>
          <w:tcPr>
            <w:tcW w:w="8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99"/>
              </w:rPr>
              <w:t>(i)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34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9"/>
              </w:rPr>
              <w:t>(ii)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Balance Sheets</w:t>
            </w:r>
          </w:p>
        </w:tc>
        <w:tc>
          <w:tcPr>
            <w:tcW w:w="34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w w:val="70"/>
              </w:rPr>
              <w:t>(iii)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Income and Comprehensive Income</w:t>
            </w:r>
          </w:p>
        </w:tc>
        <w:tc>
          <w:tcPr>
            <w:tcW w:w="340" w:type="dxa"/>
            <w:vAlign w:val="bottom"/>
          </w:tcPr>
          <w:p>
            <w:pPr>
              <w:jc w:val="right"/>
              <w:spacing w:after="0"/>
              <w:rPr>
                <w:sz w:val="20"/>
                <w:szCs w:val="20"/>
                <w:color w:val="auto"/>
              </w:rPr>
            </w:pPr>
            <w:r>
              <w:rPr>
                <w:rFonts w:ascii="Arial" w:cs="Arial" w:eastAsia="Arial" w:hAnsi="Arial"/>
                <w:sz w:val="18"/>
                <w:szCs w:val="18"/>
                <w:color w:val="0000FF"/>
              </w:rPr>
              <w:t>50</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(iv)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Shareholders’ Equity</w:t>
            </w:r>
          </w:p>
        </w:tc>
        <w:tc>
          <w:tcPr>
            <w:tcW w:w="340" w:type="dxa"/>
            <w:vAlign w:val="bottom"/>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5"/>
              </w:rPr>
              <w:t>(v)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Cash Flows</w:t>
            </w:r>
          </w:p>
        </w:tc>
        <w:tc>
          <w:tcPr>
            <w:tcW w:w="340" w:type="dxa"/>
            <w:vAlign w:val="bottom"/>
          </w:tcPr>
          <w:p>
            <w:pPr>
              <w:jc w:val="right"/>
              <w:spacing w:after="0"/>
              <w:rPr>
                <w:sz w:val="20"/>
                <w:szCs w:val="20"/>
                <w:color w:val="auto"/>
              </w:rPr>
            </w:pPr>
            <w:r>
              <w:rPr>
                <w:rFonts w:ascii="Arial" w:cs="Arial" w:eastAsia="Arial" w:hAnsi="Arial"/>
                <w:sz w:val="18"/>
                <w:szCs w:val="18"/>
                <w:color w:val="0000FF"/>
              </w:rPr>
              <w:t>52</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(vi)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Notes to the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0000FF"/>
              </w:rPr>
              <w:t>53</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8"/>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 schedules have been omitted either because the required information is set forth in the</w:t>
            </w:r>
          </w:p>
        </w:tc>
        <w:tc>
          <w:tcPr>
            <w:tcW w:w="340" w:type="dxa"/>
            <w:vAlign w:val="bottom"/>
          </w:tcPr>
          <w:p>
            <w:pPr>
              <w:spacing w:after="0"/>
              <w:rPr>
                <w:sz w:val="22"/>
                <w:szCs w:val="22"/>
                <w:color w:val="auto"/>
              </w:rPr>
            </w:pPr>
          </w:p>
        </w:tc>
      </w:tr>
      <w:tr>
        <w:trPr>
          <w:trHeight w:val="239"/>
        </w:trPr>
        <w:tc>
          <w:tcPr>
            <w:tcW w:w="820" w:type="dxa"/>
            <w:vAlign w:val="bottom"/>
          </w:tcPr>
          <w:p>
            <w:pPr>
              <w:spacing w:after="0"/>
              <w:rPr>
                <w:sz w:val="20"/>
                <w:szCs w:val="20"/>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40" w:type="dxa"/>
            <w:vAlign w:val="bottom"/>
          </w:tcPr>
          <w:p>
            <w:pPr>
              <w:spacing w:after="0"/>
              <w:rPr>
                <w:sz w:val="20"/>
                <w:szCs w:val="20"/>
                <w:color w:val="auto"/>
              </w:rPr>
            </w:pPr>
          </w:p>
        </w:tc>
      </w:tr>
    </w:tbl>
    <w:p>
      <w:pPr>
        <w:spacing w:after="0" w:line="5" w:lineRule="exact"/>
        <w:rPr>
          <w:sz w:val="20"/>
          <w:szCs w:val="20"/>
          <w:color w:val="auto"/>
        </w:rPr>
      </w:pPr>
    </w:p>
    <w:p>
      <w:pPr>
        <w:ind w:left="840" w:hanging="814"/>
        <w:spacing w:after="0" w:line="207" w:lineRule="exact"/>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340" w:type="dxa"/>
            <w:vAlign w:val="bottom"/>
            <w:tcBorders>
              <w:top w:val="single" w:sz="8" w:color="auto"/>
            </w:tcBorders>
            <w:gridSpan w:val="3"/>
          </w:tcPr>
          <w:p>
            <w:pPr>
              <w:ind w:left="20"/>
              <w:spacing w:after="0" w:line="170" w:lineRule="exact"/>
              <w:rPr>
                <w:rFonts w:ascii="Arial" w:cs="Arial" w:eastAsia="Arial" w:hAnsi="Arial"/>
                <w:sz w:val="16"/>
                <w:szCs w:val="16"/>
                <w:color w:val="0000FF"/>
              </w:rPr>
            </w:pPr>
            <w:hyperlink r:id="rId57">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Restated Articles of Incorporation of World Kinect Corporation (incorporated by reference herein from Exhibit 3.2 to our Quarterly Report 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6" w:lineRule="exact"/>
              <w:rPr>
                <w:sz w:val="20"/>
                <w:szCs w:val="20"/>
                <w:color w:val="auto"/>
              </w:rPr>
            </w:pPr>
            <w:r>
              <w:rPr>
                <w:rFonts w:ascii="Arial" w:cs="Arial" w:eastAsia="Arial" w:hAnsi="Arial"/>
                <w:sz w:val="16"/>
                <w:szCs w:val="16"/>
                <w:color w:val="auto"/>
              </w:rPr>
              <w:t>Form 10-Q for the quarter ended June 30, 2023 filed on July 28, 2023).</w:t>
            </w:r>
          </w:p>
        </w:tc>
        <w:tc>
          <w:tcPr>
            <w:tcW w:w="0" w:type="dxa"/>
            <w:vAlign w:val="bottom"/>
          </w:tcPr>
          <w:p>
            <w:pPr>
              <w:spacing w:after="0"/>
              <w:rPr>
                <w:sz w:val="1"/>
                <w:szCs w:val="1"/>
                <w:color w:val="auto"/>
              </w:rPr>
            </w:pPr>
          </w:p>
        </w:tc>
      </w:tr>
      <w:tr>
        <w:trPr>
          <w:trHeight w:val="205"/>
        </w:trPr>
        <w:tc>
          <w:tcPr>
            <w:tcW w:w="340" w:type="dxa"/>
            <w:vAlign w:val="bottom"/>
            <w:gridSpan w:val="3"/>
          </w:tcPr>
          <w:p>
            <w:pPr>
              <w:ind w:left="20"/>
              <w:spacing w:after="0"/>
              <w:rPr>
                <w:rFonts w:ascii="Arial" w:cs="Arial" w:eastAsia="Arial" w:hAnsi="Arial"/>
                <w:sz w:val="16"/>
                <w:szCs w:val="16"/>
                <w:color w:val="0000FF"/>
              </w:rPr>
            </w:pPr>
            <w:hyperlink r:id="rId58">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Laws, amended and restated as of October 22, 2025 (incorporated by reference herein from Exhibit 3.1 to our Current Report 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October 28, 2025).</w:t>
            </w:r>
          </w:p>
        </w:tc>
        <w:tc>
          <w:tcPr>
            <w:tcW w:w="0" w:type="dxa"/>
            <w:vAlign w:val="bottom"/>
          </w:tcPr>
          <w:p>
            <w:pPr>
              <w:spacing w:after="0"/>
              <w:rPr>
                <w:sz w:val="1"/>
                <w:szCs w:val="1"/>
                <w:color w:val="auto"/>
              </w:rPr>
            </w:pP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59">
              <w:r>
                <w:rPr>
                  <w:rFonts w:ascii="Arial" w:cs="Arial" w:eastAsia="Arial" w:hAnsi="Arial"/>
                  <w:sz w:val="16"/>
                  <w:szCs w:val="16"/>
                  <w:color w:val="0000FF"/>
                </w:rPr>
                <w:t>4.</w:t>
              </w:r>
              <w:r>
                <w:rPr>
                  <w:rFonts w:ascii="Arial" w:cs="Arial" w:eastAsia="Arial" w:hAnsi="Arial"/>
                  <w:sz w:val="16"/>
                  <w:szCs w:val="16"/>
                  <w:u w:val="single" w:color="auto"/>
                  <w:color w:val="0000FF"/>
                </w:rPr>
                <w:t>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Description of Capital Stock (incorporated by reference herein from Exhibit 4.1 to our Annual Report on Form 10-K for the year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December 31, 2019 filed on March 2, 2020 (the "2019 10-K").</w:t>
            </w:r>
          </w:p>
        </w:tc>
        <w:tc>
          <w:tcPr>
            <w:tcW w:w="0" w:type="dxa"/>
            <w:vAlign w:val="bottom"/>
          </w:tcPr>
          <w:p>
            <w:pPr>
              <w:spacing w:after="0"/>
              <w:rPr>
                <w:sz w:val="1"/>
                <w:szCs w:val="1"/>
                <w:color w:val="auto"/>
              </w:rPr>
            </w:pP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60">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Indenture, dated as of June 26, 2023, between World Kinect Corporation and U.S. Bank Trust Company, National Association (incorporated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by reference herein from Exhibit 4.1 to our Current Report on Form 8-K filed on June 27, 2023).</w:t>
            </w:r>
          </w:p>
        </w:tc>
        <w:tc>
          <w:tcPr>
            <w:tcW w:w="0" w:type="dxa"/>
            <w:vAlign w:val="bottom"/>
          </w:tcPr>
          <w:p>
            <w:pPr>
              <w:spacing w:after="0"/>
              <w:rPr>
                <w:sz w:val="1"/>
                <w:szCs w:val="1"/>
                <w:color w:val="auto"/>
              </w:rPr>
            </w:pP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rPr>
            </w:pPr>
            <w:hyperlink r:id="rId60">
              <w:r>
                <w:rPr>
                  <w:rFonts w:ascii="Arial" w:cs="Arial" w:eastAsia="Arial" w:hAnsi="Arial"/>
                  <w:sz w:val="16"/>
                  <w:szCs w:val="16"/>
                  <w:color w:val="0000FF"/>
                </w:rPr>
                <w:t>4.</w:t>
              </w:r>
              <w:r>
                <w:rPr>
                  <w:rFonts w:ascii="Arial" w:cs="Arial" w:eastAsia="Arial" w:hAnsi="Arial"/>
                  <w:sz w:val="16"/>
                  <w:szCs w:val="16"/>
                  <w:u w:val="single" w:color="auto"/>
                  <w:color w:val="0000FF"/>
                </w:rPr>
                <w:t>3</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3.250% Convertible Senior Note due 2028 (incorporated by reference herein from Exhibit 4.2 to our Current Report on Form 8-K</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filed on June 27, 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bottom w:val="single" w:sz="8" w:color="0000FF"/>
            </w:tcBorders>
            <w:gridSpan w:val="3"/>
          </w:tcPr>
          <w:p>
            <w:pPr>
              <w:spacing w:after="0" w:line="176" w:lineRule="exact"/>
              <w:rPr>
                <w:rFonts w:ascii="Arial" w:cs="Arial" w:eastAsia="Arial" w:hAnsi="Arial"/>
                <w:sz w:val="16"/>
                <w:szCs w:val="16"/>
                <w:color w:val="0000FF"/>
              </w:rPr>
            </w:pPr>
            <w:hyperlink r:id="rId61">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2016 Omnibus Plan (incorporated by reference herein from Exhibit 10.1 to our Current Report on Form 8-K filed on June 2, 2016).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0000FF"/>
            </w:tcBorders>
            <w:gridSpan w:val="3"/>
          </w:tcPr>
          <w:p>
            <w:pPr>
              <w:spacing w:after="0"/>
              <w:rPr>
                <w:rFonts w:ascii="Arial" w:cs="Arial" w:eastAsia="Arial" w:hAnsi="Arial"/>
                <w:sz w:val="16"/>
                <w:szCs w:val="16"/>
                <w:color w:val="0000FF"/>
              </w:rPr>
            </w:pPr>
            <w:hyperlink r:id="rId62">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2021 Omnibus Plan (incorporated by reference herein from Exhibit 10.1 to our Current Report on Form 8-K filed on May 25, 2021).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0000FF"/>
            </w:tcBorders>
            <w:gridSpan w:val="3"/>
          </w:tcPr>
          <w:p>
            <w:pPr>
              <w:spacing w:after="0"/>
              <w:rPr>
                <w:rFonts w:ascii="Arial" w:cs="Arial" w:eastAsia="Arial" w:hAnsi="Arial"/>
                <w:sz w:val="16"/>
                <w:szCs w:val="16"/>
                <w:color w:val="0000FF"/>
              </w:rPr>
            </w:pPr>
            <w:hyperlink r:id="rId63">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2025 Omnibus Plan (incorporated by reference herein from Annex A to our Proxy Statement on Schedule 14A filed on April 25, 2025). *</w:t>
            </w:r>
          </w:p>
        </w:tc>
        <w:tc>
          <w:tcPr>
            <w:tcW w:w="0" w:type="dxa"/>
            <w:vAlign w:val="bottom"/>
          </w:tcPr>
          <w:p>
            <w:pPr>
              <w:spacing w:after="0"/>
              <w:rPr>
                <w:sz w:val="1"/>
                <w:szCs w:val="1"/>
                <w:color w:val="auto"/>
              </w:rPr>
            </w:pPr>
          </w:p>
        </w:tc>
      </w:tr>
      <w:tr>
        <w:trPr>
          <w:trHeight w:val="196"/>
        </w:trPr>
        <w:tc>
          <w:tcPr>
            <w:tcW w:w="360" w:type="dxa"/>
            <w:vAlign w:val="bottom"/>
            <w:gridSpan w:val="4"/>
          </w:tcPr>
          <w:p>
            <w:pPr>
              <w:ind w:left="20"/>
              <w:spacing w:after="0"/>
              <w:rPr>
                <w:rFonts w:ascii="Arial" w:cs="Arial" w:eastAsia="Arial" w:hAnsi="Arial"/>
                <w:sz w:val="16"/>
                <w:szCs w:val="16"/>
                <w:color w:val="0000FF"/>
              </w:rPr>
            </w:pPr>
            <w:hyperlink r:id="rId64">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Director Indemnification Agreement (incorporated by reference from Exhibit 99.2 to our Current Report on Form 8-K filed on April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25, 2025).</w:t>
            </w:r>
          </w:p>
        </w:tc>
        <w:tc>
          <w:tcPr>
            <w:tcW w:w="0" w:type="dxa"/>
            <w:vAlign w:val="bottom"/>
          </w:tcPr>
          <w:p>
            <w:pPr>
              <w:spacing w:after="0"/>
              <w:rPr>
                <w:sz w:val="1"/>
                <w:szCs w:val="1"/>
                <w:color w:val="auto"/>
              </w:rPr>
            </w:pPr>
          </w:p>
        </w:tc>
      </w:tr>
      <w:tr>
        <w:trPr>
          <w:trHeight w:val="176"/>
        </w:trPr>
        <w:tc>
          <w:tcPr>
            <w:tcW w:w="340" w:type="dxa"/>
            <w:vAlign w:val="bottom"/>
            <w:gridSpan w:val="3"/>
          </w:tcPr>
          <w:p>
            <w:pPr>
              <w:ind w:left="20"/>
              <w:spacing w:after="0" w:line="176" w:lineRule="exact"/>
              <w:rPr>
                <w:rFonts w:ascii="Arial" w:cs="Arial" w:eastAsia="Arial" w:hAnsi="Arial"/>
                <w:sz w:val="16"/>
                <w:szCs w:val="16"/>
                <w:color w:val="0000FF"/>
                <w:w w:val="96"/>
              </w:rPr>
            </w:pPr>
            <w:hyperlink r:id="rId6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Named Executive Officer Performance-based Restricted Stock Unit Agreement under the 2021 Omnibus Plan incorporated by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10.1 to our Current Report on Form 8-K filed on November 14, 2022.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bottom w:val="single" w:sz="8" w:color="0000FF"/>
            </w:tcBorders>
            <w:gridSpan w:val="3"/>
          </w:tcPr>
          <w:p>
            <w:pPr>
              <w:spacing w:after="0" w:line="176" w:lineRule="exact"/>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Fuel Services Corporation Executive Severance Policy, effective as of January 1, 2026.*</w:t>
            </w:r>
          </w:p>
        </w:tc>
        <w:tc>
          <w:tcPr>
            <w:tcW w:w="0" w:type="dxa"/>
            <w:vAlign w:val="bottom"/>
          </w:tcPr>
          <w:p>
            <w:pPr>
              <w:spacing w:after="0"/>
              <w:rPr>
                <w:sz w:val="1"/>
                <w:szCs w:val="1"/>
                <w:color w:val="auto"/>
              </w:rPr>
            </w:pPr>
          </w:p>
        </w:tc>
      </w:tr>
      <w:tr>
        <w:trPr>
          <w:trHeight w:val="196"/>
        </w:trPr>
        <w:tc>
          <w:tcPr>
            <w:tcW w:w="360" w:type="dxa"/>
            <w:vAlign w:val="bottom"/>
            <w:gridSpan w:val="4"/>
          </w:tcPr>
          <w:p>
            <w:pPr>
              <w:ind w:left="20"/>
              <w:spacing w:after="0"/>
              <w:rPr>
                <w:rFonts w:ascii="Arial" w:cs="Arial" w:eastAsia="Arial" w:hAnsi="Arial"/>
                <w:sz w:val="16"/>
                <w:szCs w:val="16"/>
                <w:color w:val="0000FF"/>
              </w:rPr>
            </w:pPr>
            <w:hyperlink r:id="rId66">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Executive Officer Performance-Based Restricted Stock Unit Award Agreement (incorporated by reference herein from Exhibit 10.7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to our Annual Report on Form 10-K for the year ended December 31, 2022 filed on February 24, 2023 (the "2022 10-K")). *</w:t>
            </w:r>
          </w:p>
        </w:tc>
        <w:tc>
          <w:tcPr>
            <w:tcW w:w="0" w:type="dxa"/>
            <w:vAlign w:val="bottom"/>
          </w:tcPr>
          <w:p>
            <w:pPr>
              <w:spacing w:after="0"/>
              <w:rPr>
                <w:sz w:val="1"/>
                <w:szCs w:val="1"/>
                <w:color w:val="auto"/>
              </w:rPr>
            </w:pPr>
          </w:p>
        </w:tc>
      </w:tr>
      <w:tr>
        <w:trPr>
          <w:trHeight w:val="176"/>
        </w:trPr>
        <w:tc>
          <w:tcPr>
            <w:tcW w:w="360" w:type="dxa"/>
            <w:vAlign w:val="bottom"/>
            <w:gridSpan w:val="4"/>
          </w:tcPr>
          <w:p>
            <w:pPr>
              <w:ind w:left="20"/>
              <w:spacing w:after="0" w:line="176" w:lineRule="exact"/>
              <w:rPr>
                <w:rFonts w:ascii="Arial" w:cs="Arial" w:eastAsia="Arial" w:hAnsi="Arial"/>
                <w:sz w:val="16"/>
                <w:szCs w:val="16"/>
                <w:color w:val="0000FF"/>
              </w:rPr>
            </w:pPr>
            <w:hyperlink r:id="rId67">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Executive Officer Service-Based Restricted Stock Unit Award Agreement (incorporated by reference herein from Exhibit 10.8 to our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gridSpan w:val="2"/>
            <w:vMerge w:val="restart"/>
          </w:tcPr>
          <w:p>
            <w:pPr>
              <w:spacing w:after="0"/>
              <w:rPr>
                <w:rFonts w:ascii="Arial" w:cs="Arial" w:eastAsia="Arial" w:hAnsi="Arial"/>
                <w:sz w:val="16"/>
                <w:szCs w:val="16"/>
                <w:color w:val="0000FF"/>
                <w:w w:val="96"/>
              </w:rPr>
            </w:pPr>
            <w:hyperlink r:id="rId6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2022 10-K).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2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71" w:lineRule="exact"/>
              <w:rPr>
                <w:sz w:val="20"/>
                <w:szCs w:val="20"/>
                <w:color w:val="auto"/>
              </w:rPr>
            </w:pPr>
            <w:r>
              <w:rPr>
                <w:rFonts w:ascii="Arial" w:cs="Arial" w:eastAsia="Arial" w:hAnsi="Arial"/>
                <w:sz w:val="16"/>
                <w:szCs w:val="16"/>
                <w:color w:val="auto"/>
              </w:rPr>
              <w:t>Form of Non-Employee Director 2017 Restricted Stock Unit Grant Agreement under the 2016 Omnibus Plan (incorporated by reference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herein from Exhibit 10.24 to our Annual Report on Form 10-K for the year ended December 31, 2015 filed on February 16, 2016).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0" w:type="dxa"/>
            <w:vAlign w:val="bottom"/>
            <w:tcBorders>
              <w:bottom w:val="single" w:sz="8" w:color="0000FF"/>
            </w:tcBorders>
            <w:gridSpan w:val="5"/>
          </w:tcPr>
          <w:p>
            <w:pPr>
              <w:spacing w:after="0"/>
              <w:rPr>
                <w:rFonts w:ascii="Arial" w:cs="Arial" w:eastAsia="Arial" w:hAnsi="Arial"/>
                <w:sz w:val="16"/>
                <w:szCs w:val="16"/>
                <w:color w:val="0000FF"/>
                <w:w w:val="99"/>
              </w:rPr>
            </w:pPr>
            <w:hyperlink r:id="rId6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Non-Employee Director Restricted Stock Unit Grant Agreement under the 2016 Omnibus Plan (incorporated by reference herein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from Exhibit 10.10 to our 2019 10-K). *</w:t>
            </w:r>
          </w:p>
        </w:tc>
        <w:tc>
          <w:tcPr>
            <w:tcW w:w="0" w:type="dxa"/>
            <w:vAlign w:val="bottom"/>
          </w:tcPr>
          <w:p>
            <w:pPr>
              <w:spacing w:after="0"/>
              <w:rPr>
                <w:sz w:val="1"/>
                <w:szCs w:val="1"/>
                <w:color w:val="auto"/>
              </w:rPr>
            </w:pPr>
          </w:p>
        </w:tc>
      </w:tr>
      <w:tr>
        <w:trPr>
          <w:trHeight w:val="204"/>
        </w:trPr>
        <w:tc>
          <w:tcPr>
            <w:tcW w:w="440" w:type="dxa"/>
            <w:vAlign w:val="bottom"/>
            <w:gridSpan w:val="6"/>
          </w:tcPr>
          <w:p>
            <w:pPr>
              <w:ind w:left="20"/>
              <w:spacing w:after="0"/>
              <w:rPr>
                <w:rFonts w:ascii="Arial" w:cs="Arial" w:eastAsia="Arial" w:hAnsi="Arial"/>
                <w:sz w:val="16"/>
                <w:szCs w:val="16"/>
                <w:color w:val="0000FF"/>
                <w:w w:val="99"/>
              </w:rPr>
            </w:pPr>
            <w:hyperlink r:id="rId70">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Named Executive Officer Restricted Stock Unit Grant Agreement under the 2016 Omnibus Plan (incorporated by reference herein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10.10 to our Annual Report on Form 10-K for the year ended December 31, 2017 filed on February 28, 2018 ("2017 10-K"). *</w:t>
            </w:r>
          </w:p>
        </w:tc>
        <w:tc>
          <w:tcPr>
            <w:tcW w:w="0" w:type="dxa"/>
            <w:vAlign w:val="bottom"/>
          </w:tcPr>
          <w:p>
            <w:pPr>
              <w:spacing w:after="0"/>
              <w:rPr>
                <w:sz w:val="1"/>
                <w:szCs w:val="1"/>
                <w:color w:val="auto"/>
              </w:rPr>
            </w:pPr>
          </w:p>
        </w:tc>
      </w:tr>
      <w:tr>
        <w:trPr>
          <w:trHeight w:val="176"/>
        </w:trPr>
        <w:tc>
          <w:tcPr>
            <w:tcW w:w="1060" w:type="dxa"/>
            <w:vAlign w:val="bottom"/>
            <w:gridSpan w:val="7"/>
          </w:tcPr>
          <w:p>
            <w:pPr>
              <w:ind w:left="20"/>
              <w:spacing w:after="0" w:line="176" w:lineRule="exact"/>
              <w:rPr>
                <w:rFonts w:ascii="Arial" w:cs="Arial" w:eastAsia="Arial" w:hAnsi="Arial"/>
                <w:sz w:val="16"/>
                <w:szCs w:val="16"/>
                <w:color w:val="0000FF"/>
              </w:rPr>
            </w:pPr>
            <w:hyperlink r:id="rId71">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Kasbar Restricted Stock Unit Grant Agreement under the 2006 and 2016 Omnibus Plan (incorporated by reference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herein from Exhibit 10.14 to our 2017 10-K).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3"/>
          </w:tcPr>
          <w:p>
            <w:pPr>
              <w:ind w:left="20"/>
              <w:spacing w:after="0" w:line="170" w:lineRule="exact"/>
              <w:rPr>
                <w:rFonts w:ascii="Arial" w:cs="Arial" w:eastAsia="Arial" w:hAnsi="Arial"/>
                <w:sz w:val="16"/>
                <w:szCs w:val="16"/>
                <w:color w:val="0000FF"/>
              </w:rPr>
            </w:pPr>
            <w:hyperlink r:id="rId73">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Form of Ira M. Birns Restricted Stock Unit Grant Agreement under the 2016 Omnibus Plan (incorporated by reference herein from Exhibit</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10.17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4">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Ira M. Birns Stock-Settled Stock Appreciation Right Agreement under the 2006 Omnibus Plan (incorporated by reference herein</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from Exhibit 10.2 to our 2014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2016 Performance-Based Restricted Stock Unit Grant Agreement under the 2006 Omnibus</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Plan (incorporated by reference herein from Exhibit 10.21 to our 2017 10-K).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Grant Agreement under the 2006 Omnibus Plan (incorporated by reference</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herein from Exhibit 10.4 to our 2017 10-Q).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Michael J. Crosby and John P. Rau Restricted Stock Unit Grant Agreement under the 2006 Omnibus Plan (incorporated by</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reference herein from Exhibit 10.24 to our 2017 10-K). *</w:t>
            </w:r>
          </w:p>
        </w:tc>
      </w:tr>
      <w:tr>
        <w:trPr>
          <w:trHeight w:val="170"/>
        </w:trPr>
        <w:tc>
          <w:tcPr>
            <w:tcW w:w="1060" w:type="dxa"/>
            <w:vAlign w:val="bottom"/>
            <w:gridSpan w:val="3"/>
          </w:tcPr>
          <w:p>
            <w:pPr>
              <w:ind w:left="20"/>
              <w:spacing w:after="0" w:line="163"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100" w:type="dxa"/>
            <w:vAlign w:val="bottom"/>
          </w:tcPr>
          <w:p>
            <w:pPr>
              <w:spacing w:after="0"/>
              <w:rPr>
                <w:sz w:val="14"/>
                <w:szCs w:val="14"/>
                <w:color w:val="auto"/>
              </w:rPr>
            </w:pPr>
          </w:p>
        </w:tc>
        <w:tc>
          <w:tcPr>
            <w:tcW w:w="10080" w:type="dxa"/>
            <w:vAlign w:val="bottom"/>
          </w:tcPr>
          <w:p>
            <w:pPr>
              <w:ind w:left="20"/>
              <w:spacing w:after="0" w:line="163" w:lineRule="exact"/>
              <w:rPr>
                <w:sz w:val="20"/>
                <w:szCs w:val="20"/>
                <w:color w:val="auto"/>
              </w:rPr>
            </w:pPr>
            <w:r>
              <w:rPr>
                <w:rFonts w:ascii="Arial" w:cs="Arial" w:eastAsia="Arial" w:hAnsi="Arial"/>
                <w:sz w:val="16"/>
                <w:szCs w:val="16"/>
                <w:color w:val="auto"/>
              </w:rPr>
              <w:t>Amended and Restated Employment Agreement, dated November 10, 2022, between World Fuel Services Corporation and Michael J.</w:t>
            </w:r>
          </w:p>
        </w:tc>
      </w:tr>
      <w:tr>
        <w:trPr>
          <w:trHeight w:val="188"/>
        </w:trPr>
        <w:tc>
          <w:tcPr>
            <w:tcW w:w="20" w:type="dxa"/>
            <w:vAlign w:val="bottom"/>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Kasbar (incorporated by reference herein from Exhibit 10.1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November 14, 2022. *</w:t>
            </w:r>
          </w:p>
        </w:tc>
      </w:tr>
      <w:tr>
        <w:trPr>
          <w:trHeight w:val="176"/>
        </w:trPr>
        <w:tc>
          <w:tcPr>
            <w:tcW w:w="1060" w:type="dxa"/>
            <w:vAlign w:val="bottom"/>
            <w:gridSpan w:val="3"/>
          </w:tcPr>
          <w:p>
            <w:pPr>
              <w:ind w:left="20"/>
              <w:spacing w:after="0" w:line="176"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Fourth Amended and Restated Credit Agreement, dated as of October 10, 2013, among World Fuel Services Corporation, World Fuel</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Services Europe, Ltd. and World Fuel Services (Singapore) Pte Ltd, as borrowers, Bank of America, N.A., as administrative agent, and the</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financial institutions named therein as lenders (incorporated herein by reference to Exhibit 10.1 to our Current Report on Form 8-K filed on</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October 11, 2013).</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 to the Fourth Amended and Restated Credit Agreement, and Joinder Agreement, dated as of January 30, 2015, among</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February 5, 2015).</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2 to the Fourth Amended and Restated Credit Agreement, and Joinder Agreement, dated as of October 26, 2016, among</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October 27, 2016).</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3 to the Fourth Amended and Restated Credit Agreement, dated as of May 12, 2017,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10.2 to our 2017</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10-Q).</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4 to the Fourth Amended and Restated Credit Agreement, dated as January 30, 2018, among World Fuel Services</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10.30 to our</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2017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4">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5 to the Fourth Amended and Restated Credit Agreement, dated as of October 26, 2016, among World Fuel Services</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July 24, 2019).</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6 to the Fourth Amended and Restated Credit Agreement, dated as of November 24, 2021,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10.28 to our Annual Report on Form 10-K for the year ended December 31, 2021 filed on February 25, 2022 (the "2021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7 to the Fourth Amended and Restated Credit Agreement, dated as of November 26, 2021,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10.29 to our 2021 10-K).</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8 to Fourth Amended and Restated Credit Agreement, dated as of April 1, 2022, among World Fuel Services Corporation,</w:t>
            </w:r>
          </w:p>
        </w:tc>
      </w:tr>
      <w:tr>
        <w:trPr>
          <w:trHeight w:val="129"/>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World Fuel Services Europe, Ltd., World Fuel Services (Singapore) Pte Ltd, and certain other Subsidiaries, as borrowers, Bank of America,</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N.A., as administrative agent, and the financial institutions named therein as lenders (incorporated by reference herein from Exhibit 10.1 to</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our Current Report on Form 8-K filed on April 1, 2022).</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8">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9 to the Fourth Amended and Restated Credit Agreement, dated as of July 12, 2022, among World Fuel Services</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 to our Quarterly Report on Form 10-Q for the quarter ended June 30, 2022 filed on July 29, 2022).</w:t>
            </w:r>
          </w:p>
        </w:tc>
      </w:tr>
      <w:tr>
        <w:trPr>
          <w:trHeight w:val="177"/>
        </w:trPr>
        <w:tc>
          <w:tcPr>
            <w:tcW w:w="1060" w:type="dxa"/>
            <w:vAlign w:val="bottom"/>
            <w:gridSpan w:val="3"/>
          </w:tcPr>
          <w:p>
            <w:pPr>
              <w:ind w:left="20"/>
              <w:spacing w:after="0" w:line="177"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Amendment No. 10 to the Fourth Amended and Restated Credit Agreement, dated as of January 19, 2024, among World Kinect</w:t>
            </w:r>
          </w:p>
        </w:tc>
      </w:tr>
      <w:tr>
        <w:trPr>
          <w:trHeight w:val="128"/>
        </w:trPr>
        <w:tc>
          <w:tcPr>
            <w:tcW w:w="20" w:type="dxa"/>
            <w:vAlign w:val="bottom"/>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Corporation, World Fuel Services Europe, Ltd., World Fuel Services (Singapore) Pte Ltd, World Fuel Services, Inc., WFS UK Holding</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Company IV Limited, Kinect Energy AS and Kinect Energy Spot AS, and Bank of America, N.A., as administrative agent (incorporated by</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reference herein from Exhibit 10.34 to our Annual Report on Form 10-K for the year ended December 31, 2023 filed on February 23, 2024</w:t>
            </w: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(the "2023 10-K")).</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1060" w:type="dxa"/>
            <w:vAlign w:val="bottom"/>
            <w:tcBorders>
              <w:top w:val="single" w:sz="8" w:color="auto"/>
            </w:tcBorders>
            <w:gridSpan w:val="4"/>
          </w:tcPr>
          <w:p>
            <w:pPr>
              <w:ind w:left="20"/>
              <w:spacing w:after="0" w:line="170" w:lineRule="exact"/>
              <w:rPr>
                <w:rFonts w:ascii="Arial" w:cs="Arial" w:eastAsia="Arial" w:hAnsi="Arial"/>
                <w:sz w:val="16"/>
                <w:szCs w:val="16"/>
                <w:color w:val="0000FF"/>
              </w:rPr>
            </w:pPr>
            <w:hyperlink r:id="rId91">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00" w:type="dxa"/>
            <w:vAlign w:val="bottom"/>
          </w:tcPr>
          <w:p>
            <w:pPr>
              <w:spacing w:after="0"/>
              <w:rPr>
                <w:sz w:val="14"/>
                <w:szCs w:val="14"/>
                <w:color w:val="auto"/>
              </w:rPr>
            </w:pPr>
          </w:p>
        </w:tc>
        <w:tc>
          <w:tcPr>
            <w:tcW w:w="1008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Amendment No. 11 to Fourth Amended and Restated Credit Agreement, dated as of November 10, 2025, among the Company and certain</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of its subsidiaries, as borrowers, the guarantors named therein, Bank of America, N.A., as administrative agent, and the financial institutions</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named therein as lenders, co-documentation agents, joint lead arrangers, and joint bookrunners (incorporated by reference herein from</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November 13, 2025).</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2">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Purchase Agreement, dated June 21, 2023, among World Kinect Corporation, Morgan Stanley &amp; Co. LLC, J.P. Morgan Securities LLC and</w:t>
            </w:r>
          </w:p>
        </w:tc>
      </w:tr>
      <w:tr>
        <w:trPr>
          <w:trHeight w:val="128"/>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80" w:type="dxa"/>
            <w:vAlign w:val="bottom"/>
          </w:tcPr>
          <w:p>
            <w:pPr>
              <w:ind w:left="20"/>
              <w:spacing w:after="0" w:line="129" w:lineRule="exact"/>
              <w:rPr>
                <w:sz w:val="20"/>
                <w:szCs w:val="20"/>
                <w:color w:val="auto"/>
              </w:rPr>
            </w:pPr>
            <w:r>
              <w:rPr>
                <w:rFonts w:ascii="Arial" w:cs="Arial" w:eastAsia="Arial" w:hAnsi="Arial"/>
                <w:sz w:val="14"/>
                <w:szCs w:val="14"/>
                <w:color w:val="auto"/>
              </w:rPr>
              <w:t>BofA Securities, Inc. as representatives of the several initial purchasers listed on Schedule I thereto (incorporated by reference herein from</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June 27, 2023).</w:t>
            </w:r>
          </w:p>
        </w:tc>
      </w:tr>
      <w:tr>
        <w:trPr>
          <w:trHeight w:val="177"/>
        </w:trPr>
        <w:tc>
          <w:tcPr>
            <w:tcW w:w="1060" w:type="dxa"/>
            <w:vAlign w:val="bottom"/>
            <w:gridSpan w:val="4"/>
          </w:tcPr>
          <w:p>
            <w:pPr>
              <w:ind w:left="20"/>
              <w:spacing w:after="0" w:line="177" w:lineRule="exact"/>
              <w:rPr>
                <w:rFonts w:ascii="Arial" w:cs="Arial" w:eastAsia="Arial" w:hAnsi="Arial"/>
                <w:sz w:val="16"/>
                <w:szCs w:val="16"/>
                <w:color w:val="0000FF"/>
              </w:rPr>
            </w:pPr>
            <w:hyperlink r:id="rId93">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of Convertible Note Hedge Confirmation (incorporated by reference herein from Exhibit 10.2 to our Current Report on Form 8-K filed</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on June 27, 2023).</w:t>
            </w:r>
          </w:p>
        </w:tc>
      </w:tr>
      <w:tr>
        <w:trPr>
          <w:trHeight w:val="176"/>
        </w:trPr>
        <w:tc>
          <w:tcPr>
            <w:tcW w:w="1060" w:type="dxa"/>
            <w:vAlign w:val="bottom"/>
            <w:gridSpan w:val="4"/>
          </w:tcPr>
          <w:p>
            <w:pPr>
              <w:ind w:left="20"/>
              <w:spacing w:after="0" w:line="176" w:lineRule="exact"/>
              <w:rPr>
                <w:rFonts w:ascii="Arial" w:cs="Arial" w:eastAsia="Arial" w:hAnsi="Arial"/>
                <w:sz w:val="16"/>
                <w:szCs w:val="16"/>
                <w:color w:val="0000FF"/>
              </w:rPr>
            </w:pPr>
            <w:hyperlink r:id="rId94">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Form of Warrant Confirmation (incorporated by reference herein from Exhibit 10.3 to our Current Report on Form 8-K filed on June 27,</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2023).</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76" w:lineRule="exact"/>
              <w:rPr>
                <w:sz w:val="20"/>
                <w:szCs w:val="20"/>
                <w:color w:val="auto"/>
              </w:rPr>
            </w:pPr>
            <w:r>
              <w:rPr>
                <w:rFonts w:ascii="Arial" w:cs="Arial" w:eastAsia="Arial" w:hAnsi="Arial"/>
                <w:sz w:val="16"/>
                <w:szCs w:val="16"/>
                <w:color w:val="0000FF"/>
                <w:w w:val="96"/>
              </w:rPr>
              <w:t>19.</w:t>
            </w:r>
            <w:r>
              <w:rPr>
                <w:rFonts w:ascii="Arial" w:cs="Arial" w:eastAsia="Arial" w:hAnsi="Arial"/>
                <w:sz w:val="16"/>
                <w:szCs w:val="16"/>
                <w:u w:val="single" w:color="auto"/>
                <w:color w:val="0000FF"/>
                <w:w w:val="96"/>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Kinect Corporation Securities Trading Policy.</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Subsidiaries of the Registrant.</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340" w:type="dxa"/>
            <w:vAlign w:val="bottom"/>
            <w:gridSpan w:val="2"/>
          </w:tcPr>
          <w:p>
            <w:pPr>
              <w:ind w:left="20"/>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Statement of Chief Executive Officer and Chief Financial Officer under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(18 U.S.C.</w:t>
            </w:r>
          </w:p>
        </w:tc>
      </w:tr>
      <w:tr>
        <w:trPr>
          <w:trHeight w:val="182"/>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2" w:lineRule="exact"/>
              <w:rPr>
                <w:sz w:val="20"/>
                <w:szCs w:val="20"/>
                <w:color w:val="auto"/>
              </w:rPr>
            </w:pPr>
            <w:r>
              <w:rPr>
                <w:rFonts w:ascii="Arial" w:cs="Arial" w:eastAsia="Arial" w:hAnsi="Arial"/>
                <w:sz w:val="16"/>
                <w:szCs w:val="16"/>
                <w:color w:val="auto"/>
              </w:rPr>
              <w:t>Section 1350).</w:t>
            </w:r>
          </w:p>
        </w:tc>
      </w:tr>
      <w:tr>
        <w:trPr>
          <w:trHeight w:val="176"/>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76" w:lineRule="exact"/>
              <w:rPr>
                <w:rFonts w:ascii="Arial" w:cs="Arial" w:eastAsia="Arial" w:hAnsi="Arial"/>
                <w:sz w:val="16"/>
                <w:szCs w:val="16"/>
                <w:color w:val="0000FF"/>
                <w:w w:val="96"/>
              </w:rPr>
            </w:pPr>
            <w:hyperlink r:id="rId95">
              <w:r>
                <w:rPr>
                  <w:rFonts w:ascii="Arial" w:cs="Arial" w:eastAsia="Arial" w:hAnsi="Arial"/>
                  <w:sz w:val="16"/>
                  <w:szCs w:val="16"/>
                  <w:color w:val="0000FF"/>
                  <w:w w:val="96"/>
                </w:rPr>
                <w:t>97.</w:t>
              </w:r>
              <w:r>
                <w:rPr>
                  <w:rFonts w:ascii="Arial" w:cs="Arial" w:eastAsia="Arial" w:hAnsi="Arial"/>
                  <w:sz w:val="16"/>
                  <w:szCs w:val="16"/>
                  <w:u w:val="single" w:color="auto"/>
                  <w:color w:val="0000FF"/>
                  <w:w w:val="96"/>
                </w:rPr>
                <w:t>1</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Arial" w:cs="Arial" w:eastAsia="Arial" w:hAnsi="Arial"/>
                <w:sz w:val="16"/>
                <w:szCs w:val="16"/>
                <w:color w:val="auto"/>
              </w:rPr>
              <w:t>World Kinect Corporation Clawback Policy (incorporated by reference herein from Exhibit 97.1 to our 2023 10-K).</w:t>
            </w:r>
          </w:p>
        </w:tc>
      </w:tr>
    </w:tbl>
    <w:p>
      <w:pPr>
        <w:spacing w:after="0" w:line="26" w:lineRule="exact"/>
        <w:rPr>
          <w:sz w:val="20"/>
          <w:szCs w:val="20"/>
          <w:color w:val="auto"/>
        </w:rPr>
      </w:pPr>
    </w:p>
    <w:p>
      <w:pPr>
        <w:jc w:val="both"/>
        <w:ind w:left="1180" w:right="20" w:hanging="1154"/>
        <w:spacing w:after="0" w:line="228"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World Kinect Corporation’s Annual Report on Form 10-K for the year ended December 31, 2025,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file (formatted in Inline XBRL and contained in Exhibit 101).</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World Kinect Corporation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World Kinect Corporation and its subsidiaries (the "Company") as of December 31, 2025 and 2024, and the related consolidated statements of income and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Universal Weather and Aviation’s Trip Support Services division from its assessment of internal control over financial reporting as of December 31, 2025 because it was acquired by the Company in a purchase business combination during 2025. We have also excluded Universal Weather and Aviation’s Trip Support Services division from our audit of internal control over financial reporting. Universal Weather and Aviation’s Trip Support Services division is a wholly-owned subsidiary whose total assets and total revenues excluded from management’s assessment and our audit of internal control over financial reporting each represent less than 1% of the related consolidated financial statement amounts as of and for the year ended December 31,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and Annual Goodwill Impairment Assessments – Aviation and Land Reporting Units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Notes 1 and 7 to the consolidated financial statements, the Company’s consolidated goodwill balance was $ 737.5 million as of December 31, 2025, and the goodwill associated with the Aviation and Land reporting units was $435.8 million and $301.7 million, respectively. Management evaluates goodwill for impairment at the reporting unit level annually as of December 31, or more frequently if events or circumstances indicate that the carrying value may be impaired. To perform the quantitative impairment test, management compares the fair value of each reporting unit to its respective carrying amount, including goodwill. In calculating fair value, management uses a combination of both an income and market approach. As disclosed by management, under the income approach, management calculates the fair value of each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market-based multiple. During the second quarter of 2025, following the exit from the U.K. land fuels business, and as a result of unanticipated persistence of macroeconomic pressures and underperformance against financial expectations in the Land reporting unit, management determined these circumstances indicated that it was more likely than not that the fair value of goodwill may be less than its carrying value, which required management to perform a quantitative impairment test. As a result of the quantitative impairment test performed, management concluded that the carrying value of the Land reporting unit exceeded its estimated fair value. As part of the annual goodwill impairment evaluation as of December 31, 2025, management concluded that the carrying value of the Land reporting unit exceeded its estimated fair value. Accordingly, total goodwill impairment charges of $528.3 million were recognized in the Land reporting unit for the year ended December 31, 2025. Management concluded that the carrying value of the Aviation reporting unit did not exceed its fair value.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interim and annual goodwill impairment assessments of the Aviation and Land reporting units is a critical audit matter are (i) the significant judgment by management when developing the fair value estimates of the Aviation and Land reporting units; (ii) a high degree of auditor judgment, subjectivity, and effort in performing procedures and evaluating management’s significant assumptions related to expected growth rates, profitability, and the discount rates; and (iii) the audit effort involved the use of professionals with specialized skill and knowledge.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Aviation and Land reporting units. These procedures also included, among others (i) testing management’s process for developing the fair value estimates of the Aviation and Land reporting units; (ii) evaluating the appropriateness of the income and market approaches used by management; (iii) testing the completeness and accuracy of underlying data used in the income and market approaches; and (iv) evaluating the reasonableness of the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Aviation and Land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income and market approaches and (ii) the reasonableness of the discount rates.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2025</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184"/>
        </w:trPr>
        <w:tc>
          <w:tcPr>
            <w:tcW w:w="6700" w:type="dxa"/>
            <w:vAlign w:val="bottom"/>
          </w:tcPr>
          <w:p>
            <w:pPr>
              <w:ind w:left="140"/>
              <w:spacing w:after="0" w:line="183" w:lineRule="exact"/>
              <w:rPr>
                <w:sz w:val="20"/>
                <w:szCs w:val="20"/>
                <w:color w:val="auto"/>
              </w:rPr>
            </w:pPr>
            <w:r>
              <w:rPr>
                <w:rFonts w:ascii="Arial" w:cs="Arial" w:eastAsia="Arial" w:hAnsi="Arial"/>
                <w:sz w:val="18"/>
                <w:szCs w:val="18"/>
                <w:color w:val="auto"/>
              </w:rPr>
              <w:t>Accounts receivable, net of allowance for credit losses of $15.6 million and $22.5</w:t>
            </w: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2,208.5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35"/>
        </w:trPr>
        <w:tc>
          <w:tcPr>
            <w:tcW w:w="6700" w:type="dxa"/>
            <w:vAlign w:val="bottom"/>
          </w:tcPr>
          <w:p>
            <w:pPr>
              <w:ind w:left="140"/>
              <w:spacing w:after="0"/>
              <w:rPr>
                <w:sz w:val="20"/>
                <w:szCs w:val="20"/>
                <w:color w:val="auto"/>
              </w:rPr>
            </w:pPr>
            <w:r>
              <w:rPr>
                <w:rFonts w:ascii="Arial" w:cs="Arial" w:eastAsia="Arial" w:hAnsi="Arial"/>
                <w:sz w:val="18"/>
                <w:szCs w:val="18"/>
                <w:color w:val="auto"/>
              </w:rPr>
              <w:t>million as of December 31, 2025 and 2024, respectively</w:t>
            </w: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2,586.9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685.2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$0.01 par value; 100.0 shares authorized, 54.1 and 56.7 issued</w:t>
            </w: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December 31, 2025 and 2024, respectively</w:t>
            </w: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World Kinect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36,916.6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47,710.6</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46,652.4</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exit costs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75"/>
        </w:trPr>
        <w:tc>
          <w:tcPr>
            <w:tcW w:w="6960" w:type="dxa"/>
            <w:vAlign w:val="bottom"/>
          </w:tcPr>
          <w:p>
            <w:pPr>
              <w:ind w:left="140"/>
              <w:spacing w:after="0" w:line="176" w:lineRule="exact"/>
              <w:rPr>
                <w:sz w:val="20"/>
                <w:szCs w:val="20"/>
                <w:color w:val="auto"/>
              </w:rPr>
            </w:pPr>
            <w:r>
              <w:rPr>
                <w:rFonts w:ascii="Arial" w:cs="Arial" w:eastAsia="Arial" w:hAnsi="Arial"/>
                <w:sz w:val="18"/>
                <w:szCs w:val="18"/>
                <w:color w:val="auto"/>
              </w:rPr>
              <w:t>Cash flow hedges, net of income tax expense (benefit) of ($0.3), ($3.5), and ($2.7)</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 2025, 2024, and 2023, respectively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ind w:right="4880"/>
        <w:spacing w:after="0" w:line="222" w:lineRule="auto"/>
        <w:rPr>
          <w:sz w:val="20"/>
          <w:szCs w:val="20"/>
          <w:color w:val="auto"/>
        </w:rPr>
      </w:pPr>
      <w:r>
        <w:rPr>
          <w:rFonts w:ascii="Arial" w:cs="Arial" w:eastAsia="Arial" w:hAnsi="Arial"/>
          <w:sz w:val="22"/>
          <w:szCs w:val="22"/>
          <w:b w:val="1"/>
          <w:bCs w:val="1"/>
          <w:color w:val="auto"/>
        </w:rPr>
        <w:t xml:space="preserve">CONSOLIDATED STATEMENTS OF SHAREHOLDERS’ EQUITY </w:t>
      </w:r>
      <w:r>
        <w:rPr>
          <w:rFonts w:ascii="Arial" w:cs="Arial" w:eastAsia="Arial" w:hAnsi="Arial"/>
          <w:sz w:val="17"/>
          <w:szCs w:val="17"/>
          <w:color w:val="auto"/>
        </w:rPr>
        <w:t>(In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World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Kinect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80"/>
              <w:spacing w:after="0" w:line="122"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620" w:type="dxa"/>
            <w:vAlign w:val="bottom"/>
            <w:vMerge w:val="restart"/>
          </w:tcPr>
          <w:p>
            <w:pPr>
              <w:jc w:val="right"/>
              <w:ind w:right="148"/>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Equity</w:t>
            </w:r>
          </w:p>
        </w:tc>
        <w:tc>
          <w:tcPr>
            <w:tcW w:w="1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 hedge transactions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Warrant transactions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0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199"/>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(611.7)</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5"/>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interest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184"/>
        </w:trPr>
        <w:tc>
          <w:tcPr>
            <w:tcW w:w="6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5"/>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business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award compensation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currency (gains) losses,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Goodwill and other asset impairment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collateral with counterparties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derivative assets and liabilities,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Proceeds from sale of business, net of divested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(6,224.4)</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Convertible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Dividends paid on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Purchase of convertible note hedges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warrants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Payments of deferred consideration for acquisitions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reclassified as assets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as of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KINECT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("2025 10</w:t>
      </w:r>
      <w:r>
        <w:rPr>
          <w:rFonts w:ascii="MS PGothic" w:cs="MS PGothic" w:eastAsia="MS PGothic" w:hAnsi="MS PGothic"/>
          <w:sz w:val="18"/>
          <w:szCs w:val="18"/>
          <w:color w:val="auto"/>
        </w:rPr>
        <w:t>‑</w:t>
      </w:r>
      <w:r>
        <w:rPr>
          <w:rFonts w:ascii="Arial" w:cs="Arial" w:eastAsia="Arial" w:hAnsi="Arial"/>
          <w:sz w:val="18"/>
          <w:szCs w:val="18"/>
          <w:color w:val="auto"/>
        </w:rPr>
        <w:t>K Report") as "World Kinect," "we," "our" and "us." We are a global energy management company offering fulfillment and related services to customers across the aviation, marine, and land transportation sectors. We also supply natural gas along with a complementary suite of sustainability-related products and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and related Notes include our parent company and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consolidated subsidiaries have been eliminated.</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ASU 2023-09, Income Taxes (Topic 740): Improvements to Income Tax Disclosures, was issued in December 2023.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amends the guidance in ASC 740, Income Taxes, to improve the transparency of income tax disclosures by revising the required rate reconciliation disclosures and requiring disclosure of income taxes paid disaggregated by jurisdiction. As amended, the rate reconciliation disclosure must be presented in both percentages and reporting currency amounts, with consistent categories and greater disaggregation of information. The ASU also includes changes intended to improve the effectiveness of income tax disclosures and eliminate certain existing disclosure requirements related to uncertain tax positions and unrecognized deferred tax liabilities. ASU 2023-09 is effective for fiscal years beginning after December 15, 2024, and should be applied prospectively. The Company adopted ASU 2023-09 in the fourth quarter of 2025 and has included the relevant disclosures in Note 14.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Expense Disaggregation. </w:t>
      </w:r>
      <w:r>
        <w:rPr>
          <w:rFonts w:ascii="Arial" w:cs="Arial" w:eastAsia="Arial" w:hAnsi="Arial"/>
          <w:sz w:val="18"/>
          <w:szCs w:val="18"/>
          <w:color w:val="auto"/>
        </w:rPr>
        <w:t>ASU 2024-03, Income Statement - Reporting Comprehensive Income - Expense Disaggregation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(Subtopic 220-40): Disaggregation of Income Statement Expenses, was issued in November 2024. ASU 2024-03 does not change the expense captions an entity presents on the face of the income statement; however, it requires disaggregation of certain expense captions into specified categories in disclosures within the footnotes to the financial statements for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 separately disaggregated quantitatively, and the total amount of selling expenses as well as,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 retrospectively to any or all prior periods presented in the financial statements. The Company is currently evaluating the amendments to identify potential impacts to the Company's Notes to the Consolidated Financial Statements and processes.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Internal-Use Software</w:t>
      </w:r>
      <w:r>
        <w:rPr>
          <w:rFonts w:ascii="Arial" w:cs="Arial" w:eastAsia="Arial" w:hAnsi="Arial"/>
          <w:sz w:val="18"/>
          <w:szCs w:val="18"/>
          <w:color w:val="auto"/>
        </w:rPr>
        <w:t>. ASU 2025-06, Intangibles - Goodwill and Other - Internal-Use Software (Subtopic 350-40): Targeted Improvements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Internal-Use Software, was issued in September 2025. ASU 2025-06 modernizes the accounting for internal-use software costs by eliminating the prescriptive "project stage" model and introducing a principles-based framework that is intended to better reflect current software development practices and consolidate guidance on website development costs into the broader framework for internal-use software. The amendments are effective for annual reporting periods beginning after December 15, 2027, and interim reporting periods within those annual reporting periods. Early adoption is permitted. The Company is currently evaluating the amendments to identify potential impacts to the Company’s Consolidated Financial Statements and processes.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other recently issued accounting standards not yet adopted by us that, upon adoption, are expected to have a material impact on the Company's Consolidated Financial Statements or processes.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collectability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Individual receivables are written off when there is information indicating that the counterparty is in severe financial difficulty and the amounts are deemed uncollectible. An accounts receivable written off may still be subject to enforcement activities under our recovery procedures, taking into account legal advice where appropriate. Any subsequent recoveries made are recognized as income in the Consolidated Statements of Income and Comprehensive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3.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The cost of inventory includes fuel purchase costs, any related transportation or distribution costs and changes in the estimated fair market values for inventories included in a fair value hedge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 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purchase price is 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in which goodwill is not recognized, but rather any residual difference with the consideration transferred is allocated on a relative fair value basis to all qualifying identifiable net assets acquired.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fair value using various methodologies, depending on the type of assets, including the income approach (e.g., based on the present value of estimated future cash flows), the market approach, the cost approach, or a combination thereof. 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5.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derivative contracts, except for those designated as normal purchase normal sale, are recognized at their estimated fair market value. The fair value of our derivatives is derived using observable and certain unobservable inputs, such as basis differentials, which are based on the difference between the historical prices of our prior transactions and underlying observable data; and incorporates the effect of nonperformance risk.</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 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of derivatives that do not contain an other-than-insignificant financing element and are designated in cash flow or fair value hedges are classified in the same category as the cash flow from the hedged items in our Consolidated Statements of Cash Flows. If for any reason hedge accounting is discontinued, then any cash flows subsequent to the date of discontinuance will be classified in a manner consistent with the nature of the instrument. Cash flows related to all other non-hedging derivatives are classified in accordance with the nature of the derivative instrument and how it is used in the context of the entity’s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4. Derivative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 assessed for impairment whenever events or changes in circumstances indicate that the carrying amount of an asset may not be recoverable. When such assets are expected to be sold, we first evaluate whether they meet the criteria to be classified as held for sale. Long-lived assets classified as held for sale are measured at the lower of their carrying amount or fair value less cost to sell, and an impairment charge is recognized for any excess of carrying amount over fair value less cost to sell.</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6.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Goodwill is evaluated for impairment at the reporting unit level annually as of December 31, or more frequently if events or circumstances indicate that the carrying value of goodwill may be impaired.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the option to perform a qualitative assessment of goodwill rather than completing the quantitative impairment test. Under this qualitative assessment, if we conclude it is not more likely than not that the fair value of the reporting unit is less than its carrying amount, no further analysis is needed.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perform the quantitative impairment test, we compare the fair value of each reporting unit to its respective carrying amount, including goodwill. In calculating the fair value, we use a combination of both an income and market approach. Under the market approach, we use a selection of global companies that correspond to each reporting unit to derive a market-based multiple. Under the income approach, we calculate the fair value of each reporting unit based on the present value of estimated future cash flows. The estimated future cash flows are based on the best information available as of the testing date, including our annual operating plan and current forecasts, terminal growth rates, working capital requirements and capital expenditures. The estimated cash flows are discounted using rates that correspond to a weighted-average cost of capital consistent with those used internally for investment decisions. All our estimates are considered supportable assumptions that are based on a number of factors including industry experience, internal benchmarks and the economic environment. We believe these assumptions are reasonable and are consistent with those we believe a market participant would use.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7.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acquisitions, we recognize identifiable intangible assets at fair value. After the initial recognition of the asset, the accounting treatment depends on the period over which the asset is expected to contribute directly or indirectly to the future cash flows of the company. Identifiable intangible assets with finite useful lives are amortized over their estimated useful lives and are assessed for impairment at the asset group level whenever events or changes in circumstances indicate that the carrying amount of an asset may not be recoverable. Intangible assets with indefinite useful life are not subject to amortization but are tested for impairment at least annually during the fourth quarter. This analysis generally involves the use of qualitative and quantitative information to conclude whether the fair value is greater than or equal to the carrying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7.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hold investments accounted for under the equity method as we have the ability to exercise significant influence over the operating and financial policies of the investee, but do not have control.</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accounted for under the equity method are assessed for impairment whenever events or changes in circumstances indicate that the carrying amount of an investment may not be recoverable.</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of investments are classified as Goodwill and asset impairments within the Consolidated Statements of Income and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support services, are recognized over the contract period when services have been performed and we have the right to invoice for those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long term contracts with customers, we may provide upfront payments that are not in exchange for a distinct good or service to be provided to us. The consideration paid to the customer is accounted for as a reduction of the transaction price, and therefore revenue, at the date the related goods are transferred to the customer. Consideration received from our vendors that is not in exchange for a distinct good or service and is not a reimbursement of costs is accounted for as a reduction of the purchase price of the goods or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Shipping and handling related fees incurred before control of the goods or services are transferred to the customer, are considered activities to fulfill the promise and not a separately promised service. When we coordinate shipping and handling activities after our customer obtains control of goods or services, we have elected to account for these shipping and handling costs as activities to fulfill the promise to transfer the goods.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to apply the optional exemption from estimating and disclosing the variable consideration from our remaining performance obligations when the transaction price is only estimated for disclosures purpose, including contracts in which the right to consideration corresponds directly with the value to the customer of the entity's performance to date. Also, we have elected to apply the exemption for contracts with fixed consideration and original expected duration of less than one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 For additional information, see Note 11.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the functional currency of our subsidiaries is the U.S. dollar, except for certain foreign subsidiaries which utilize their respective local currency as their functional currency. Monetary assets and liabilities denominated in a currency that is different from the functional currency are remeasured from the applicable currency to the functional currency using month-end exchange rates. Foreign currency transaction gains and losses are included in Other income (expense), net, in the accompanying Consolidated Statements of Income and Comprehensive Income in the period incurred.</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translation gain and loss adjustments are recorded in Accumulated Other Comprehensive Income as a separate component of Shareholders’ Equity.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14.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common share is computed by dividing net income attributable to World Kinect and available to common shareholders by the weighted average number of shares of common stock outstanding for the period. Diluted earnings per common share is computed by dividing net income attributable to World Kinect and available to common shareholders by the sum of the weighted average number of shares of common stock outstanding for the period and the number of additional shares of common stock that would have been outstanding if our outstanding potentially dilutive securities had been issued.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Potentially dilutive securities include share-based compensation awards, such as restricted stock subject to forfeitable dividends, non-vested restricted stock units ("RSUs"), performance stock units where the performance requirements have been met, and settled stock appreciation rights awards ("SSARs"), as well as the Convertible Notes discussed in Note 9. Debt, Interest Income, Expense, and Other Finance Costs. The dilutive effect of potentially dilutive share-based compensation awards is reflected in diluted earnings per common share by application of the treasury stock method, unless its impact is anti-dilutive. Under the treasury stock method, an increase in the fair market value of our common stock can result in a greater dilutive effect from potentially dilutive securities. The dilutive effect of the Convertible Notes is determined by application of the if-converted method. The if-converted method assumes that these securities were converted at the beginning of the reporting period to the extent that the effect is dilutive. The Convertible Notes would have a dilutive impact when the average market price of the Company's common stock for a given period exceeds the respective conversion price of the Convertible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17. Earnings per Common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determine if an arrangement is a lease at contract inception. Determining whether a contract contains a lease includes judgment regarding whether the contract conveys the right to control the use of identified property or equipment for a period of time in exchange for consideration.</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lessee, we account for our lease-related assets and liabilities based on their classification as operating leases or finance leases, following the relevant accounting guidance.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assess right-of-use assets for impairment at the asset group level whenever events or changes in circumstances indicate that the carrying amount of an asset may not be recoverable. Impairments are classified as Goodwill and other asset impairments within the Consolidated Statements of Income and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12.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is accrued. However, if no amount within the range is a better estimate, the minimum amount in the range should be accrued.</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14. Income Taxes and Note 10. Commitments and Contingencies.</w:t>
      </w:r>
    </w:p>
    <w:p>
      <w:pPr>
        <w:spacing w:after="0" w:line="225" w:lineRule="exact"/>
        <w:rPr>
          <w:sz w:val="20"/>
          <w:szCs w:val="20"/>
          <w:color w:val="auto"/>
        </w:rPr>
      </w:pPr>
    </w:p>
    <w:p>
      <w:pPr>
        <w:ind w:right="8240" w:firstLine="8"/>
        <w:spacing w:after="0" w:line="500" w:lineRule="auto"/>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Assets and Liabilities Held for Sale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Fuel Transportation and Lubricants Disposal Group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that are no longer profitable or not aligned with the Company's core business and corporate strategy. These exit plans include certain assets and liabilities within the land segment (the "Land Fuel Transportation and Lubricants disposal group") that are expected to be sold within the following year. The disposal group does not meet the criteria to be reported as a discontinued operation, however the assets and liabilities within the disposal group met the criteria to be classified as held for sale as of December 31, 2025.</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Land Fuel Transportation and Lubricants disposal group assets were assessed for impairment under the held for sale impairment model during the fourth quarter of 2025. As a result, impairment charges totaling $85.1 million were recognized to reduce the carrying amount of the disposal group to its estimated fair value less costs to sell. The total impairment charge included approximately $35.3 million of goodwill that was allocated to the Land Fuel Transportation and Lubricants disposal group, as well as $49.7 million related to the long-lived assets included within the disposal group. The remaining carrying value of disposal group assets and liabilities have been reclassified to Other current assets and Accrued expenses and other current liabilities, respectively, within our Consolidated Balance Sheet.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2026, we executed definitive agreements to sell the majority of the Land Fuel Transportation and Lubricants disposal group for total cash proceeds of approximately $80.0 million, subject to inventory and other adjustments. Closing of the transaction is subject to customary closing conditions and is expected to be completed during the second quarter of 2026. We do not expect to recognize a material gain or loss on sale upon closing of the transaction, as the carrying value of the disposal group as of December 31, 2025 reflects its estimated fair value less costs to sell.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Falmouth Disposal Group</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during the fourth quarter of 2025, the Company decided to significantly reduce trading activity at the Falmouth terminal and actively pursue a sale of the terminal and related assets. The Falmouth disposal group has historically been reported within the marine segment. The Falmouth disposal group does not meet the criteria to be reported as a discontinued operation, however the assets and liabilities within the disposal group met the criteria to be classified as held for sale as of December 31, 2025.</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Falmouth disposal group assets were assessed for impairment under the held for sale impairment model during the fourth quarter of 2025. As a result, an impairment charge of $3.3 million was recognized to reduce the carrying amount of the Falmouth terminal land within the disposal group to its estimated fair value less costs to sell. The remaining carrying value of disposal group assets and liabilities have been reclassified to Other current assets and Accrued expenses and other current liabilities, respectively, within our Consolidated Balance Sheet.</w:t>
      </w:r>
    </w:p>
    <w:p>
      <w:pPr>
        <w:spacing w:after="0" w:line="17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following table summarizes the carrying value of the Land Fuel Transportation and Lubricants and Falmouth disposal group assets and liabilities classified as held for sale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Total assets held for sale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9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Long-term portion of finance lease obligations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Total liabilities held for sale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9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Acquisitions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3, 2025, we entered into a definitive agreement with Universal Weather and Aviation to acquire their Trip Support Services division ("Universal TSS"). The acquisition closed on November 5, 2025 for total estimated consideration of $207.0 million, subject to customary adjustments relating to net working capital. At closing, $154.4 million was paid in cash and $60.0 million remains payable over the next four years. The acquisition was accounted for as a business combination and is reported in the aviation segment.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in the process of obtaining information to identify and measure all assets acquired and liabilities assumed. The following preliminary purchase price allocation was estimated based on the information obtained to date and is expected to be completed in 2026. The following table summarizes the estimated fair value of the aggregate consideration, and the preliminary allocation of the purchase price to the fair value of the assets acquired and liabilities assumed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 due to sellers </w:t>
            </w:r>
            <w:r>
              <w:rPr>
                <w:rFonts w:ascii="Arial" w:cs="Arial" w:eastAsia="Arial" w:hAnsi="Arial"/>
                <w:sz w:val="23"/>
                <w:szCs w:val="23"/>
                <w:color w:val="auto"/>
                <w:vertAlign w:val="superscript"/>
              </w:rPr>
              <w:t>(1)</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color w:val="auto"/>
              </w:rPr>
              <w:t>Total fair value of consideration</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9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(4)</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expected payments of $15.0 million per year over each of the next four years, discounted to present value at the date of acquisition.</w:t>
      </w:r>
    </w:p>
    <w:p>
      <w:pPr>
        <w:spacing w:after="0" w:line="9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relationships and other identifiable assets which will be amortized over a weighted average life of 18.4 years.</w:t>
      </w:r>
    </w:p>
    <w:p>
      <w:pPr>
        <w:spacing w:after="0" w:line="7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not subject to amortization include trademarks and trade names acquired.</w:t>
      </w:r>
    </w:p>
    <w:p>
      <w:pPr>
        <w:spacing w:after="0" w:line="8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the recognition of right of use assets of $1.3 million and lease liabilities of $1.3 million.</w:t>
      </w:r>
    </w:p>
    <w:p>
      <w:pPr>
        <w:spacing w:after="0" w:line="9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aviation segment. All of the goodwill assigned to the aviation segment was deductible for tax purposes.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and loss before income taxes of Universal TSS included in the Company's Consolidated Statements of Income and Comprehensive Income for the period from the date of acquisition through December 31, 2025 were $27.8 million and $0.5 million, respectively.</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presents unaudited pro forma combined financial information of the Company for the years ended December 31, 2025 and 2024 as if the acquisition of Universal TSS had been completed on January 1, 2024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(unaudited)</w:t>
            </w:r>
          </w:p>
        </w:tc>
        <w:tc>
          <w:tcPr>
            <w:tcW w:w="2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vMerge w:val="continue"/>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42,416.0</w:t>
            </w: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(605.7)</w:t>
            </w:r>
          </w:p>
        </w:tc>
        <w:tc>
          <w:tcPr>
            <w:tcW w:w="14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860"/>
        </w:trPr>
        <w:tc>
          <w:tcPr>
            <w:tcW w:w="4580" w:type="dxa"/>
            <w:vAlign w:val="bottom"/>
          </w:tcPr>
          <w:p>
            <w:pPr>
              <w:spacing w:after="0"/>
              <w:rPr>
                <w:sz w:val="24"/>
                <w:szCs w:val="24"/>
                <w:color w:val="auto"/>
              </w:rPr>
            </w:pPr>
          </w:p>
        </w:tc>
        <w:tc>
          <w:tcPr>
            <w:tcW w:w="2120" w:type="dxa"/>
            <w:vAlign w:val="bottom"/>
          </w:tcPr>
          <w:p>
            <w:pPr>
              <w:jc w:val="right"/>
              <w:ind w:right="919"/>
              <w:spacing w:after="0"/>
              <w:rPr>
                <w:sz w:val="20"/>
                <w:szCs w:val="20"/>
                <w:color w:val="auto"/>
              </w:rPr>
            </w:pPr>
            <w:r>
              <w:rPr>
                <w:rFonts w:ascii="Arial" w:cs="Arial" w:eastAsia="Arial" w:hAnsi="Arial"/>
                <w:sz w:val="14"/>
                <w:szCs w:val="14"/>
                <w:color w:val="auto"/>
              </w:rPr>
              <w:t>61</w:t>
            </w: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pro forma combined financial information was based on the historical financial information of Universal TSS and includes (i) incremental amortization expense to be incurred based on the fair values of the identifiable intangible assets acquired; (ii) additional interest expense associated with the incremental borrowings under our Credit Facility to finance the acquisition and the accretion of the discount on the present value of future payments; (iii) nonrecurring transaction costs recognized in connection with the transaction; and (iv) the tax effect of the pro forma adjustments as well as the recognition of income tax expense associated with Universal TSS' historical statements, calculated using statutory tax rates, as Universal TSS was comprised of limited liability companies not subject to federal and state income taxes prior to the acquisition. The unaudited pro forma combined financial information does not necessarily reflect what the combined company's financial condition 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Divestitures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9, 2025, we signed and closed on the sale of WFL (UK) Ltd., which represents our U.K. land fuels business (the "Watson Fuels asset group"), for total proceeds of $42.8 million, of which $23.6 million was collected in cash at closing (the "Watson Fuels sale"). As discussed in Note 5. Fair Value Measurements, during the first quarter of 2025, we recognized an asset impairment charge of $44.5 million with respect to the Watson Fuels asset group assets. The Watson Fuels sale resulted in a pre-tax loss of $81.7 million, net of costs to sell and after the reclassification of cumulative translation losses of $55.1 million, that is included in Other income (expense), net within our Consolidated Statements of Income and Comprehensive Income. The related tax benefit of $6.3 million is included in Income tax expense (benefit) within our Consolidated Statements of Income and Comprehensive Income. Prior to the Watson Fuels sale, the Watson Fuels asset group was reported within our land segment. The Watson Fuels sale did not meet the criteria to be reported as a discontinued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Divestitures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2024, we completed the sale of our Avinode Group and our portfolio of aviation fixed-based operator software products (the "Avinode disposal group") for cash proceeds, net of cash sold, of $200.1 million (the "Avinode sale"). The Avinode sale resulted in a pre-tax gain of $ 96.0 million, net of costs to sell and after the reclassification of cumulative translation losses of $17.1 million to net income, that is included in Other income (expense), net within our Consolidated Statements of Income and Comprehensive Income. The related tax expense of $ 12.4 million is included in Income tax expense (benefit) within our Consolidated Statements of Income and Comprehensive Income. Prior to the Avinode sale, the Avinode disposal group was reported within our aviation segment. The Avinode sale did not meet the criteria to be reported as a discontinued operation.</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13, 2024, we completed the sale of our land and marine subsidiaries in Brazil (the "Brazil disposal group") for cash proceeds, net of cash sold, of $8.9 million (the "Brazil sale"). The Brazil sale resulted in a pre-tax loss of $111.2 million, net of costs to sell and after the reclassification of cumulative translation losses of $80.0 million to net income, that is included in Other income (expense), net within our Consolidated Statements of Income and Comprehensive Income. The related tax benefit of $6.0 million is included in Income tax expense (benefit) within our Consolidated Statements of Income and Comprehensive Income. Prior to the Brazil sale, the Brazil disposal group was reported within the land and marine segments. The Brazil sale did not meet the criteria to be reported as a discontinued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 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accounts receivable, net, of $2.2 billion and $2.4 billion and an allowance for expected credit losses, primarily related to accounts receivable, of $16.6 million and $23.7 million, as of December 31, 2025 and 2024, respectively. Changes to the expected credit loss provision during the year ended December 31, 2025 resulted from the Company's assessment of reasonable and supportable forward-looking information, including global economic outlook considerations; in addition to the impact of exiting certain activities as described in Note 16. Restructuring and Exit Activities. Based on an aging analysis as of December 31, 2025, 94% of our accounts receivable were outstanding less than 60 days.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2023, we amended one of our RPAs to, among other things, reduce the overall fee structure. During 2025, we amended one of our RPAs to extend the term of the agreement and reduce the overall fee structure.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sold under the RPAs are accounted for as sales and excluded from Accounts receivable, net of allowance for credit losses on the accompanying Consolidated Balance Sheets. Fees paid under the RPAs are recorded within Interest expense and other financing costs, net on the Consolidated Statements of Income and Comprehensive Income.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2025, 2024, and 2023, respectively, we sold receivables under the RPAs with an aggregate face value of $11.5 billion, $11.9 billion, and $9.5 billion and recognized fees of $31.8 million, $38.5 million, and $37.6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3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20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234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56"/>
        </w:trPr>
        <w:tc>
          <w:tcPr>
            <w:tcW w:w="7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(434.8)</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r>
    </w:tbl>
    <w:p>
      <w:pPr>
        <w:spacing w:after="0" w:line="29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majority of our foreign currency exchange contracts and the volume related to our commodities contracts are expected to settle within the next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Gross Derivative Assets</w:t>
            </w:r>
          </w:p>
        </w:tc>
        <w:tc>
          <w:tcPr>
            <w:tcW w:w="200" w:type="dxa"/>
            <w:vAlign w:val="bottom"/>
          </w:tcPr>
          <w:p>
            <w:pPr>
              <w:spacing w:after="0"/>
              <w:rPr>
                <w:sz w:val="17"/>
                <w:szCs w:val="17"/>
                <w:color w:val="auto"/>
              </w:rPr>
            </w:pPr>
          </w:p>
        </w:tc>
        <w:tc>
          <w:tcPr>
            <w:tcW w:w="220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2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7"/>
                <w:szCs w:val="17"/>
                <w:color w:val="auto"/>
              </w:rPr>
            </w:pPr>
          </w:p>
        </w:tc>
        <w:tc>
          <w:tcPr>
            <w:tcW w:w="22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As of December 31,</w:t>
            </w:r>
          </w:p>
        </w:tc>
      </w:tr>
      <w:tr>
        <w:trPr>
          <w:trHeight w:val="197"/>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0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Consolidated Balance Sheets location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197"/>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6"/>
        </w:trPr>
        <w:tc>
          <w:tcPr>
            <w:tcW w:w="21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100" w:type="dxa"/>
            <w:vAlign w:val="bottom"/>
          </w:tcPr>
          <w:p>
            <w:pPr>
              <w:spacing w:after="0"/>
              <w:rPr>
                <w:sz w:val="17"/>
                <w:szCs w:val="17"/>
                <w:color w:val="auto"/>
              </w:rPr>
            </w:pP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60"/>
        </w:trPr>
        <w:tc>
          <w:tcPr>
            <w:tcW w:w="2100" w:type="dxa"/>
            <w:vAlign w:val="bottom"/>
            <w:shd w:val="clear" w:color="auto" w:fill="CCEEFF"/>
          </w:tcPr>
          <w:p>
            <w:pPr>
              <w:spacing w:after="0"/>
              <w:rPr>
                <w:sz w:val="22"/>
                <w:szCs w:val="22"/>
                <w:color w:val="auto"/>
              </w:rPr>
            </w:pPr>
          </w:p>
        </w:tc>
        <w:tc>
          <w:tcPr>
            <w:tcW w:w="4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Interest rate contract</w:t>
            </w: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2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251"/>
        </w:trPr>
        <w:tc>
          <w:tcPr>
            <w:tcW w:w="2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3"/>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65.7</w:t>
            </w:r>
          </w:p>
        </w:tc>
      </w:tr>
      <w:tr>
        <w:trPr>
          <w:trHeight w:val="207"/>
        </w:trPr>
        <w:tc>
          <w:tcPr>
            <w:tcW w:w="21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98"/>
        </w:trPr>
        <w:tc>
          <w:tcPr>
            <w:tcW w:w="2100" w:type="dxa"/>
            <w:vAlign w:val="bottom"/>
          </w:tcPr>
          <w:p>
            <w:pPr>
              <w:spacing w:after="0"/>
              <w:rPr>
                <w:sz w:val="17"/>
                <w:szCs w:val="17"/>
                <w:color w:val="auto"/>
              </w:rPr>
            </w:pP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174.4</w:t>
            </w:r>
          </w:p>
        </w:tc>
      </w:tr>
      <w:tr>
        <w:trPr>
          <w:trHeight w:val="207"/>
        </w:trPr>
        <w:tc>
          <w:tcPr>
            <w:tcW w:w="21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r>
      <w:tr>
        <w:trPr>
          <w:trHeight w:val="256"/>
        </w:trPr>
        <w:tc>
          <w:tcPr>
            <w:tcW w:w="2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8"/>
        </w:trPr>
        <w:tc>
          <w:tcPr>
            <w:tcW w:w="2100" w:type="dxa"/>
            <w:vAlign w:val="bottom"/>
          </w:tcPr>
          <w:p>
            <w:pPr>
              <w:spacing w:after="0"/>
              <w:rPr>
                <w:sz w:val="17"/>
                <w:szCs w:val="17"/>
                <w:color w:val="auto"/>
              </w:rPr>
            </w:pP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7"/>
        </w:trPr>
        <w:tc>
          <w:tcPr>
            <w:tcW w:w="210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100" w:type="dxa"/>
            <w:vAlign w:val="bottom"/>
          </w:tcPr>
          <w:p>
            <w:pPr>
              <w:spacing w:after="0"/>
              <w:rPr>
                <w:sz w:val="17"/>
                <w:szCs w:val="17"/>
                <w:color w:val="auto"/>
              </w:rPr>
            </w:pPr>
          </w:p>
        </w:tc>
        <w:tc>
          <w:tcPr>
            <w:tcW w:w="4180" w:type="dxa"/>
            <w:vAlign w:val="bottom"/>
            <w:gridSpan w:val="2"/>
          </w:tcPr>
          <w:p>
            <w:pPr>
              <w:ind w:left="40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99"/>
        </w:trPr>
        <w:tc>
          <w:tcPr>
            <w:tcW w:w="62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r>
      <w:tr>
        <w:trPr>
          <w:trHeight w:val="197"/>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228.4</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w:t>
            </w:r>
          </w:p>
        </w:tc>
      </w:tr>
      <w:tr>
        <w:trPr>
          <w:trHeight w:val="20"/>
        </w:trPr>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5. Fair Value Measurements.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amounts were recorded within our Consolidated Balance Sheets related to cumulative basis adjustments for fair value hedges (in millions):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Line Item in the Consolidated Balance Sheets</w:t>
            </w:r>
          </w:p>
        </w:tc>
        <w:tc>
          <w:tcPr>
            <w:tcW w:w="3660" w:type="dxa"/>
            <w:vAlign w:val="bottom"/>
          </w:tcPr>
          <w:p>
            <w:pPr>
              <w:spacing w:after="0"/>
              <w:rPr>
                <w:sz w:val="14"/>
                <w:szCs w:val="14"/>
                <w:color w:val="auto"/>
              </w:rPr>
            </w:pPr>
          </w:p>
        </w:tc>
        <w:tc>
          <w:tcPr>
            <w:tcW w:w="3980" w:type="dxa"/>
            <w:vAlign w:val="bottom"/>
          </w:tcPr>
          <w:p>
            <w:pPr>
              <w:jc w:val="center"/>
              <w:ind w:left="20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48"/>
        </w:trPr>
        <w:tc>
          <w:tcPr>
            <w:tcW w:w="3340" w:type="dxa"/>
            <w:vAlign w:val="bottom"/>
            <w:vMerge w:val="continue"/>
          </w:tcPr>
          <w:p>
            <w:pPr>
              <w:spacing w:after="0"/>
              <w:rPr>
                <w:sz w:val="12"/>
                <w:szCs w:val="12"/>
                <w:color w:val="auto"/>
              </w:rPr>
            </w:pPr>
          </w:p>
        </w:tc>
        <w:tc>
          <w:tcPr>
            <w:tcW w:w="3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Carrying Amount of Hedged Asset/(Liabilities)</w:t>
            </w:r>
          </w:p>
        </w:tc>
        <w:tc>
          <w:tcPr>
            <w:tcW w:w="3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196"/>
        </w:trPr>
        <w:tc>
          <w:tcPr>
            <w:tcW w:w="33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 Which the Hedged Item is Included</w:t>
            </w:r>
          </w:p>
        </w:tc>
        <w:tc>
          <w:tcPr>
            <w:tcW w:w="3660" w:type="dxa"/>
            <w:vAlign w:val="bottom"/>
            <w:vMerge w:val="continue"/>
          </w:tcPr>
          <w:p>
            <w:pPr>
              <w:spacing w:after="0"/>
              <w:rPr>
                <w:sz w:val="17"/>
                <w:szCs w:val="17"/>
                <w:color w:val="auto"/>
              </w:rPr>
            </w:pPr>
          </w:p>
        </w:tc>
        <w:tc>
          <w:tcPr>
            <w:tcW w:w="3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719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jc w:val="center"/>
        <w:ind w:left="31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15875</wp:posOffset>
            </wp:positionV>
            <wp:extent cx="2391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 w:lineRule="exact"/>
        <w:rPr>
          <w:sz w:val="20"/>
          <w:szCs w:val="20"/>
          <w:color w:val="auto"/>
        </w:rPr>
      </w:pPr>
    </w:p>
    <w:p>
      <w:pPr>
        <w:ind w:left="4000"/>
        <w:spacing w:after="0"/>
        <w:tabs>
          <w:tab w:leader="none" w:pos="594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7199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15875</wp:posOffset>
            </wp:positionV>
            <wp:extent cx="25031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b w:val="1"/>
          <w:bCs w:val="1"/>
          <w:color w:val="auto"/>
        </w:rPr>
        <w:t>2024</w:t>
      </w:r>
    </w:p>
    <w:p>
      <w:pPr>
        <w:spacing w:after="0" w:line="48" w:lineRule="exact"/>
        <w:rPr>
          <w:sz w:val="20"/>
          <w:szCs w:val="20"/>
          <w:color w:val="auto"/>
        </w:rPr>
      </w:pPr>
    </w:p>
    <w:p>
      <w:pPr>
        <w:sectPr>
          <w:pgSz w:w="11900" w:h="16838" w:orient="portrait"/>
          <w:cols w:equalWidth="0" w:num="2">
            <w:col w:w="7220" w:space="720"/>
            <w:col w:w="3300"/>
          </w:cols>
          <w:pgMar w:left="320" w:top="122" w:right="339" w:bottom="1440" w:gutter="0" w:footer="0" w:header="0"/>
          <w:type w:val="continuous"/>
        </w:sectPr>
      </w:pPr>
    </w:p>
    <w:p>
      <w:pPr>
        <w:ind w:left="20"/>
        <w:spacing w:after="0"/>
        <w:tabs>
          <w:tab w:leader="none" w:pos="3300" w:val="left"/>
          <w:tab w:leader="none" w:pos="4660" w:val="left"/>
          <w:tab w:leader="none" w:pos="5240" w:val="left"/>
          <w:tab w:leader="none" w:pos="6620" w:val="left"/>
          <w:tab w:leader="none" w:pos="7200" w:val="left"/>
          <w:tab w:leader="none" w:pos="8640" w:val="left"/>
          <w:tab w:leader="none" w:pos="9200" w:val="left"/>
          <w:tab w:leader="none" w:pos="108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73.3</w:t>
        <w:tab/>
        <w:t>$</w:t>
      </w:r>
      <w:r>
        <w:rPr>
          <w:sz w:val="20"/>
          <w:szCs w:val="20"/>
          <w:color w:val="auto"/>
        </w:rPr>
        <w:tab/>
      </w:r>
      <w:r>
        <w:rPr>
          <w:rFonts w:ascii="Arial" w:cs="Arial" w:eastAsia="Arial" w:hAnsi="Arial"/>
          <w:sz w:val="18"/>
          <w:szCs w:val="18"/>
          <w:color w:val="auto"/>
        </w:rPr>
        <w:t>95.2</w:t>
        <w:tab/>
        <w:t>$</w:t>
      </w:r>
      <w:r>
        <w:rPr>
          <w:sz w:val="20"/>
          <w:szCs w:val="20"/>
          <w:color w:val="auto"/>
        </w:rPr>
        <w:tab/>
      </w:r>
      <w:r>
        <w:rPr>
          <w:rFonts w:ascii="Arial" w:cs="Arial" w:eastAsia="Arial" w:hAnsi="Arial"/>
          <w:sz w:val="18"/>
          <w:szCs w:val="18"/>
          <w:color w:val="auto"/>
        </w:rPr>
        <w:t>(1.0)</w:t>
        <w:tab/>
        <w:t>$</w:t>
      </w:r>
      <w:r>
        <w:rPr>
          <w:sz w:val="20"/>
          <w:szCs w:val="20"/>
          <w:color w:val="auto"/>
        </w:rPr>
        <w:tab/>
      </w:r>
      <w:r>
        <w:rPr>
          <w:rFonts w:ascii="Arial" w:cs="Arial" w:eastAsia="Arial" w:hAnsi="Arial"/>
          <w:sz w:val="17"/>
          <w:szCs w:val="17"/>
          <w:color w:val="auto"/>
        </w:rPr>
        <w:t>3.8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Consolidated Statements of Income and Comprehensive Income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expense and</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Cost of</w:t>
            </w:r>
          </w:p>
        </w:tc>
        <w:tc>
          <w:tcPr>
            <w:tcW w:w="120" w:type="dxa"/>
            <w:vAlign w:val="bottom"/>
          </w:tcPr>
          <w:p>
            <w:pPr>
              <w:spacing w:after="0"/>
              <w:rPr>
                <w:sz w:val="12"/>
                <w:szCs w:val="12"/>
                <w:color w:val="auto"/>
              </w:rPr>
            </w:pPr>
          </w:p>
        </w:tc>
        <w:tc>
          <w:tcPr>
            <w:tcW w:w="8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costs, net</w:t>
            </w:r>
          </w:p>
        </w:tc>
        <w:tc>
          <w:tcPr>
            <w:tcW w:w="0" w:type="dxa"/>
            <w:vAlign w:val="bottom"/>
          </w:tcPr>
          <w:p>
            <w:pPr>
              <w:spacing w:after="0"/>
              <w:rPr>
                <w:sz w:val="1"/>
                <w:szCs w:val="1"/>
                <w:color w:val="auto"/>
              </w:rPr>
            </w:pPr>
          </w:p>
        </w:tc>
      </w:tr>
      <w:tr>
        <w:trPr>
          <w:trHeight w:val="133"/>
        </w:trPr>
        <w:tc>
          <w:tcPr>
            <w:tcW w:w="20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amounts of income and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expense line items in which the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effects of fair value or cash flow</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36,916.6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35,968.8</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42,168.0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41,141.6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47,710.6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46,652.4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hedged are recorded</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fair value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360"/>
              <w:spacing w:after="0"/>
              <w:rPr>
                <w:sz w:val="20"/>
                <w:szCs w:val="20"/>
                <w:color w:val="auto"/>
              </w:rPr>
            </w:pPr>
            <w:r>
              <w:rPr>
                <w:rFonts w:ascii="Arial" w:cs="Arial" w:eastAsia="Arial" w:hAnsi="Arial"/>
                <w:sz w:val="14"/>
                <w:szCs w:val="14"/>
                <w:color w:val="auto"/>
              </w:rPr>
              <w:t>Hedged item</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Derivatives designated as</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hedging instruments</w:t>
            </w: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cash flow</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80" w:type="dxa"/>
            <w:vAlign w:val="bottom"/>
          </w:tcPr>
          <w:p>
            <w:pPr>
              <w:ind w:left="140"/>
              <w:spacing w:after="0"/>
              <w:rPr>
                <w:sz w:val="20"/>
                <w:szCs w:val="20"/>
                <w:color w:val="auto"/>
              </w:rPr>
            </w:pPr>
            <w:r>
              <w:rPr>
                <w:rFonts w:ascii="Arial" w:cs="Arial" w:eastAsia="Arial" w:hAnsi="Arial"/>
                <w:sz w:val="14"/>
                <w:szCs w:val="14"/>
                <w:color w:val="auto"/>
              </w:rPr>
              <w:t>hedge relationships: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 contract: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8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reclassified from</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360"/>
              <w:spacing w:after="0" w:line="139" w:lineRule="exact"/>
              <w:rPr>
                <w:sz w:val="20"/>
                <w:szCs w:val="20"/>
                <w:color w:val="auto"/>
              </w:rPr>
            </w:pPr>
            <w:r>
              <w:rPr>
                <w:rFonts w:ascii="Arial" w:cs="Arial" w:eastAsia="Arial" w:hAnsi="Arial"/>
                <w:sz w:val="14"/>
                <w:szCs w:val="14"/>
                <w:color w:val="auto"/>
              </w:rPr>
              <w:t>Accumulated 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360"/>
              <w:spacing w:after="0" w:line="149" w:lineRule="exact"/>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Arial" w:cs="Arial" w:eastAsia="Arial" w:hAnsi="Arial"/>
                <w:sz w:val="14"/>
                <w:szCs w:val="14"/>
                <w:color w:val="auto"/>
              </w:rPr>
              <w:t>(loss) into Net income</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9"/>
        </w:trPr>
        <w:tc>
          <w:tcPr>
            <w:tcW w:w="2080" w:type="dxa"/>
            <w:vAlign w:val="bottom"/>
          </w:tcPr>
          <w:p>
            <w:pPr>
              <w:ind w:left="36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 of income and</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expense line items excluding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36,929.0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35,964.4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42,171.4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41,148.9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47,710.4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46,656.7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8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impact of hedges</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Consolidated Statements of Income and Comprehensive Income (in millions):</w:t>
      </w:r>
    </w:p>
    <w:p>
      <w:pPr>
        <w:sectPr>
          <w:pgSz w:w="11900" w:h="16838" w:orient="portrait"/>
          <w:cols w:equalWidth="0" w:num="1">
            <w:col w:w="11240"/>
          </w:cols>
          <w:pgMar w:left="320" w:top="122" w:right="339" w:bottom="1440" w:gutter="0" w:footer="0" w:header="0"/>
        </w:sectPr>
      </w:pPr>
    </w:p>
    <w:p>
      <w:pPr>
        <w:spacing w:after="0" w:line="144" w:lineRule="exact"/>
        <w:rPr>
          <w:sz w:val="20"/>
          <w:szCs w:val="20"/>
          <w:color w:val="auto"/>
        </w:rPr>
      </w:pPr>
    </w:p>
    <w:p>
      <w:pPr>
        <w:ind w:left="220" w:firstLine="207"/>
        <w:spacing w:after="0" w:line="213" w:lineRule="auto"/>
        <w:rPr>
          <w:sz w:val="20"/>
          <w:szCs w:val="20"/>
          <w:color w:val="auto"/>
        </w:rPr>
      </w:pPr>
      <w:r>
        <w:rPr>
          <w:rFonts w:ascii="Arial" w:cs="Arial" w:eastAsia="Arial" w:hAnsi="Arial"/>
          <w:sz w:val="18"/>
          <w:szCs w:val="18"/>
          <w:b w:val="1"/>
          <w:bCs w:val="1"/>
          <w:color w:val="auto"/>
        </w:rPr>
        <w:t>Gain (Loss) Not Recorded in Accumulated other comprehensive income (loss) Due to Intra-Period</w:t>
      </w:r>
    </w:p>
    <w:p>
      <w:pPr>
        <w:spacing w:after="0" w:line="2"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Settlement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9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20" w:type="dxa"/>
            <w:vAlign w:val="bottom"/>
            <w:gridSpan w:val="2"/>
            <w:vMerge w:val="continue"/>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11.1</w:t>
            </w: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-302260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540" w:space="220"/>
            <w:col w:w="6480"/>
          </w:cols>
          <w:pgMar w:left="320" w:top="122" w:right="339" w:bottom="1440" w:gutter="0" w:footer="0" w:header="0"/>
          <w:type w:val="continuous"/>
        </w:sectPr>
      </w:pPr>
    </w:p>
    <w:p>
      <w:pPr>
        <w:jc w:val="both"/>
        <w:spacing w:after="0" w:line="287" w:lineRule="auto"/>
        <w:rPr>
          <w:sz w:val="20"/>
          <w:szCs w:val="20"/>
          <w:color w:val="auto"/>
        </w:rPr>
      </w:pPr>
      <w:r>
        <w:rPr>
          <w:rFonts w:ascii="Arial" w:cs="Arial" w:eastAsia="Arial" w:hAnsi="Arial"/>
          <w:sz w:val="18"/>
          <w:szCs w:val="18"/>
          <w:color w:val="auto"/>
        </w:rPr>
        <w:t>For the years ended December 31, 2025, 2024 and 2023, there were no gains or losses recognized in earnings related to our fair value or cash flow hedges that were excluded from the assessment of hedge effectiveness.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on a pre-tax basis, $0.1 million is scheduled to be reclassified from Accumulated other comprehensive loss over the next twelve months as an increase to Cost of revenue related to designated commodity cash flow hedges that will mature within the next twelve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and in our Consolidated Statements of Income and Comprehensive Income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gridSpan w:val="2"/>
          </w:tcPr>
          <w:p>
            <w:pPr>
              <w:ind w:left="42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50"/>
        </w:trPr>
        <w:tc>
          <w:tcPr>
            <w:tcW w:w="6900" w:type="dxa"/>
            <w:vAlign w:val="bottom"/>
            <w:gridSpan w:val="2"/>
          </w:tcPr>
          <w:p>
            <w:pPr>
              <w:ind w:left="120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5"/>
              </w:rPr>
              <w:t>5.6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5"/>
              </w:rPr>
              <w:t>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610"/>
              <w:spacing w:after="0"/>
              <w:rPr>
                <w:sz w:val="20"/>
                <w:szCs w:val="20"/>
                <w:color w:val="auto"/>
              </w:rPr>
            </w:pPr>
            <w:r>
              <w:rPr>
                <w:rFonts w:ascii="Arial" w:cs="Arial" w:eastAsia="Arial" w:hAnsi="Arial"/>
                <w:sz w:val="18"/>
                <w:szCs w:val="18"/>
                <w:color w:val="auto"/>
                <w:w w:val="95"/>
              </w:rPr>
              <w:t>3.1</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 of Gain (Loss) Reclassified from Accumulated</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2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other comprehensive income (loss) into Net income (loss),</w:t>
            </w: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240" w:type="dxa"/>
            <w:vAlign w:val="bottom"/>
            <w:gridSpan w:val="2"/>
            <w:vMerge w:val="continue"/>
          </w:tcPr>
          <w:p>
            <w:pPr>
              <w:spacing w:after="0"/>
              <w:rPr>
                <w:sz w:val="5"/>
                <w:szCs w:val="5"/>
                <w:color w:val="auto"/>
              </w:rPr>
            </w:pPr>
          </w:p>
        </w:tc>
        <w:tc>
          <w:tcPr>
            <w:tcW w:w="2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89"/>
        </w:trPr>
        <w:tc>
          <w:tcPr>
            <w:tcW w:w="4240" w:type="dxa"/>
            <w:vAlign w:val="bottom"/>
            <w:gridSpan w:val="2"/>
          </w:tcPr>
          <w:p>
            <w:pPr>
              <w:ind w:left="840"/>
              <w:spacing w:after="0"/>
              <w:rPr>
                <w:sz w:val="20"/>
                <w:szCs w:val="20"/>
                <w:color w:val="auto"/>
              </w:rPr>
            </w:pPr>
            <w:r>
              <w:rPr>
                <w:rFonts w:ascii="Arial" w:cs="Arial" w:eastAsia="Arial" w:hAnsi="Arial"/>
                <w:sz w:val="14"/>
                <w:szCs w:val="14"/>
                <w:b w:val="1"/>
                <w:bCs w:val="1"/>
                <w:color w:val="auto"/>
              </w:rPr>
              <w:t>Net of Income Tax (Expense) Benefit</w:t>
            </w:r>
          </w:p>
        </w:tc>
        <w:tc>
          <w:tcPr>
            <w:tcW w:w="2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7"/>
              </w:rPr>
              <w:t>(9.1)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6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expense and other</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ind w:left="55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240" w:type="dxa"/>
            <w:vAlign w:val="bottom"/>
            <w:gridSpan w:val="2"/>
            <w:vMerge w:val="continue"/>
            <w:shd w:val="clear" w:color="auto" w:fill="CCEEFF"/>
          </w:tcPr>
          <w:p>
            <w:pPr>
              <w:spacing w:after="0"/>
              <w:rPr>
                <w:sz w:val="21"/>
                <w:szCs w:val="21"/>
                <w:color w:val="auto"/>
              </w:rPr>
            </w:pP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(9.9)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 presents the amount and financial statement location in our Consolidated Statements of Income and Comprehensive Income of realized and unrealized gains (losses) recognized on derivative instruments not designated as hedging instruments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Non-designated</w:t>
            </w:r>
          </w:p>
        </w:tc>
        <w:tc>
          <w:tcPr>
            <w:tcW w:w="3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ind w:left="1640"/>
              <w:spacing w:after="0"/>
              <w:rPr>
                <w:sz w:val="20"/>
                <w:szCs w:val="20"/>
                <w:color w:val="auto"/>
              </w:rPr>
            </w:pPr>
            <w:r>
              <w:rPr>
                <w:rFonts w:ascii="Arial" w:cs="Arial" w:eastAsia="Arial" w:hAnsi="Arial"/>
                <w:sz w:val="14"/>
                <w:szCs w:val="14"/>
                <w:color w:val="auto"/>
              </w:rPr>
              <w:t>66</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9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potential collateral requirements for derivative liabilities with credit-risk-related contingent features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as discussed in Note 9.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2025</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6"/>
        </w:trPr>
        <w:tc>
          <w:tcPr>
            <w:tcW w:w="55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4"/>
                <w:szCs w:val="14"/>
                <w:color w:val="auto"/>
              </w:rPr>
              <w:t>67</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55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40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2024</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29"/>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30"/>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2025</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333333"/>
              </w:rPr>
              <w:t>Net</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333333"/>
                <w:w w:val="99"/>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5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40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2024</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333333"/>
              </w:rPr>
              <w:t>Net</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333333"/>
                <w:w w:val="99"/>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2025 and 2024, we did not present any amounts gross on our Consolidated Balance Sheets where we had the right to offset.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December 31, 2025, none of our counterparties represented over 10% of our credit exposure to OTC derivative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5"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color w:val="auto"/>
        </w:rPr>
        <w:t>The following table summarizes our goodwill and other asset impairment charges and related nonrecurring fair value measurements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rPr>
              <w:t>Land Fuel Transportation and Lubricants disposal group impairment</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700" w:type="dxa"/>
            <w:vAlign w:val="bottom"/>
          </w:tcPr>
          <w:p>
            <w:pPr>
              <w:ind w:left="20"/>
              <w:spacing w:after="0" w:line="122" w:lineRule="exact"/>
              <w:rPr>
                <w:sz w:val="20"/>
                <w:szCs w:val="20"/>
                <w:color w:val="auto"/>
              </w:rPr>
            </w:pPr>
            <w:r>
              <w:rPr>
                <w:rFonts w:ascii="Arial" w:cs="Arial" w:eastAsia="Arial" w:hAnsi="Arial"/>
                <w:sz w:val="12"/>
                <w:szCs w:val="12"/>
                <w:color w:val="auto"/>
              </w:rPr>
              <w:t>(2)</w:t>
            </w:r>
          </w:p>
        </w:tc>
        <w:tc>
          <w:tcPr>
            <w:tcW w:w="380" w:type="dxa"/>
            <w:vAlign w:val="bottom"/>
          </w:tcPr>
          <w:p>
            <w:pPr>
              <w:spacing w:after="0"/>
              <w:rPr>
                <w:sz w:val="10"/>
                <w:szCs w:val="10"/>
                <w:color w:val="auto"/>
              </w:rPr>
            </w:pPr>
          </w:p>
        </w:tc>
        <w:tc>
          <w:tcPr>
            <w:tcW w:w="13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gridSpan w:val="2"/>
            <w:vMerge w:val="restart"/>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0"/>
                <w:szCs w:val="10"/>
                <w:color w:val="auto"/>
              </w:rPr>
            </w:pPr>
          </w:p>
        </w:tc>
        <w:tc>
          <w:tcPr>
            <w:tcW w:w="13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Watson Fuels asset group impairment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Falmouth disposal group impairment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Intangible asset impairments </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impairments associated with exit activities </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Cost method investment impairments </w:t>
            </w:r>
            <w:r>
              <w:rPr>
                <w:rFonts w:ascii="Arial" w:cs="Arial" w:eastAsia="Arial" w:hAnsi="Arial"/>
                <w:sz w:val="23"/>
                <w:szCs w:val="23"/>
                <w:color w:val="auto"/>
                <w:vertAlign w:val="superscript"/>
              </w:rPr>
              <w:t>(7)(8)</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Equity method investment impairments </w:t>
            </w:r>
            <w:r>
              <w:rPr>
                <w:rFonts w:ascii="Arial" w:cs="Arial" w:eastAsia="Arial" w:hAnsi="Arial"/>
                <w:sz w:val="23"/>
                <w:szCs w:val="23"/>
                <w:color w:val="auto"/>
                <w:vertAlign w:val="superscript"/>
              </w:rPr>
              <w:t>(9)</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Goodwill and other asset impairments 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689.6</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Note 7. Goodwill and Identifiable Intangible Assets for additional disclosures related to goodwill impairments recognized during the year ended December 31, 2025.</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Note 2. Acquisitions and Divestitures for additional disclosures related to asset impairment charges related to the Land Fuel Transportation and Lubricants disposal group.</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40" w:hanging="332"/>
        <w:spacing w:after="0" w:line="242"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first quarter of 2025, we identified an impairment indicator with respect to the Watson Fuels asset group within our land segment. We determined that the carrying amount was not recoverable and recognized an asset impairment charge of $44.5 million during the three months ended March 31, 2025. The fair value of the asset group was determined based on a market approach using the estimated sale proceeds for the Watson Fuels sale. The measurement is categorized as Level 2 within the fair value hierarchy. As discussed in Note 2. Acquisitions and Divestitures, we completed the Watson Fuels sale on April 9, 2025.</w:t>
      </w:r>
    </w:p>
    <w:p>
      <w:pPr>
        <w:spacing w:after="0" w:line="86"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second quarter of 2025, we identified impairment indicators with respect to the Falmouth asset group within our marine segment. We determined that the carrying amount of the Falmouth asset group was not recoverable and recognized an asset impairment charge of $31.6 million. The fair value of the asset group, excluding the related land, was determined to be nominal based on an income approach using a discounted cash flow methodology. As a result the full carrying amount of the long-lived assets, excluding the related land, was impaired. The fair value measurement is categorized as Level 3 within the fair value hierarchy. As discussed in 2. Acquisitions and Divestitures, during the fourth quarter of 2025, management further assessed the Falmouth asset group as a disposal group under the held for sale impairment model and recognized an additional impairment charge of $3.3 million.</w:t>
      </w:r>
    </w:p>
    <w:p>
      <w:pPr>
        <w:spacing w:after="0" w:line="82"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second quarter of 2025, we identified impairment indicators with respect to certain trade names and trademarks as a result of steps taken to consolidate branding within our land segment. We determined that the carrying value of the assets was not recoverable and recognized an asset impairment charge of $8.0 million, which represents a full impairment of the related intangible assets. The fair value measurement is categorized as Level 3 within the fair value hierarchy. During the fourth quarter of 2025, we recognized an asset impairment charge of $13.0 million related to certain trade names and trademarks as a result of a significant reduction in the projected cash flows for certain lines of business within our land segment. We determined that the carrying value of the assets was not recoverable and recognized a partial impairment of the related intangible assets to reduce the carrying value of the trade names and trademarks to their estimated fair value of $16.3 million.</w:t>
      </w:r>
    </w:p>
    <w:p>
      <w:pPr>
        <w:spacing w:after="0" w:line="86"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16. Restructuring and Exit Activities for additional disclosures related asset impairment charges recognized in connection with restructuring and exit activities.</w:t>
      </w:r>
    </w:p>
    <w:p>
      <w:pPr>
        <w:spacing w:after="0" w:line="86"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2025, we identified an impairment indicator with respect to one of our investees, accounted for as a cost method investment, which has experienced sustained deterioration in its financial condition and operating outlook, resulting in continued pressure on expected future cash flows and constrained access to external capital on terms sufficient to support the carrying value of our investment. As a result, the fair value of the investment was determined to be nominal and the investment was fully impaired. Due to the significance of unobservable inputs, the measurement is categorized as Level 3.</w:t>
      </w:r>
    </w:p>
    <w:p>
      <w:pPr>
        <w:spacing w:after="0" w:line="86"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2023, we identified an impairment indicator with respect to one of our investees, accounted for as a cost method investment, which we were notified is not able to raise capital and therefore intends to restructure its operations. As a result, the fair value of the investment was determined to be nominal and the investment was fully impaired. Due to the significance of unobservable inputs, the measurement is categorized as Level 3.</w:t>
      </w:r>
    </w:p>
    <w:p>
      <w:pPr>
        <w:spacing w:after="0" w:line="86" w:lineRule="exact"/>
        <w:rPr>
          <w:rFonts w:ascii="Arial" w:cs="Arial" w:eastAsia="Arial" w:hAnsi="Arial"/>
          <w:sz w:val="23"/>
          <w:szCs w:val="23"/>
          <w:color w:val="auto"/>
          <w:vertAlign w:val="superscript"/>
        </w:rPr>
      </w:pPr>
    </w:p>
    <w:p>
      <w:pPr>
        <w:jc w:val="both"/>
        <w:ind w:left="340" w:hanging="332"/>
        <w:spacing w:after="0" w:line="246"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2023, we identified an other-than-temporary impairment indicator with respect to an equity method investment in a non-core business within corporate and other due to the inability of the investee to sustain an earning capacity at its pre-pandemic levels. At that time, the investment was written down to its fair value of $19.1 million (15.0 million GBP) as of December 31, 2023, resulting in the recognition of an impairment loss of $14.1 million during the three months ended December 31, 2023. During the fourth quarter of 2024, we identified an impairment indicator with respect to the same investment, as the investee continues to incur operating losses and has been unable to achieve expected results. The fair value of the investment was determined to be nominal and as a result the full carrying amount of the investment was impaired. The fair value of the investment was measured in each period using a combination of an income approach based on estimated future cash flows available to us as of the measurement dates and a market approach using a selection of global companies comparable with the operations of the investee to derive market-based multiples. Due to the significance of unobservable inputs, the measurements are categorized as Level 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2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24"/>
        </w:trPr>
        <w:tc>
          <w:tcPr>
            <w:tcW w:w="8880" w:type="dxa"/>
            <w:vAlign w:val="bottom"/>
            <w:gridSpan w:val="5"/>
          </w:tcPr>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0"/>
        </w:trPr>
        <w:tc>
          <w:tcPr>
            <w:tcW w:w="60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r>
      <w:tr>
        <w:trPr>
          <w:trHeight w:val="223"/>
        </w:trPr>
        <w:tc>
          <w:tcPr>
            <w:tcW w:w="6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1 - 40 years</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3 - 9 years</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293.9</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301.4</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3 - 9 years</w:t>
            </w: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Machinery, equipment and vehicles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3 - 40 years</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989.1</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right of use assets associated with finance leases. See Note 12. Leases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2025, 2024 and 2023, we recorded depreciation and amortization expense of $63.6 million, $72.3 million and $68.3 million,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Acquisitions and Divestitures and Note 5. Fair Value Measurements for additional information about asset impairment charges.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included in property and equipment are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2025, 2024 and 2023, we recorded amortization expense related to computer software costs of $20.6 million, $23.2 million and $25.4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Identifiable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Aviation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Land</w:t>
            </w:r>
          </w:p>
        </w:tc>
        <w:tc>
          <w:tcPr>
            <w:tcW w:w="360" w:type="dxa"/>
            <w:vAlign w:val="bottom"/>
          </w:tcPr>
          <w:p>
            <w:pPr>
              <w:spacing w:after="0"/>
              <w:rPr>
                <w:sz w:val="18"/>
                <w:szCs w:val="18"/>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Segment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3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2023</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2024 acquisitions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for sale of business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84"/>
        </w:trPr>
        <w:tc>
          <w:tcPr>
            <w:tcW w:w="5980" w:type="dxa"/>
            <w:vAlign w:val="bottom"/>
          </w:tcPr>
          <w:p>
            <w:pPr>
              <w:ind w:left="20"/>
              <w:spacing w:after="0" w:line="183"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2024</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2025 acquisitions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D9D9D9"/>
            </w:tcBorders>
            <w:shd w:val="clear" w:color="auto" w:fill="BFE4FF"/>
          </w:tcPr>
          <w:p>
            <w:pPr>
              <w:spacing w:after="0"/>
              <w:rPr>
                <w:sz w:val="19"/>
                <w:szCs w:val="19"/>
                <w:color w:val="auto"/>
              </w:rPr>
            </w:pPr>
          </w:p>
        </w:tc>
        <w:tc>
          <w:tcPr>
            <w:tcW w:w="1360" w:type="dxa"/>
            <w:vAlign w:val="bottom"/>
            <w:tcBorders>
              <w:bottom w:val="single" w:sz="8" w:color="D9D9D9"/>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Adjustment for sale of business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4"/>
        </w:trPr>
        <w:tc>
          <w:tcPr>
            <w:tcW w:w="5980" w:type="dxa"/>
            <w:vAlign w:val="bottom"/>
          </w:tcPr>
          <w:p>
            <w:pPr>
              <w:ind w:left="20"/>
              <w:spacing w:after="0" w:line="183"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71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2024 we completed an acquisition that did not have a material impact on our Consolidated Financial Statements.</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2. Acquisitions and Divestitures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evaluate goodwill for impairment at the reporting unit level annually as of December 31, or more frequently if events or circumstances indicate that the carrying value may be impaired. During the second quarter of 2025, following our exit from the U.K. land fuels business, as part of the evolution of our strategy we completed our reassessment of the remaining business lines within the land reporting unit. Through this process, we updated key assumptions regarding certain lines of business and made related downward revisions to our long-term forecasts versus prior projections, reflecting both our efforts to optimize the land portfolio to focus on core activities with the highest return potential and the unanticipated persistence of macroeconomic pressures and underperformance against financial expectations. We determined that these circumstances indicated that it was more likely than not that the fair value of goodwill may be less than its carrying value, which required us to perform a quantitative impairment test as of June 30, 2025. As a result of the quantitative impairment test performed, we concluded that the carrying value of the land reporting unit exceeded its estimated fair value. Accordingly, we recognized a goodwill impairment charge of $359.0 million during the three months ended June 30, 2025.</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2025, we identified further impacts to the fair value of the land reporting unit. As we engaged in our annual budgeting and internal forecasting for 2026, we further evaluated our expectations for the land reporting unit taking into consideration (i) the impact of the fourth quarter exit activities on the land reporting unit, including a further-developed understanding of the potential purchasers and pricing for the operations being exited as well as the implied valuation of the land reporting unit post-divestitures and business exits and</w:t>
      </w:r>
    </w:p>
    <w:p>
      <w:pPr>
        <w:spacing w:after="0" w:line="2" w:lineRule="exact"/>
        <w:rPr>
          <w:sz w:val="20"/>
          <w:szCs w:val="20"/>
          <w:color w:val="auto"/>
        </w:rPr>
      </w:pPr>
    </w:p>
    <w:p>
      <w:pPr>
        <w:jc w:val="both"/>
        <w:ind w:firstLine="8"/>
        <w:spacing w:after="0" w:line="253" w:lineRule="auto"/>
        <w:tabs>
          <w:tab w:leader="none" w:pos="2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weaker-than-expected performance driven by continued challenging market conditions for the land reporting unit in the third and fourth quarters of 2025 that impacted volumes and margin growth rates and our corresponding views with respect to long-term growth. Consequently, we identified a greater risk to our previous forecasts and estimates and the related impact on the fair value of the reporting unit and concluded that the carrying value of the land reporting unit exceeded its estimated fair value. Accordingly, we recognized a goodwill impairment charge of $169.3 million during the three months ended December 31, 2025, inclusive of the impairment of $35.3 million of goodwill allocated to the Land Fuel Transportation and Lubricants disposal group as discussed in Note 2. Acquisitions and Divestitures.</w:t>
      </w:r>
    </w:p>
    <w:p>
      <w:pPr>
        <w:spacing w:after="0" w:line="7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part of our annual goodwill impairment evaluation, we concluded that the carrying value of the aviation reporting unit did not exceed its estimated fair value. The total goodwill impairment charges of $528.3 million for the year ended December 31, 2025 are presented in the Goodwill and other asset impairments line in the Consolidated Statements of Income and Comprehensive Income and represent a partial impairment of goodwill in our land reporting unit.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determination of fair value requires us to make significant estimates and assumptions related to the business and financial performance of each reporting unit. If our actual results differ significantly from the assumptions used to determine the fair value of each reporting unit, including our continued efforts to optimize the land portfolio, such impact could potentially result in additional goodwill impairment charges in future periods.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December 31, 2025</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2024</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6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5"/>
              </w:rPr>
              <w:t xml:space="preserve">Amortization </w:t>
            </w:r>
            <w:r>
              <w:rPr>
                <w:rFonts w:ascii="Arial" w:cs="Arial" w:eastAsia="Arial" w:hAnsi="Arial"/>
                <w:sz w:val="23"/>
                <w:szCs w:val="23"/>
                <w:b w:val="1"/>
                <w:bCs w:val="1"/>
                <w:color w:val="auto"/>
                <w:w w:val="95"/>
                <w:vertAlign w:val="superscript"/>
              </w:rPr>
              <w:t>(1)</w:t>
            </w:r>
          </w:p>
        </w:tc>
        <w:tc>
          <w:tcPr>
            <w:tcW w:w="2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8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7"/>
              </w:rPr>
              <w:t xml:space="preserve">Amortization </w:t>
            </w:r>
            <w:r>
              <w:rPr>
                <w:rFonts w:ascii="Arial" w:cs="Arial" w:eastAsia="Arial" w:hAnsi="Arial"/>
                <w:sz w:val="23"/>
                <w:szCs w:val="23"/>
                <w:b w:val="1"/>
                <w:bCs w:val="1"/>
                <w:color w:val="auto"/>
                <w:w w:val="97"/>
                <w:vertAlign w:val="superscript"/>
              </w:rPr>
              <w:t>(1)</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Intangible assets subject to</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344.9</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339.8</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55"/>
        </w:trPr>
        <w:tc>
          <w:tcPr>
            <w:tcW w:w="3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 subject to</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not subject to</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 / trade name rights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foreign exchange.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2025, 2024 and 2023 was $34.6 million, $34.1 million and $36.2 million, respectively. See 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 and Note 5. Fair Value Measurements for additional information about asset impairment charges.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2029</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Supplier Finance Programs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our outstanding obligations confirmed under our supplier finance programs, included in Accounts payable within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is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6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as of January 1,</w:t>
            </w: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Obligations confirmed during the period</w:t>
            </w: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1,213.1</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period</w:t>
            </w:r>
          </w:p>
        </w:tc>
        <w:tc>
          <w:tcPr>
            <w:tcW w:w="26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Confirmed obligations outstanding as of December 31,</w:t>
            </w:r>
          </w:p>
        </w:tc>
        <w:tc>
          <w:tcPr>
            <w:tcW w:w="26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0" w:type="dxa"/>
            <w:vAlign w:val="bottom"/>
            <w:vMerge w:val="restart"/>
          </w:tcPr>
          <w:p>
            <w:pPr>
              <w:jc w:val="right"/>
              <w:ind w:right="1788"/>
              <w:spacing w:after="0"/>
              <w:rPr>
                <w:sz w:val="20"/>
                <w:szCs w:val="20"/>
                <w:color w:val="auto"/>
              </w:rPr>
            </w:pPr>
            <w:r>
              <w:rPr>
                <w:rFonts w:ascii="Arial" w:cs="Arial" w:eastAsia="Arial" w:hAnsi="Arial"/>
                <w:sz w:val="14"/>
                <w:szCs w:val="14"/>
                <w:color w:val="auto"/>
              </w:rPr>
              <w:t>73</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3"/>
        </w:trPr>
        <w:tc>
          <w:tcPr>
            <w:tcW w:w="49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960" w:type="dxa"/>
            <w:vAlign w:val="bottom"/>
            <w:tcBorders>
              <w:bottom w:val="single" w:sz="8" w:color="9A9A9A"/>
            </w:tcBorders>
          </w:tcPr>
          <w:p>
            <w:pPr>
              <w:spacing w:after="0"/>
              <w:rPr>
                <w:sz w:val="17"/>
                <w:szCs w:val="17"/>
                <w:color w:val="auto"/>
              </w:rPr>
            </w:pPr>
          </w:p>
        </w:tc>
        <w:tc>
          <w:tcPr>
            <w:tcW w:w="26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80" w:type="dxa"/>
            <w:vAlign w:val="bottom"/>
          </w:tcPr>
          <w:p>
            <w:pPr>
              <w:spacing w:after="0"/>
              <w:rPr>
                <w:sz w:val="20"/>
                <w:szCs w:val="20"/>
                <w:color w:val="auto"/>
              </w:rPr>
            </w:pPr>
            <w:r>
              <w:rPr>
                <w:rFonts w:ascii="Arial" w:cs="Arial" w:eastAsia="Arial" w:hAnsi="Arial"/>
                <w:sz w:val="18"/>
                <w:szCs w:val="18"/>
                <w:b w:val="1"/>
                <w:bCs w:val="1"/>
                <w:color w:val="auto"/>
              </w:rPr>
              <w:t>9. Debt, Interest Income, Expense, and Other Finance Costs</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01"/>
        </w:trPr>
        <w:tc>
          <w:tcPr>
            <w:tcW w:w="77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9"/>
        </w:trPr>
        <w:tc>
          <w:tcPr>
            <w:tcW w:w="7780" w:type="dxa"/>
            <w:vAlign w:val="bottom"/>
          </w:tcPr>
          <w:p>
            <w:pPr>
              <w:spacing w:after="0"/>
              <w:rPr>
                <w:sz w:val="20"/>
                <w:szCs w:val="20"/>
                <w:color w:val="auto"/>
              </w:rPr>
            </w:pPr>
            <w:r>
              <w:rPr>
                <w:rFonts w:ascii="Arial" w:cs="Arial" w:eastAsia="Arial" w:hAnsi="Arial"/>
                <w:sz w:val="18"/>
                <w:szCs w:val="18"/>
                <w:color w:val="auto"/>
              </w:rPr>
              <w:t>Our outstanding debt consists of the following (in millions):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4"/>
        </w:trPr>
        <w:tc>
          <w:tcPr>
            <w:tcW w:w="77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346.5</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455.3</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29"/>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2025 and 2024 the net carrying amount of the Convertible Notes includes the aggregate principal amount of $350.0 million, net of unamortized debt issuance costs of $6.6 million and $9.1 million, respectively. The fair value of the Convertible Notes was estimated to be approximately $378.3 million and $395.7 million as of December 31, 2025 and 2024, respectively, using the Level 2 observable input of quoted market prices in an inactive market.</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See Note 12. Leases for additional information.</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secured borrowings for the transfer of tax receivables of $50.3 million (EUR 48.5 million) as of December 31, 2024, which were repaid during the year ended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Maturities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aggregate annual maturities of debt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6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2029</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Convertible Debt</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26, 2023, we issued $ 350.0 million aggregate principal amount of 3.250% Convertible Senior Notes due 2028 (the "Convertible Notes"). The Convertible Notes mature on July 1, 2028, unless earlier converted, redeemed or repurchased. We may not redeem the Convertible Notes prior to July 6, 2026. Thereafter and until the 61st scheduled trading day immediately preceding the maturity date, we may redeem for cash,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related Notice of Redemption. Prior to March 1, 2028, the Convertible Notes will be convertible at the option of the holders only under the following circumstances: (1) during any calendar quarter commencing after the calendar quarter ending on September 30, 2023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for each trading day of that period, the Trading Price (as defined in the Indenture), as determined following a request by a holder of Convertible Notes in accordance with the procedures described in the Indenture, per $1,000 principal amount of Convertible Notes for such trading day was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less than 98% of the product of the last reported sale price of our common stock and the conversion rate on each such trading day; (3) if we call such Convertible Notes for redemption, at any time prior to the close of business on the scheduled trading day immediately preceding the redemption date, but only with respect to the Convertible Notes called (or deemed called) for redemption; or (4) upon the occurrence of specified corporate events described in the Indenture. Thereafter and until the second scheduled trading day immediately preceding the maturity date of the Convertible Notes, holders may convert regardless of the foregoing conditions.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is subject to adjustment upon the occurrence of certain events, including quarterly cash dividends in excess of $0.14 per share, subject to an elective deferral provision that generally permits us to defer adjustments until they cumulatively result in an aggregate change of at least 1% to the conversion rate. Our Board of Directors has declared quarterly dividends in excess of $0.14 per share since the first quarter of 2024, and we had previously elected to defer the adjustments otherwise required by the payment of these dividends. Effective December 15, 2025, our conversion rate was adjusted to 35.6103 shares of common stock per $1,000 principal amount of Convertible Notes, which is equivalent to a conversion price of approximately $28.08 per share. We expect to continue to defer future conversion rate adjustments to the extent permitted by the terms governing the Convertible Notes. The conversion rate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pricing of the Convertible Notes during the year ended December 31, 2023, we entered into convertible note hedge transactions and warrant transactions. The cost of the convertible note hedge transactions was approximately $70.5 million. The convertible note hedge transactions cover, subject to customary anti-dilution adjustments, the number of shares of common stock that initially underlie the Convertible Notes, and have an initial strike price equal to the initial conversion price of the Convertible Notes. As a result of the payment of dividends on our common stock in excess of $0.14 per share, the strike price of the convertible note hedges was adjusted to approximately $28.08 per share as of December 31, 2025. Separately, during the year ended December 31, 2023, we received $40.0 million of proceeds from the sale of warrants to acquire, subject to anti-dilution adjustments, the same amount of shares at an initial strike price of $40.14 per share. As a result of the payment of dividends on our common stock in excess of $ 0.14 per share, the strike price of the warrants was adjusted to approximately $39.64 per share as of December 31, 2025. The net cost of $ 30.5 million was recorded as a reduction to additional paid-in capital in the Consolidated Statements of Shareholders’ Equity during the year ended December 31,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Agreement matures in November 2030 and provides for a revolving credit facility and term loan borrowings. On November 10, 2025, we entered into Amendment No. 11 to the Fourth Amended and Restated Credit Agreement (as amended, the "Credit Agreement"), to amend certain terms and conditions of our credit facility, including to: (i) extend the maturity from April 1, 2027 to November 10, 2030 and provide the Company with a one-time, one-year maturity date extension option, subject to certain conditions; (ii) increase the revolving credit facility provided under the Credit Agreement from $1.50 billion to $1.65 billion (the "Credit Facility"); (iii) replace the existing term loan with a new term loan in the original principal amount of $350.0 million (the "Term Loan"), thereby maintaining the total borrowing capacity under the credit facility at $2.0 billion; (iv) modify the pricing of the loans and related fees, including reducing the number of applicable pricing levels, such that: (a) amounts outstanding bear interest at varying rates, plus a margin ranging from 1.500% - 2.125% for Term SOFR loans and alternative currency loans, and between 0.500% and 1.125% for base rate loans; and (b) lowering the pricing on commitment fees to a range of 0.225% - 0.300%, in each case depending on a defined consolidated total leverage ratio; and (v) modify certain financial and other covenants to provide greater operating flexibility.</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Credit Facility, up to $1.65 billion aggregate principal amount may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$350.0 million, or more under certain conditions.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and 2024, we had issued letters of credit under the Credit Facility totaling $93.8 million and $17.9 million, respectively. As of December 31, 2025 and 2024, the unused portion of our Credit Facility was $1.6 billion and $1.5 billion, respectively. The unused portion of our Credit Facility is limited by, among other things,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consolidated total leverage ratio, which limits the total amount of indebtedness we may incur, and may, therefore, fluctuate from period to period.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our Credit Facility and Term Loan related to base rate loans or Term SOFR loans and alternative currency loans bear floating interest rates plus applicable margins. As of December 31, 2025, the applicable margins for base rate loans and Term SOFR loans and alternative currency loans were 0.875% and 1.875%, respectively.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Credit Agreement contains certain financial and other covenants with which we are required to comply. As of December 31, 2025, we were in compliance with all financial covenants contained in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Lines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2025 and 2024, our outstanding letters of credit and bank guarantees under these credit lines totaled $396.4 million and $360.1 million, respectively.</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weighted average interest rate on our short-term debt, excluding secured borrowings, was 5.6% and 6.7% as of December 31, 2025 and 2024,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years ended December 31, 2025, 2024, and 2023, we recognized interest expense of $13.8 million, $13.6 million, and $7.2 million associated with our Convertible Notes, which consisted of $11.4 million, $11.2 million, and $ 6.0 million, respectively, related to the 3.250% coupon rate and $2.5 million, $2.4 million, and $1.2 million, respectively, from the amortization of debt issuance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paid for interest, net of capitalized interest, was $105.8 million, $113.6 million, and $130.4 million during the years ended December 31, 2025, 2024, and 2023,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$65.5 million and $65.8 million as of December 31, 2025 and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2025, the notional value associated with fixed sales and purchase commitments under our derivative programs amounted to $761.6 million and $246.4 million, respectively, with delivery dates from 2026 through 2033. Additionally, we have a fixed purchase contract that extends through 2026, under which we have agreed to purchase annually approximately 2.0 million barrels of aviation fuel at future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make a matching contribution of 50% for each 1% of the participants' contributions up to a maximum of 6% of the participants' contributions, subject to applicable IRS limits. Annual Company contributions are made at our sole discretion, as approved by the Compensation Committee of the Board of Directors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$18.5 million and $17.9 million as of December 31, 2025 and 2024, respectively, which was principally included in Other long-term liabilities within our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As of December 31, 2025 and 2024, accrued liabilities for remediation reserves were not material. It is not presently possible to estimate the ultimate amount of all remediation costs that might be incurred or the penalties that may be imposed.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$23.8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tax matters described in the preceding paragraph, we believe that the final outcome of any pending examinations, agreements, administrative or judicial proceedings relating to tax matters will not have a material effect on our results of operations or cash flows. See Note 14. Income Taxes for information regarding tax returns under examination both in the U.S. and foreign jurisdictions, including the examinations currently in progress in Denmark and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which were primarily included in Cost of revenue in the accompanying Consolidated Statements of Income and Comprehensive Income. In December 2023, the subsidiary received a request for information from Energiavirasto, the Finnish energy regulatory authority ("EA") indicating that EA had initiated an investigation in relation to the events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surrounding the erroneous bid submission. On December 11, 2025, EA issued its decision in which it found the subsidiary had breached the prohibition on market manipulation in wholesale energy markets under E.U. law. In its decision, EA stated it will recommend that the Finnish Market Court impose a penalty fee in separate proceedings. Those proceedings have not yet commenced, and the Finnish Market Court will ultimately determine whether any penalty should be assessed and, if so, the amount. We intend to vigorously defend ourselves in any proceeding before the Finnish Market Court.</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matters in which losses are probable and can be reasonably estimated. As of December 31, 2025, our reserves for such claims were not material. For those matters where a reserve has not been established and for which we believe a loss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 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years ended December 31, 2025, 2024 and 2023, the Company's Board of Directors declared aggregate cash dividends of $0.77, $0.68, and 0.56 per common share, representing $42.4 million, $39.8 million, and $33.8 million in total dividends, respectively. Cash dividends declared, but not yet paid, were $10.7 million, $9.7 million and $8.4 million as of December 31, 2025, 2024 and 2023, respectively.</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payments associated with the above referenced cash dividends were in compliance with restrictions regarding the maximum amount of cash dividends allowed to be paid under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2023, we used a portion of the proceeds from the issuance of Convertible Notes to repurchase approximately 2.2 million shares of common stock from purchasers of the Convertible Notes for an aggregate purchase price of approximately $ 50.0 million. See Note 9. Debt, Interest Income, Expense, and Other Finance Costs for additional information regarding the issuance of Convertible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Repurchase Programs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2020, our Board of Directors approved a stock repurchase program authorizing $200.0 million in common stock repurchases. In September 2024 and December 2025, our Board of Directors approved stock repurchase programs authorizing additional common stock repurchases of $200.0 million and $150.0 million, respectively. These repurchase authorizations do not require a minimum number of shares of common stock to be purchased, have no expiration date, and repurchases may be initiated, suspended or discontinued at any time. As of December 31, 2025, approximately $302.0 million remained available under our repurchase authorizations. The timing and amount of our repurchases will depend on market conditions, share price, securities law and other legal requirements and factors.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2025, 2024, and 2023, we repurchased 3.3 million, 3.6 million, and 0.5 million shares of common stock under our repurchase authorizations for an aggregate value of $85.0 million, $100.0 million, and $10.1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Summary and Description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2025, our shareholders approved the 2025 Omnibus Plan (the "2025 Plan"), which is administered by the Compensation Committee. The purpose of the 2025 Plan is to (i) attract and retain persons eligible to participate in the 2025 Plan; (ii) motivate participants, by means of appropriate incentives, to achieve short- or long-range goals; (iii) provide incentive compensation opportunities that are competitive with those of other similar companies; and (iv) further align participants’ interests with those of our other shareholders through compensation that is based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The persons eligible to receive awards under the 2025 Plan generally include any of our employees, officers, or board members, or any consultant or other person who performs services for us.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2025 Plan authorizes the grant of equity-based compensation, including in the form of stock options, stock appreciation rights, stock unit awards, performance-based compensation awards, restricted stock awards, restricted stock units, dividend equivalents and other share-based awards, plus cash incentive awards. The 2025 Plan will remain in effect for as long as any awards granted under it remain outstanding. No awards may be granted under the 2025 Plan after June 5, 2035. The term and vesting period of awards granted under the 2025 Plan are established on a per grant basis, but options and stock appreciation rights may not remain exercisable after the seven-year anniversary of the date of grant.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adjustment for changes in capitalization, the maximum total number of shares of stock that may be delivered to participants and their beneficiaries under the 2025 Plan is the sum of (i) 1.85 million shares of common stock; (ii) any shares of stock that remained available for future awards under the 2021 Plan on the effective date of the 2025 Plan; and (iii) any shares of stock with respect to awards that were granted under the 2025 Plan or the prior plans (2021, 2020, 2016, and 2006) but are forfeited or canceled (e.g., due to the recipient's failure to satisfy applicable service or performance conditions) after the effective date of the 2025 Plan. As of December 31, 2025, approximately 1.9 million shares of common stock were subject to outstanding awards under the 2025, 2021, and 2006 Plans (assuming maximum achievement of performance goals for restricted stock and target achievement of performance goals for RSUs, where applicable).</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outstanding awards issued pursuant to the plans described above as of December 31, 2025 and the remaining shares of common stock available for future issuance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Shares of</w:t>
            </w:r>
          </w:p>
        </w:tc>
        <w:tc>
          <w:tcPr>
            <w:tcW w:w="0" w:type="dxa"/>
            <w:vAlign w:val="bottom"/>
          </w:tcPr>
          <w:p>
            <w:pPr>
              <w:spacing w:after="0"/>
              <w:rPr>
                <w:sz w:val="1"/>
                <w:szCs w:val="1"/>
                <w:color w:val="auto"/>
              </w:rPr>
            </w:pPr>
          </w:p>
        </w:tc>
      </w:tr>
      <w:tr>
        <w:trPr>
          <w:trHeight w:val="184"/>
        </w:trPr>
        <w:tc>
          <w:tcPr>
            <w:tcW w:w="6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81"/>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name</w:t>
            </w:r>
          </w:p>
        </w:tc>
        <w:tc>
          <w:tcPr>
            <w:tcW w:w="232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RSUs</w:t>
            </w:r>
          </w:p>
        </w:tc>
        <w:tc>
          <w:tcPr>
            <w:tcW w:w="21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Available for Future</w:t>
            </w: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19"/>
                <w:szCs w:val="19"/>
                <w:color w:val="auto"/>
              </w:rPr>
            </w:pPr>
          </w:p>
        </w:tc>
        <w:tc>
          <w:tcPr>
            <w:tcW w:w="2320" w:type="dxa"/>
            <w:vAlign w:val="bottom"/>
            <w:gridSpan w:val="2"/>
            <w:vMerge w:val="continue"/>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2025 Plan </w:t>
            </w:r>
            <w:r>
              <w:rPr>
                <w:rFonts w:ascii="Arial" w:cs="Arial" w:eastAsia="Arial" w:hAnsi="Arial"/>
                <w:sz w:val="23"/>
                <w:szCs w:val="23"/>
                <w:color w:val="auto"/>
                <w:vertAlign w:val="superscript"/>
              </w:rPr>
              <w:t>(1)</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2021 Plan </w:t>
            </w:r>
            <w:r>
              <w:rPr>
                <w:rFonts w:ascii="Arial" w:cs="Arial" w:eastAsia="Arial" w:hAnsi="Arial"/>
                <w:sz w:val="23"/>
                <w:szCs w:val="23"/>
                <w:color w:val="auto"/>
                <w:vertAlign w:val="superscript"/>
              </w:rPr>
              <w:t>(2)</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As of December 31, 2025, unvested RSUs will vest between June 2026 and December 2028.</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As of December 31, 2025, unvested RSUs will vest between March 2026 and May 2029.</w:t>
      </w:r>
    </w:p>
    <w:p>
      <w:pPr>
        <w:spacing w:after="0" w:line="69" w:lineRule="exact"/>
        <w:rPr>
          <w:rFonts w:ascii="Arial" w:cs="Arial" w:eastAsia="Arial" w:hAnsi="Arial"/>
          <w:sz w:val="23"/>
          <w:szCs w:val="23"/>
          <w:color w:val="auto"/>
          <w:vertAlign w:val="superscript"/>
        </w:rPr>
      </w:pPr>
    </w:p>
    <w:p>
      <w:pPr>
        <w:ind w:left="340" w:right="20" w:hanging="332"/>
        <w:spacing w:after="0" w:line="235" w:lineRule="exact"/>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27"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RSUs may contain one or more service, performance, or market-based vesting conditions. 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9"/>
              </w:rPr>
              <w:t>Weighted Average Grant</w:t>
            </w:r>
          </w:p>
        </w:tc>
        <w:tc>
          <w:tcPr>
            <w:tcW w:w="140" w:type="dxa"/>
            <w:vAlign w:val="bottom"/>
          </w:tcPr>
          <w:p>
            <w:pPr>
              <w:spacing w:after="0"/>
              <w:rPr>
                <w:sz w:val="17"/>
                <w:szCs w:val="17"/>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8"/>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Date Fair Value Price</w:t>
            </w:r>
          </w:p>
        </w:tc>
        <w:tc>
          <w:tcPr>
            <w:tcW w:w="14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Intrinsic Value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15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2023</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25.46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2024</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2025</w:t>
            </w:r>
          </w:p>
        </w:tc>
        <w:tc>
          <w:tcPr>
            <w:tcW w:w="15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20" w:hanging="332"/>
        <w:spacing w:after="0" w:line="231" w:lineRule="auto"/>
        <w:tabs>
          <w:tab w:leader="none" w:pos="37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RSUs vested during the years ended December 31, 2025, 2024, and 2023 was $23.2 million, $19.4 million, and $18.2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SSAR Awards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2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SSAR Awards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2023</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8"/>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29.68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2024</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2025</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40" w:right="2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was $0.8 million and $0.8 million for the years ended December 31, 2025 and 2023,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Unrecognized Compensation Cost</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of December 31, 2025, there was $24.1 million of total unrecognized compensation cost related to unvested share-based payment awards, which is expected to be recognized as compensation expense over a weighted average period of 1.2 years.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16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Accumulated Other</w:t>
            </w: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rPr>
              <w:t>Comprehensive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Hedges</w:t>
            </w:r>
          </w:p>
        </w:tc>
        <w:tc>
          <w:tcPr>
            <w:tcW w:w="180" w:type="dxa"/>
            <w:vAlign w:val="bottom"/>
          </w:tcPr>
          <w:p>
            <w:pPr>
              <w:spacing w:after="0"/>
              <w:rPr>
                <w:sz w:val="21"/>
                <w:szCs w:val="21"/>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Loss</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Balance as of December 31, 2024</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 xml:space="preserve">(loss)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During the years ended December 31, 2025 and 2024, cumulative foreign currency translation losses were reclassified from Other comprehensive income (loss) into net income. See Note 2. Acquisitions and Divestitures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total lease cost related to our lease arrangements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29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8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8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39"/>
              <w:spacing w:after="0"/>
              <w:rPr>
                <w:sz w:val="20"/>
                <w:szCs w:val="20"/>
                <w:color w:val="auto"/>
              </w:rPr>
            </w:pPr>
            <w:r>
              <w:rPr>
                <w:rFonts w:ascii="Arial" w:cs="Arial" w:eastAsia="Arial" w:hAnsi="Arial"/>
                <w:sz w:val="14"/>
                <w:szCs w:val="14"/>
                <w:color w:val="auto"/>
              </w:rPr>
              <w:t>81</w:t>
            </w: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8"/>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December 31, 2025, our remaining lease payments, excluding operating and finance leases classified as held for sale, were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0"/>
                <w:szCs w:val="20"/>
                <w:color w:val="auto"/>
              </w:rPr>
            </w:pP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rPr>
              <w:t>Finance Leases</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remaining lease payments (undiscounted)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excluding operating and finance leases classified as held for sale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p>
        </w:tc>
        <w:tc>
          <w:tcPr>
            <w:tcW w:w="3960" w:type="dxa"/>
            <w:vAlign w:val="bottom"/>
            <w:gridSpan w:val="2"/>
            <w:vMerge w:val="restart"/>
          </w:tcPr>
          <w:p>
            <w:pPr>
              <w:ind w:left="1320"/>
              <w:spacing w:after="0"/>
              <w:rPr>
                <w:sz w:val="20"/>
                <w:szCs w:val="20"/>
                <w:color w:val="auto"/>
              </w:rPr>
            </w:pPr>
            <w:r>
              <w:rPr>
                <w:rFonts w:ascii="Arial" w:cs="Arial" w:eastAsia="Arial" w:hAnsi="Arial"/>
                <w:sz w:val="18"/>
                <w:szCs w:val="18"/>
                <w:b w:val="1"/>
                <w:bCs w:val="1"/>
                <w:color w:val="auto"/>
              </w:rPr>
              <w:t>Classification</w:t>
            </w:r>
          </w:p>
        </w:tc>
        <w:tc>
          <w:tcPr>
            <w:tcW w:w="10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3960" w:type="dxa"/>
            <w:vAlign w:val="bottom"/>
            <w:gridSpan w:val="2"/>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Operating lease liability - current</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 long-term</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Finance lease liability - current</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Current maturities of long-term debt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liability - long-term</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gridSpan w:val="2"/>
          </w:tcPr>
          <w:p>
            <w:pPr>
              <w:spacing w:after="0"/>
              <w:rPr>
                <w:sz w:val="20"/>
                <w:szCs w:val="20"/>
                <w:color w:val="auto"/>
              </w:rPr>
            </w:pPr>
            <w:r>
              <w:rPr>
                <w:rFonts w:ascii="Arial" w:cs="Arial" w:eastAsia="Arial" w:hAnsi="Arial"/>
                <w:sz w:val="18"/>
                <w:szCs w:val="18"/>
                <w:color w:val="auto"/>
              </w:rPr>
              <w:t>We recognized the following cash flows related to our lease arrangements (in millions):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59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2025</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333333"/>
              </w:rPr>
              <w:t>2024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333333"/>
              </w:rPr>
              <w:t>2023</w:t>
            </w:r>
          </w:p>
        </w:tc>
      </w:tr>
      <w:tr>
        <w:trPr>
          <w:trHeight w:val="164"/>
        </w:trPr>
        <w:tc>
          <w:tcPr>
            <w:tcW w:w="59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Cash paid for amounts included in the measurement of lease liabilities (in</w:t>
            </w: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0.7</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lease activities (in millions):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rPr>
                <w:sz w:val="20"/>
                <w:szCs w:val="20"/>
                <w:color w:val="auto"/>
              </w:rPr>
            </w:pPr>
            <w:r>
              <w:rPr>
                <w:rFonts w:ascii="Arial" w:cs="Arial" w:eastAsia="Arial" w:hAnsi="Arial"/>
                <w:sz w:val="18"/>
                <w:szCs w:val="18"/>
                <w:color w:val="auto"/>
              </w:rPr>
              <w:t>Right of use assets obtained in exchange for new operating lease liability $</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16.8</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assets obtained in exchange for new finance lease liability</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870"/>
        </w:trPr>
        <w:tc>
          <w:tcPr>
            <w:tcW w:w="5980" w:type="dxa"/>
            <w:vAlign w:val="bottom"/>
          </w:tcPr>
          <w:p>
            <w:pPr>
              <w:ind w:left="5540"/>
              <w:spacing w:after="0"/>
              <w:rPr>
                <w:sz w:val="20"/>
                <w:szCs w:val="20"/>
                <w:color w:val="auto"/>
              </w:rPr>
            </w:pPr>
            <w:r>
              <w:rPr>
                <w:rFonts w:ascii="Arial" w:cs="Arial" w:eastAsia="Arial" w:hAnsi="Arial"/>
                <w:sz w:val="14"/>
                <w:szCs w:val="14"/>
                <w:color w:val="auto"/>
              </w:rPr>
              <w:t>82</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8"/>
        </w:trPr>
        <w:tc>
          <w:tcPr>
            <w:tcW w:w="59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w:t>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2025</w:t>
            </w: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333333"/>
              </w:rPr>
              <w:t>2024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of finance leases (in years)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rPr>
              <w:t>4.3</w:t>
            </w: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540" w:type="dxa"/>
            <w:vAlign w:val="bottom"/>
          </w:tcPr>
          <w:p>
            <w:pPr>
              <w:jc w:val="center"/>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640" w:type="dxa"/>
            <w:vAlign w:val="bottom"/>
          </w:tcPr>
          <w:p>
            <w:pPr>
              <w:jc w:val="center"/>
              <w:ind w:left="1050"/>
              <w:spacing w:after="0"/>
              <w:rPr>
                <w:sz w:val="20"/>
                <w:szCs w:val="20"/>
                <w:color w:val="auto"/>
              </w:rPr>
            </w:pPr>
            <w:r>
              <w:rPr>
                <w:rFonts w:ascii="Arial" w:cs="Arial" w:eastAsia="Arial" w:hAnsi="Arial"/>
                <w:sz w:val="18"/>
                <w:szCs w:val="18"/>
                <w:color w:val="auto"/>
              </w:rPr>
              <w:t>7.9</w:t>
            </w:r>
          </w:p>
        </w:tc>
      </w:tr>
      <w:tr>
        <w:trPr>
          <w:trHeight w:val="229"/>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of finance leases</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5.4%</w:t>
            </w:r>
          </w:p>
        </w:tc>
      </w:tr>
      <w:tr>
        <w:trPr>
          <w:trHeight w:val="239"/>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of operating leases</w:t>
            </w:r>
          </w:p>
        </w:tc>
        <w:tc>
          <w:tcPr>
            <w:tcW w:w="540" w:type="dxa"/>
            <w:vAlign w:val="bottom"/>
          </w:tcPr>
          <w:p>
            <w:pPr>
              <w:jc w:val="center"/>
              <w:spacing w:after="0"/>
              <w:rPr>
                <w:sz w:val="20"/>
                <w:szCs w:val="20"/>
                <w:color w:val="auto"/>
              </w:rPr>
            </w:pPr>
            <w:r>
              <w:rPr>
                <w:rFonts w:ascii="Arial" w:cs="Arial" w:eastAsia="Arial" w:hAnsi="Arial"/>
                <w:sz w:val="18"/>
                <w:szCs w:val="18"/>
                <w:color w:val="auto"/>
                <w:w w:val="97"/>
              </w:rPr>
              <w:t>5.6%</w:t>
            </w:r>
          </w:p>
        </w:tc>
        <w:tc>
          <w:tcPr>
            <w:tcW w:w="140" w:type="dxa"/>
            <w:vAlign w:val="bottom"/>
          </w:tcPr>
          <w:p>
            <w:pPr>
              <w:spacing w:after="0"/>
              <w:rPr>
                <w:sz w:val="20"/>
                <w:szCs w:val="20"/>
                <w:color w:val="auto"/>
              </w:rPr>
            </w:pPr>
          </w:p>
        </w:tc>
        <w:tc>
          <w:tcPr>
            <w:tcW w:w="1640" w:type="dxa"/>
            <w:vAlign w:val="bottom"/>
          </w:tcPr>
          <w:p>
            <w:pPr>
              <w:jc w:val="center"/>
              <w:ind w:left="1070"/>
              <w:spacing w:after="0"/>
              <w:rPr>
                <w:sz w:val="20"/>
                <w:szCs w:val="20"/>
                <w:color w:val="auto"/>
              </w:rPr>
            </w:pPr>
            <w:r>
              <w:rPr>
                <w:rFonts w:ascii="Arial" w:cs="Arial" w:eastAsia="Arial" w:hAnsi="Arial"/>
                <w:sz w:val="18"/>
                <w:szCs w:val="18"/>
                <w:color w:val="auto"/>
                <w:w w:val="97"/>
              </w:rPr>
              <w:t>5.4%</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from Contracts with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Our contracts with customers, which are primarily master sales agreements in combination with different types of nominations or standalone agreements, generally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 Our billing and payment terms generally include monthly invoicing with average payment terms of one to three months.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concluded that each gallon or barrel represents a separate performance obligation, and revenue is recognized at the point in time when control of each gallon or barrel transfers to our customer. We may incur costs for the transportation of products to the delivery points. Reimbursements of such costs are normally included in the transaction price.</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contracts may contain fixed pricing, variable pricing, or a combination.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also have fixed price fuel and fuel-related product sale contracts with a contract term of less than one year (typically one month).</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earn an immaterial amount of revenue from contracts to provide services, including energy procurement advisory services, international trip support services, and transaction and payment management processing, which typically represent a single performance obligation for the series of daily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1,021.7</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1,106.8</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4,181.0</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5,401.3</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5,541.5</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4,641.7</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4,320.6</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2,798.2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3,224.8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2,213.6</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10,021.2</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3,720.1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3,785.7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4,167.4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LATAM</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5,983.8</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8,625.0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9,108.6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10,993.5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21,742.5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26,347.3</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Sheets. Furthermore, as of December 31, 2025 and 2024, the contract assets and contracts liabilities recognized by the Company were not material.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 Balances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Outside of contract assets and liabilities recognized by the Company, we have consideration paid to customers and receivable from vendors.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these balances and their locations on the Consolidated Balance Sheets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w:t>
            </w:r>
          </w:p>
        </w:tc>
        <w:tc>
          <w:tcPr>
            <w:tcW w:w="388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Consolidated Balance Sheets location</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vMerge w:val="continue"/>
          </w:tcPr>
          <w:p>
            <w:pPr>
              <w:spacing w:after="0"/>
              <w:rPr>
                <w:sz w:val="19"/>
                <w:szCs w:val="19"/>
                <w:color w:val="auto"/>
              </w:rPr>
            </w:pPr>
          </w:p>
        </w:tc>
        <w:tc>
          <w:tcPr>
            <w:tcW w:w="3880" w:type="dxa"/>
            <w:vAlign w:val="bottom"/>
            <w:tcBorders>
              <w:bottom w:val="single" w:sz="8" w:color="auto"/>
            </w:tcBorders>
            <w:gridSpan w:val="4"/>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paid to customers - current</w:t>
            </w: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Consideration paid to customers - noncurrent</w:t>
            </w: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received from vendors - current</w:t>
            </w:r>
          </w:p>
        </w:tc>
        <w:tc>
          <w:tcPr>
            <w:tcW w:w="3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line="176" w:lineRule="exact"/>
              <w:rPr>
                <w:sz w:val="20"/>
                <w:szCs w:val="20"/>
                <w:color w:val="auto"/>
              </w:rPr>
            </w:pPr>
            <w:r>
              <w:rPr>
                <w:rFonts w:ascii="Arial" w:cs="Arial" w:eastAsia="Arial" w:hAnsi="Arial"/>
                <w:sz w:val="18"/>
                <w:szCs w:val="18"/>
                <w:color w:val="auto"/>
              </w:rPr>
              <w:t>Consideration received from vendors -</w:t>
            </w:r>
          </w:p>
        </w:tc>
        <w:tc>
          <w:tcPr>
            <w:tcW w:w="2660" w:type="dxa"/>
            <w:vAlign w:val="bottom"/>
            <w:gridSpan w:val="2"/>
            <w:vMerge w:val="restart"/>
          </w:tcPr>
          <w:p>
            <w:pPr>
              <w:ind w:left="20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660" w:type="dxa"/>
            <w:vAlign w:val="bottom"/>
            <w:gridSpan w:val="2"/>
            <w:vMerge w:val="continue"/>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39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90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60" w:type="dxa"/>
            <w:vAlign w:val="bottom"/>
            <w:gridSpan w:val="3"/>
          </w:tcPr>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ind w:left="96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2024</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total income tax expense (benefit) related to income before income taxes consists of the following components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U.S. federal statutory tax</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09"/>
        </w:trPr>
        <w:tc>
          <w:tcPr>
            <w:tcW w:w="6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 statutory tax</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 (benefit)</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60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tax expense (benefit) </w:t>
            </w:r>
            <w:r>
              <w:rPr>
                <w:rFonts w:ascii="Arial" w:cs="Arial" w:eastAsia="Arial" w:hAnsi="Arial"/>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Non-current tax expense (benefit) is primarily related to income tax associated with the reserve for uncertain tax positions, including associated interest and penalties.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Paid for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income taxes, net of refunds received, consists of the following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Pr>
          <w:p>
            <w:pPr>
              <w:jc w:val="right"/>
              <w:ind w:right="65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88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23"/>
        </w:trPr>
        <w:tc>
          <w:tcPr>
            <w:tcW w:w="88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cash paid for income taxes, net of refunds received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Total cash paid for income taxes, net of refunds received, was $51.6 million and $42.0 million for the years ended December 31, 2024 and 2023, respectively.</w:t>
      </w:r>
    </w:p>
    <w:p>
      <w:pPr>
        <w:spacing w:after="0" w:line="8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Cash paid for income taxes, net of refunds received, to individual jurisdictions in excess of 5% of total income taxes paid, net of refunds received, is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3860" w:type="dxa"/>
            <w:vAlign w:val="bottom"/>
            <w:tcBorders>
              <w:bottom w:val="single" w:sz="8" w:color="CCEEFF"/>
            </w:tcBorders>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2025</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w:t>
            </w:r>
          </w:p>
        </w:tc>
        <w:tc>
          <w:tcPr>
            <w:tcW w:w="5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Denmark</w:t>
            </w:r>
          </w:p>
        </w:tc>
        <w:tc>
          <w:tcPr>
            <w:tcW w:w="5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Netherlands</w:t>
            </w:r>
          </w:p>
        </w:tc>
        <w:tc>
          <w:tcPr>
            <w:tcW w:w="5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Singapore</w:t>
            </w:r>
          </w:p>
        </w:tc>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5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9"/>
        </w:trPr>
        <w:tc>
          <w:tcPr>
            <w:tcW w:w="3860" w:type="dxa"/>
            <w:vAlign w:val="bottom"/>
          </w:tcPr>
          <w:p>
            <w:pPr>
              <w:ind w:left="140"/>
              <w:spacing w:after="0"/>
              <w:rPr>
                <w:sz w:val="20"/>
                <w:szCs w:val="20"/>
                <w:color w:val="auto"/>
              </w:rPr>
            </w:pPr>
            <w:r>
              <w:rPr>
                <w:rFonts w:ascii="Arial" w:cs="Arial" w:eastAsia="Arial" w:hAnsi="Arial"/>
                <w:sz w:val="18"/>
                <w:szCs w:val="18"/>
                <w:color w:val="auto"/>
              </w:rPr>
              <w:t>Other foreign jurisdictions</w:t>
            </w:r>
          </w:p>
        </w:tc>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860"/>
        </w:trPr>
        <w:tc>
          <w:tcPr>
            <w:tcW w:w="3860" w:type="dxa"/>
            <w:vAlign w:val="bottom"/>
          </w:tcPr>
          <w:p>
            <w:pPr>
              <w:spacing w:after="0"/>
              <w:rPr>
                <w:sz w:val="24"/>
                <w:szCs w:val="24"/>
                <w:color w:val="auto"/>
              </w:rPr>
            </w:pPr>
          </w:p>
        </w:tc>
        <w:tc>
          <w:tcPr>
            <w:tcW w:w="5180" w:type="dxa"/>
            <w:vAlign w:val="bottom"/>
          </w:tcPr>
          <w:p>
            <w:pPr>
              <w:jc w:val="right"/>
              <w:ind w:right="3259"/>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4"/>
        </w:trPr>
        <w:tc>
          <w:tcPr>
            <w:tcW w:w="3860" w:type="dxa"/>
            <w:vAlign w:val="bottom"/>
            <w:tcBorders>
              <w:bottom w:val="single" w:sz="8" w:color="9A9A9A"/>
            </w:tcBorders>
          </w:tcPr>
          <w:p>
            <w:pPr>
              <w:spacing w:after="0"/>
              <w:rPr>
                <w:sz w:val="17"/>
                <w:szCs w:val="17"/>
                <w:color w:val="auto"/>
              </w:rPr>
            </w:pPr>
          </w:p>
        </w:tc>
        <w:tc>
          <w:tcPr>
            <w:tcW w:w="51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Rate Reconciliation</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reconciliation of our tax provision and effective tax rate to the tax provision calculated using the U.S. federal statutory income tax rate is as follows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8"/>
              </w:rPr>
              <w:t>Year Ended</w:t>
            </w:r>
          </w:p>
        </w:tc>
        <w:tc>
          <w:tcPr>
            <w:tcW w:w="720" w:type="dxa"/>
            <w:vAlign w:val="bottom"/>
          </w:tcPr>
          <w:p>
            <w:pPr>
              <w:spacing w:after="0"/>
              <w:rPr>
                <w:sz w:val="17"/>
                <w:szCs w:val="17"/>
                <w:color w:val="auto"/>
              </w:rPr>
            </w:pPr>
          </w:p>
        </w:tc>
      </w:tr>
      <w:tr>
        <w:trPr>
          <w:trHeight w:val="243"/>
        </w:trPr>
        <w:tc>
          <w:tcPr>
            <w:tcW w:w="79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9"/>
              </w:rPr>
              <w:t>December 31, 2025</w:t>
            </w:r>
          </w:p>
        </w:tc>
        <w:tc>
          <w:tcPr>
            <w:tcW w:w="720" w:type="dxa"/>
            <w:vAlign w:val="bottom"/>
            <w:tcBorders>
              <w:bottom w:val="single" w:sz="8" w:color="auto"/>
            </w:tcBorders>
          </w:tcPr>
          <w:p>
            <w:pPr>
              <w:spacing w:after="0"/>
              <w:rPr>
                <w:sz w:val="21"/>
                <w:szCs w:val="2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based on U.S. federal statutory tax rate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9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State and local income tax, net of federal (national) income tax effect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900" w:type="dxa"/>
            <w:vAlign w:val="bottom"/>
          </w:tcPr>
          <w:p>
            <w:pPr>
              <w:ind w:left="240"/>
              <w:spacing w:after="0"/>
              <w:rPr>
                <w:sz w:val="20"/>
                <w:szCs w:val="20"/>
                <w:color w:val="auto"/>
              </w:rPr>
            </w:pPr>
            <w:r>
              <w:rPr>
                <w:rFonts w:ascii="Arial" w:cs="Arial" w:eastAsia="Arial" w:hAnsi="Arial"/>
                <w:sz w:val="18"/>
                <w:szCs w:val="18"/>
                <w:color w:val="auto"/>
              </w:rPr>
              <w:t>Norway:</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valuation allowances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Changes in valuation allowances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900" w:type="dxa"/>
            <w:vAlign w:val="bottom"/>
          </w:tcPr>
          <w:p>
            <w:pPr>
              <w:ind w:left="360"/>
              <w:spacing w:after="0"/>
              <w:rPr>
                <w:sz w:val="20"/>
                <w:szCs w:val="20"/>
                <w:color w:val="auto"/>
              </w:rPr>
            </w:pPr>
            <w:r>
              <w:rPr>
                <w:rFonts w:ascii="Arial" w:cs="Arial" w:eastAsia="Arial" w:hAnsi="Arial"/>
                <w:sz w:val="18"/>
                <w:szCs w:val="18"/>
                <w:color w:val="auto"/>
              </w:rPr>
              <w:t>Sale of business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900" w:type="dxa"/>
            <w:vAlign w:val="bottom"/>
          </w:tcPr>
          <w:p>
            <w:pPr>
              <w:ind w:left="240"/>
              <w:spacing w:after="0"/>
              <w:rPr>
                <w:sz w:val="20"/>
                <w:szCs w:val="20"/>
                <w:color w:val="auto"/>
              </w:rPr>
            </w:pPr>
            <w:r>
              <w:rPr>
                <w:rFonts w:ascii="Arial" w:cs="Arial" w:eastAsia="Arial" w:hAnsi="Arial"/>
                <w:sz w:val="18"/>
                <w:szCs w:val="18"/>
                <w:color w:val="auto"/>
              </w:rPr>
              <w:t>Foreign tax effects - all other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cross-border tax laws: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900" w:type="dxa"/>
            <w:vAlign w:val="bottom"/>
          </w:tcPr>
          <w:p>
            <w:pPr>
              <w:ind w:left="240"/>
              <w:spacing w:after="0"/>
              <w:rPr>
                <w:sz w:val="20"/>
                <w:szCs w:val="20"/>
                <w:color w:val="auto"/>
              </w:rPr>
            </w:pPr>
            <w:r>
              <w:rPr>
                <w:rFonts w:ascii="Arial" w:cs="Arial" w:eastAsia="Arial" w:hAnsi="Arial"/>
                <w:sz w:val="18"/>
                <w:szCs w:val="18"/>
                <w:color w:val="auto"/>
              </w:rPr>
              <w:t>GILTI</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tax on branch income (loss)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7900" w:type="dxa"/>
            <w:vAlign w:val="bottom"/>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900" w:type="dxa"/>
            <w:vAlign w:val="bottom"/>
          </w:tcPr>
          <w:p>
            <w:pPr>
              <w:ind w:left="240"/>
              <w:spacing w:after="0"/>
              <w:rPr>
                <w:sz w:val="20"/>
                <w:szCs w:val="20"/>
                <w:color w:val="auto"/>
              </w:rPr>
            </w:pPr>
            <w:r>
              <w:rPr>
                <w:rFonts w:ascii="Arial" w:cs="Arial" w:eastAsia="Arial" w:hAnsi="Arial"/>
                <w:sz w:val="18"/>
                <w:szCs w:val="18"/>
                <w:color w:val="auto"/>
              </w:rPr>
              <w:t>Foreign tax credits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unrecognized tax benefits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Other adjustments:</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 of business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State taxes in Florida, California, Illinois, and New York made up the majority (greater than 50 percent) of the tax effect for this category.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2025, our income tax benefit was $127.9 million and our effective income tax rate was 17.3%. Our income tax benefit for the year ended December 31, 2025 includes a net discrete income tax expense of $18.1 million, of which $39.6 million related to the recognition of valuation allowances, primarily related to exit activities and the Falmouth disposal group, and $2.6 million, net, related to the change in the tax accounting status of certain foreign earnings as well as return-to-provision and other adjustments, partially offset by a tax benefit of $24.1 million related to the Watson Fuels sale and related asset impairment charges.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reconciliation of the income tax expense (benefit) calculated using the U.S. federal statutory income tax rate to our tax provision is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based on U.S. federal statutory tax rate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Foreign rates varying from federal statutory tax rate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U.S. taxes on foreign earnings and other tax reform impacts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Statutory adjustments, including foreign currency and tax rate changes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interest income &amp; non-deductible interest expense</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Sale of Avinode business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Brazil business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Worthless stock deduction</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7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2024, our income tax provision was $27.6 million and our effective income tax rate was 28.9%. Our income tax provision for the year ended December 31, 2024 included a net discrete income tax expense of $3.2 million, of which a tax expense of $12.4 million related to the tax on gain from the Avinode sale and a net tax expense of $3.0 million related to worldwide return-to-provision adjustments, partially offset by a net tax benefit of $8.4 million related to the remeasurement of uncertain tax positions as well as a net tax benefit of $4.4 million related to the tax loss from the Brazil sale.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2025, $48.7 million of our foreign earnings were permanently reinvested in non-US business operations. For these investments, if not reinvested indefinitely, we could potentially owe approximately $ 6.8 million in foreign withholding tax. We also have $1.7 billion of accumulated foreign earnings that are actually or deemed repatriated, for which we have estimated the associated foreign withholding and state income tax effects to be $15.9 million for the year ended December 31,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Gross Deferred Tax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 and accrued expenses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Goodwill and intangible assets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foreign income tax credits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limitations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Gross Deferred Tax Liabilities: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Goodwill and intangible assets</w:t>
            </w:r>
          </w:p>
        </w:tc>
        <w:tc>
          <w:tcPr>
            <w:tcW w:w="11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gross deferred tax liabilities</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Net deferred tax asset</w:t>
            </w:r>
          </w:p>
        </w:tc>
        <w:tc>
          <w:tcPr>
            <w:tcW w:w="1160" w:type="dxa"/>
            <w:vAlign w:val="bottom"/>
            <w:tcBorders>
              <w:bottom w:val="single" w:sz="8" w:color="auto"/>
            </w:tcBorders>
          </w:tcPr>
          <w:p>
            <w:pPr>
              <w:jc w:val="right"/>
              <w:ind w:right="95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200.4</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Reported on the Consolidated Balance Sheets as: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non-current assets for deferred tax assets, non-current</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net for deferred tax liabilities, non-current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340" w:hanging="332"/>
        <w:spacing w:after="0" w:line="237"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2025, we recognized additional valuation allowances of $36.6 million relating primarily to the establishment of a valuation allowance on foreign subsidiaries and the 2025 results of certain of our worldwide entities, and released valuation allowances totaling $7.2 million.</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and 2024, we had gross net operating losses ("NOLs") of approximately $500.2 million and $417.6 million, respectively. The NOLs as of December 31, 2025 originated in various U.S. states and non-U.S. countries. We have recorded a deferred tax asset of $79.9 million reflecting the benefit of the NOL carryforward as of December 31, 2025. This deferred tax asset expires as follows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Operating Loss</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b w:val="1"/>
                <w:bCs w:val="1"/>
                <w:color w:val="auto"/>
              </w:rPr>
              <w:t>Expiration Date</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Deferred Tax Asset</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tcPr>
          <w:p>
            <w:pPr>
              <w:ind w:left="840"/>
              <w:spacing w:after="0"/>
              <w:rPr>
                <w:sz w:val="20"/>
                <w:szCs w:val="20"/>
                <w:color w:val="auto"/>
              </w:rPr>
            </w:pPr>
            <w:r>
              <w:rPr>
                <w:rFonts w:ascii="Arial" w:cs="Arial" w:eastAsia="Arial" w:hAnsi="Arial"/>
                <w:sz w:val="18"/>
                <w:szCs w:val="18"/>
                <w:color w:val="auto"/>
              </w:rPr>
              <w:t>2026-2045</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tcPr>
          <w:p>
            <w:pPr>
              <w:ind w:left="840"/>
              <w:spacing w:after="0"/>
              <w:rPr>
                <w:sz w:val="20"/>
                <w:szCs w:val="20"/>
                <w:color w:val="auto"/>
              </w:rPr>
            </w:pPr>
            <w:r>
              <w:rPr>
                <w:rFonts w:ascii="Arial" w:cs="Arial" w:eastAsia="Arial" w:hAnsi="Arial"/>
                <w:sz w:val="18"/>
                <w:szCs w:val="18"/>
                <w:color w:val="auto"/>
              </w:rPr>
              <w:t>2025-2044</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Total</w:t>
            </w:r>
          </w:p>
        </w:tc>
        <w:tc>
          <w:tcPr>
            <w:tcW w:w="6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25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2025, a valuation allowance of $46.2 million exists on the deferred tax assets that are not expected to be realized, $37.5 million of which relates to the deferred tax asset for NOLs. The amount of the deferred tax asset considered realizable could be adjusted if estimates of future taxable income during the carryforward period change or if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objective negative evidence in the form of cumulative losses is no longer present and additional weight may be given to subjective evidence such as growth projections.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Tax Concession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operated under a special income tax concession in Singapore since 2008, which is subject to renewal. Our current five-year income tax concession period began January 1, 2023. It remains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decrease to our foreign income taxes from the Singapore tax concession was as follows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tax concession impact on foreign income tax</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Impact on basic earnings per share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diluted earnings per share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record gross assets and liabilities for unrecognized income tax benefits ("Unrecognized Tax Assets" and "Unrecognized Tax Liabilities", respectively) in our Consolidated Balance Sheets.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2025, we recorded a net increase of Unrecognized Tax Liabilities of $3.6 million and a net decrease to Unrecognized Tax Assets of $0.7 million. In addition, during the year ended December 31, 2025, we recorded a decrease of $6.5 million to our Unrecognized Tax Liabilities related to a foreign currency translation loss, which is included in Other income (expense), net in the accompanying Consolidated Statements of Income and Comprehensive Income. As of December 31, 2025, our Unrecognized Tax Liabilities, including penalties and interest, were $95.9 million and our Unrecognized Tax Assets were $16.6 million.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2024, we recorded a net decrease of Unrecognized Tax Liabilities of $11.2 million and a net decrease to Unrecognized Tax Assets of $3.8 million. In addition, during the year ended December 31, 2024, we recorded a decrease of $3.7 million to our Unrecognized Tax Liabilities related to a foreign currency translation loss, which is included in Other income (expense), net in the accompanying Consolidated Statements of Income and Comprehensive Income. As of December 31, 2024, our Unrecognized Tax Liabilities, including penalties and interest, were $90.8 million and our Unrecognized Tax Assets were $17.2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current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our gross Unrecognized Tax Liabilities, net of our Unrecognized Tax Assets of $16.6 million, as of December 31, 2025, are settled by the taxing authorities in our favor or otherwise resolved, our income tax expense would be reduced by $48.9 million (exclusive of interest and penalties) in the period the matter is considered settled or resolved in accordance with ASC 740. This would have the impact of reducing our 2025 effective income tax rate by 6.7%.</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$ 2.1 million, income of $ 1.3 million and expense of $5.1 million during the years ended December 31, 2025, 2024, and 2023, respectively. For penalties, we recorded income of $ 0.5 million, income of $ 3.1 million, and expense of $2.8 million during the years ended December 31, 2025, 2024, and 2023, respectively. As of December 31, 2025 and 2024, we had recognized liabilities of $26.6 million and $24.5 million for interest and $3.9 million and $4.4 million for penalties, respectively.</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where one of our subsidiaries has been under audit since 2018. Through December 31, 2025, we have received final tax assessments for the 2013 through 2019 tax years of approximately $123.6 million (DKK 785.7 million), and proposed tax assessments for the 2020 and 2021 tax years of approximately $27.0 million (DKK 171.5 million), excluding interest, which would be material. We believe we have substantial defenses to these assessments and expect to continue to pursue available administrative and judicial remedies to resolve this matter.</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open tax years by major jurisdiction: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Open Tax Year</w:t>
            </w: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Jurisdiction</w:t>
            </w:r>
          </w:p>
        </w:tc>
        <w:tc>
          <w:tcPr>
            <w:tcW w:w="1620" w:type="dxa"/>
            <w:vAlign w:val="bottom"/>
          </w:tcPr>
          <w:p>
            <w:pPr>
              <w:jc w:val="center"/>
              <w:ind w:left="450"/>
              <w:spacing w:after="0" w:line="169" w:lineRule="exact"/>
              <w:rPr>
                <w:sz w:val="20"/>
                <w:szCs w:val="20"/>
                <w:color w:val="auto"/>
              </w:rPr>
            </w:pPr>
            <w:r>
              <w:rPr>
                <w:rFonts w:ascii="Arial" w:cs="Arial" w:eastAsia="Arial" w:hAnsi="Arial"/>
                <w:sz w:val="18"/>
                <w:szCs w:val="18"/>
                <w:b w:val="1"/>
                <w:bCs w:val="1"/>
                <w:color w:val="auto"/>
              </w:rPr>
              <w:t>Examination</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Examination not</w:t>
            </w: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vMerge w:val="continue"/>
          </w:tcPr>
          <w:p>
            <w:pPr>
              <w:spacing w:after="0"/>
              <w:rPr>
                <w:sz w:val="21"/>
                <w:szCs w:val="21"/>
                <w:color w:val="auto"/>
              </w:rPr>
            </w:pPr>
          </w:p>
        </w:tc>
        <w:tc>
          <w:tcPr>
            <w:tcW w:w="16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9"/>
              </w:rPr>
              <w:t>in progress</w:t>
            </w: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yet initiated</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2013-2021</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2022-2025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880" w:type="dxa"/>
            <w:vAlign w:val="bottom"/>
            <w:gridSpan w:val="3"/>
          </w:tcPr>
          <w:p>
            <w:pPr>
              <w:jc w:val="center"/>
              <w:ind w:left="610"/>
              <w:spacing w:after="0"/>
              <w:rPr>
                <w:sz w:val="20"/>
                <w:szCs w:val="20"/>
                <w:color w:val="auto"/>
              </w:rPr>
            </w:pPr>
            <w:r>
              <w:rPr>
                <w:rFonts w:ascii="Arial" w:cs="Arial" w:eastAsia="Arial" w:hAnsi="Arial"/>
                <w:sz w:val="18"/>
                <w:szCs w:val="18"/>
                <w:color w:val="auto"/>
                <w:w w:val="99"/>
              </w:rPr>
              <w:t>2022-2025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6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rPr>
              <w:t>None</w:t>
            </w:r>
          </w:p>
        </w:tc>
        <w:tc>
          <w:tcPr>
            <w:tcW w:w="288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9"/>
              </w:rPr>
              <w:t>2024-2025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D9D9D9"/>
            </w:tcBorders>
          </w:tcPr>
          <w:p>
            <w:pPr>
              <w:ind w:left="20"/>
              <w:spacing w:after="0"/>
              <w:rPr>
                <w:sz w:val="20"/>
                <w:szCs w:val="20"/>
                <w:color w:val="auto"/>
              </w:rPr>
            </w:pPr>
            <w:r>
              <w:rPr>
                <w:rFonts w:ascii="Arial" w:cs="Arial" w:eastAsia="Arial" w:hAnsi="Arial"/>
                <w:sz w:val="18"/>
                <w:szCs w:val="18"/>
                <w:color w:val="auto"/>
              </w:rPr>
              <w:t>Singapore</w:t>
            </w:r>
          </w:p>
        </w:tc>
        <w:tc>
          <w:tcPr>
            <w:tcW w:w="1620" w:type="dxa"/>
            <w:vAlign w:val="bottom"/>
            <w:tcBorders>
              <w:bottom w:val="single" w:sz="8" w:color="D9D9D9"/>
            </w:tcBorders>
          </w:tcPr>
          <w:p>
            <w:pPr>
              <w:jc w:val="center"/>
              <w:ind w:left="450"/>
              <w:spacing w:after="0"/>
              <w:rPr>
                <w:sz w:val="20"/>
                <w:szCs w:val="20"/>
                <w:color w:val="auto"/>
              </w:rPr>
            </w:pPr>
            <w:r>
              <w:rPr>
                <w:rFonts w:ascii="Arial" w:cs="Arial" w:eastAsia="Arial" w:hAnsi="Arial"/>
                <w:sz w:val="18"/>
                <w:szCs w:val="18"/>
                <w:color w:val="auto"/>
              </w:rPr>
              <w:t>None</w:t>
            </w:r>
          </w:p>
        </w:tc>
        <w:tc>
          <w:tcPr>
            <w:tcW w:w="2880" w:type="dxa"/>
            <w:vAlign w:val="bottom"/>
            <w:tcBorders>
              <w:bottom w:val="single" w:sz="8" w:color="D9D9D9"/>
            </w:tcBorders>
            <w:gridSpan w:val="3"/>
          </w:tcPr>
          <w:p>
            <w:pPr>
              <w:jc w:val="center"/>
              <w:ind w:left="610"/>
              <w:spacing w:after="0"/>
              <w:rPr>
                <w:sz w:val="20"/>
                <w:szCs w:val="20"/>
                <w:color w:val="auto"/>
              </w:rPr>
            </w:pPr>
            <w:r>
              <w:rPr>
                <w:rFonts w:ascii="Arial" w:cs="Arial" w:eastAsia="Arial" w:hAnsi="Arial"/>
                <w:sz w:val="18"/>
                <w:szCs w:val="18"/>
                <w:color w:val="auto"/>
                <w:w w:val="99"/>
              </w:rPr>
              <w:t>2022-2025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non-U.S.</w:t>
            </w:r>
          </w:p>
        </w:tc>
        <w:tc>
          <w:tcPr>
            <w:tcW w:w="16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rPr>
              <w:t>None</w:t>
            </w:r>
          </w:p>
        </w:tc>
        <w:tc>
          <w:tcPr>
            <w:tcW w:w="288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9"/>
              </w:rPr>
              <w:t>2015-2025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Organization for Economic Co-operation and Development ("OECD") issued Pillar Two model rules which have been enacted or substantively enacted in several jurisdictions in which the Company operates. The legislation was effective for the Company’s financial year beginning January 1, 2024. The rules provide a framework for a coordinated multi-country system of taxation intended to ensure large multinational groups pay a minimum level of tax of 15% on the income arising in the jurisdictions where they operate. The estimated Pillar Two taxes do not have a material impact on the annual effective tax rate or the income tax provision for the years ended December 31, 2025 or 2024. On January 5, 2026, the OECD released Pillar Two guidance related to a "side-by-side arrangement" beginning in 2026, which will largely exclude U.S. parented companies from the impact of certain Pillar Two provisions. We will continue to monitor new legislation and assess any potential impact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 Geographic Information,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Our Chief Executive Officer is the CODM. The CODM uses Income from operations as the primary measure of segment profit. The CODM considers Income from operations when assessing budget to actual variances as part of the annual budgeting and forecasting process, in order to evaluate performance and make decisions about the allocation of capital and other resources to each segment.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aviation segment, we provide global aviation fuel supply and comprehensive service solutions to major commercial, international, and regional airlines, cargo carriers, airports, fixed-based operators, corporate fleets, and charter and fractional operators. We also supply fuel and provide services to U.S. and foreign government and military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land segment, we sell liquid fuels, natural gas, and related products and services to commercial, industrial, and government customers, as well as retail fuel outlets under long-term contracts. As discussed in Note 16. Restructuring and Exit Activities, management has initiated actions to execute a plan to exit certain operations within the land segment, including direct fuel transportation services, lubricants, heating oil, power, and certain advisory and sustainability offerings, that are no longer profitable or not aligned with the Company's core business and corporate strategy.</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marine segment, we market fuel, lubricants, and related products and services to a broad base of marine customers, including international container, dry bulk and tanker fleets, commercial cruise lines, yachts and time-charter operators, U.S. and foreign governments, as well as other fuel suppliers.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 Certain corporate expenses are allocated to the segments based on usage, where possible, or on other factors according to the nature of the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significant segment expenses, and income from operations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2025</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1"/>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18,993.6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36,916.6</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(35,968.8)</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restart"/>
          </w:tcPr>
          <w:p>
            <w:pPr>
              <w:jc w:val="right"/>
              <w:ind w:right="711"/>
              <w:spacing w:after="0"/>
              <w:rPr>
                <w:sz w:val="20"/>
                <w:szCs w:val="20"/>
                <w:color w:val="auto"/>
              </w:rPr>
            </w:pPr>
            <w:r>
              <w:rPr>
                <w:rFonts w:ascii="Arial" w:cs="Arial" w:eastAsia="Arial" w:hAnsi="Arial"/>
                <w:sz w:val="14"/>
                <w:szCs w:val="14"/>
                <w:color w:val="auto"/>
              </w:rPr>
              <w:t>92</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38"/>
        </w:trPr>
        <w:tc>
          <w:tcPr>
            <w:tcW w:w="140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2024</w:t>
            </w:r>
          </w:p>
        </w:tc>
        <w:tc>
          <w:tcPr>
            <w:tcW w:w="1120" w:type="dxa"/>
            <w:vAlign w:val="bottom"/>
            <w:tcBorders>
              <w:bottom w:val="single" w:sz="8" w:color="auto"/>
            </w:tcBorders>
          </w:tcPr>
          <w:p>
            <w:pPr>
              <w:spacing w:after="0"/>
              <w:rPr>
                <w:sz w:val="24"/>
                <w:szCs w:val="24"/>
                <w:color w:val="auto"/>
              </w:rPr>
            </w:pPr>
          </w:p>
        </w:tc>
      </w:tr>
      <w:tr>
        <w:trPr>
          <w:trHeight w:val="223"/>
        </w:trPr>
        <w:tc>
          <w:tcPr>
            <w:tcW w:w="1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42,168.0</w:t>
            </w: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(41,141.6)</w:t>
            </w: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(322.3)</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50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0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30"/>
        </w:trPr>
        <w:tc>
          <w:tcPr>
            <w:tcW w:w="50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29"/>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29"/>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08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r>
      <w:tr>
        <w:trPr>
          <w:trHeight w:val="21"/>
        </w:trPr>
        <w:tc>
          <w:tcPr>
            <w:tcW w:w="1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jc w:val="right"/>
              <w:ind w:right="210"/>
              <w:spacing w:after="0"/>
              <w:rPr>
                <w:sz w:val="20"/>
                <w:szCs w:val="20"/>
                <w:color w:val="auto"/>
              </w:rPr>
            </w:pPr>
            <w:r>
              <w:rPr>
                <w:rFonts w:ascii="Arial" w:cs="Arial" w:eastAsia="Arial" w:hAnsi="Arial"/>
                <w:sz w:val="18"/>
                <w:szCs w:val="18"/>
                <w:b w:val="1"/>
                <w:bCs w:val="1"/>
                <w:color w:val="auto"/>
                <w:w w:val="99"/>
              </w:rPr>
              <w:t>For the Year Ended December 31, 2023</w:t>
            </w:r>
          </w:p>
        </w:tc>
        <w:tc>
          <w:tcPr>
            <w:tcW w:w="11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Aviation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23,275.1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47,710.6</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(46,652.4)</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(334.2)</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allocations of compensation costs and general and administrative expenses.</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Other segment expenses include professional fees, office expenses and general insurance, technology related expenses, travel and entertainment, and other general and administrative expenses.</w:t>
      </w:r>
    </w:p>
    <w:p>
      <w:pPr>
        <w:spacing w:after="0" w:line="86"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Unallocated corporate expenses include corporate compensation costs and general and administrative expenses which are not allocated to the operating segments, as well as certain asset impairment charges related to equity investments in non-core businesses.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capital expenditures and depreciation and amortization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2025</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450"/>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2024</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436"/>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For the Year Ended December 31, 2023</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5"/>
                <w:szCs w:val="15"/>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Land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5"/>
                <w:szCs w:val="15"/>
                <w:color w:val="auto"/>
              </w:rPr>
            </w:pPr>
          </w:p>
        </w:tc>
        <w:tc>
          <w:tcPr>
            <w:tcW w:w="1100" w:type="dxa"/>
            <w:vAlign w:val="bottom"/>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9"/>
              </w:rPr>
              <w:t>Segment</w:t>
            </w:r>
          </w:p>
        </w:tc>
        <w:tc>
          <w:tcPr>
            <w:tcW w:w="160" w:type="dxa"/>
            <w:vAlign w:val="bottom"/>
          </w:tcPr>
          <w:p>
            <w:pPr>
              <w:spacing w:after="0"/>
              <w:rPr>
                <w:sz w:val="15"/>
                <w:szCs w:val="15"/>
                <w:color w:val="auto"/>
              </w:rPr>
            </w:pPr>
          </w:p>
        </w:tc>
        <w:tc>
          <w:tcPr>
            <w:tcW w:w="1400" w:type="dxa"/>
            <w:vAlign w:val="bottom"/>
            <w:gridSpan w:val="2"/>
          </w:tcPr>
          <w:p>
            <w:pPr>
              <w:ind w:left="60"/>
              <w:spacing w:after="0" w:line="17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right="500" w:hanging="332"/>
        <w:spacing w:after="0" w:line="231"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Total depreciation and amortization as presented includes charges classified within Cost of revenue and Operating expenses in our Consolidated Statements of Income and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40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1,119.7</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3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3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4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reportable segment assets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6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20" w:type="dxa"/>
            <w:vAlign w:val="bottom"/>
            <w:vMerge w:val="restart"/>
          </w:tcPr>
          <w:p>
            <w:pPr>
              <w:jc w:val="right"/>
              <w:ind w:right="1996"/>
              <w:spacing w:after="0"/>
              <w:rPr>
                <w:sz w:val="20"/>
                <w:szCs w:val="20"/>
                <w:color w:val="auto"/>
              </w:rPr>
            </w:pPr>
            <w:r>
              <w:rPr>
                <w:rFonts w:ascii="Arial" w:cs="Arial" w:eastAsia="Arial" w:hAnsi="Arial"/>
                <w:sz w:val="14"/>
                <w:szCs w:val="14"/>
                <w:color w:val="auto"/>
              </w:rPr>
              <w:t>94</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8"/>
        </w:trPr>
        <w:tc>
          <w:tcPr>
            <w:tcW w:w="41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9A9A9A"/>
            </w:tcBorders>
          </w:tcPr>
          <w:p>
            <w:pPr>
              <w:spacing w:after="0"/>
              <w:rPr>
                <w:sz w:val="18"/>
                <w:szCs w:val="18"/>
                <w:color w:val="auto"/>
              </w:rPr>
            </w:pPr>
          </w:p>
        </w:tc>
        <w:tc>
          <w:tcPr>
            <w:tcW w:w="36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09"/>
        </w:trPr>
        <w:tc>
          <w:tcPr>
            <w:tcW w:w="598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19,280.0</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20,905.1</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25,403.7</w:t>
            </w:r>
          </w:p>
        </w:tc>
      </w:tr>
      <w:tr>
        <w:trPr>
          <w:trHeight w:val="229"/>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10,003.2</w:t>
            </w:r>
          </w:p>
        </w:tc>
      </w:tr>
      <w:tr>
        <w:trPr>
          <w:trHeight w:val="230"/>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4,568.4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5,366.0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5,430.7</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6,873.0</w:t>
            </w:r>
          </w:p>
        </w:tc>
      </w:tr>
      <w:tr>
        <w:trPr>
          <w:trHeight w:val="223"/>
        </w:trPr>
        <w:tc>
          <w:tcPr>
            <w:tcW w:w="5980" w:type="dxa"/>
            <w:vAlign w:val="bottom"/>
          </w:tcPr>
          <w:p>
            <w:pPr>
              <w:jc w:val="right"/>
              <w:ind w:right="509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42,168.0</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47,710.6</w:t>
            </w: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the U.K. of $3.1 billion, $4.8 billion and $5.3 billion for 2025, 2024 and 2023, respectively.</w:t>
      </w:r>
    </w:p>
    <w:p>
      <w:pPr>
        <w:spacing w:after="0" w:line="69"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Singapore of $4.5 billion, $5.3 billion and $5.3 billion for 2025, 2024 and 2023, respectively.</w:t>
      </w:r>
    </w:p>
    <w:p>
      <w:pPr>
        <w:spacing w:after="0" w:line="85"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Geographic revenue information in this table includes impacts from derivatives and hedging activities, which are excluded from that geographic revenue information presented at Note 13.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years ended December 31, 2025, 2024, and 2023, none of our customers accounted for more than 10% of total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and Exit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Exit Activities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that are no longer profitable or not aligned with the Company's core business and corporate strategy. As a result, the Company has begun the process of exiting direct fuel transportation services, lubricants, heating oil, power, and certain advisory and sustainability offerings, including the Land Fuel Transportation and Lubricants disposal group as discussed in Note 2. Acquisitions and Divestitures. As a result of the actions taken, we recognized charges for exit activities totaling $57.8 million during the year ended December 31, 2025, comprised of severance and compensation costs of $26.2 million, charges associated with various legal matters and contract termination costs of $21.7 million, write-offs of receivables and other assets of $5.1 million, and a loss on the sale of assets of $4.7 million. In addition, we recognized asset impairment charges of $5.8 million related to assets no longer in use or expected to provide nominal future economic benefit. We expect to incur additional charges in 2026 as we continue to execute our exit plans.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Restructuring Plan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2025, in alignment with ongoing efforts to rationalize our assets and operations, we began a company-wide restructuring initiative designed to further streamline our operating model and enhance organizational efficiency and effectiveness (the "2025 Restructuring Plan"). As part of this initiative, we undertook cost management actions in response to the current and projected business needs, including the closure of certain open positions and the elimination of other roles to better align the workforce with our current strategic priorities. As a component of the 2025 Restructuring Plan, in June 2025, we launched a program intended to optimize our global finance and accounting operations. During the fourth quarter of 2025, we announced an executive transition as a component of the 2025 Restructuring Plan.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actions taken under the 2025 Restructuring Plan, we recognized $ 45.2 million of restructuring charges associated with the 2025 Restructuring Plan during the year ended December 31, 2025, including $32.7 million of severance and other compensation costs and $12.6 million of other transition related costs. We plan to complete the transition activities associated with the global finance and accounting optimization in the fourth quarter of 2026 and expect to recognize an additional $10.8 million in transition costs and one-time charges associated with the planned initiatives during the year ending December 31,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Exit Activities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2024, we decided to take actions to exit certain operations, including the rationalization of certain assets and associated personnel within our North American land business as well as the disposal of our subsidiaries in Brazil. As a result of the actions taken in 2024, during the three months ended December 31, 2024, we recognized asset impairment charges of $3.1 million, wrote off accounts receivable totaling $4.4 million, and recognized additional charges for severance and other compensation costs of $1.4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Restructuring Plan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approved and began implementing a restructuring plan (the "2023 Restructuring Plan") to realign our operational focus with the purpose of simplifying our business, enabling us to focus more clearly on growing our core businesses and our new sustainability-related activities, and improving our cost structure. As part of this plan, during the fourth quarter of 2023, we identified open positions that were eliminated and other positions that were closed to better align the workforce necessary to execute the revised strategy. We recognized restructuring charges of $7.2 million during the year ended December 31, 2023, composed of severance and other compensation costs. We also decided to shift future investments away from underperforming businesses and to continue assessing our global office footprint, resulting in impairment charges of $11.2 million during the fourth quarter of 2023.</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half of 2024, we continued to assess potential initiatives, resulting in additional severance and other compensation cost-related restructuring charges. In addition, as part of the 2023 Restructuring Plan, within our marine segment we made the decision during the second quarter of 2024 to cease operations at one of our subsidiaries in Brazil, resulting in the write-off of $3.3 million of VAT credits that were no longer recoverable. We completed these restructuring activities during the second quarter of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Exit Activity Accruals</w:t>
      </w:r>
    </w:p>
    <w:p>
      <w:pPr>
        <w:spacing w:after="0" w:line="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table provides a summary of our accruals for severance and other compensation cost activities as well as other transition costs as part of current and previously completed restructuring plans and other exit activities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Aviation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Accrued charges as of December 31, 2024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844"/>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4"/>
                <w:szCs w:val="14"/>
                <w:color w:val="auto"/>
              </w:rPr>
              <w:t>96</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8"/>
        </w:trPr>
        <w:tc>
          <w:tcPr>
            <w:tcW w:w="43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(in millions, except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Weighted average common shares for basic earnings per common share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securities which are not included in the calculation of diluted</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conditions have not been met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31"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 January 2026, we repurchased 2.8 million shares of common stock under our stock repurchase program for an aggregate value of $75.0 million. See Note 11. Shareholders' Equity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5" w:lineRule="exact"/>
        <w:rPr>
          <w:sz w:val="20"/>
          <w:szCs w:val="20"/>
          <w:color w:val="auto"/>
        </w:rPr>
      </w:pPr>
    </w:p>
    <w:p>
      <w:pPr>
        <w:spacing w:after="0" w:line="227"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23, 2026.</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WORLD KINECT CORPORATION</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118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Chief Executive Officer</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118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Jose-Miguel Tejada</w:t>
      </w:r>
    </w:p>
    <w:p>
      <w:pPr>
        <w:ind w:left="200"/>
        <w:spacing w:after="0"/>
        <w:rPr>
          <w:sz w:val="20"/>
          <w:szCs w:val="20"/>
          <w:color w:val="auto"/>
        </w:rPr>
      </w:pPr>
      <w:r>
        <w:rPr>
          <w:rFonts w:ascii="Arial" w:cs="Arial" w:eastAsia="Arial" w:hAnsi="Arial"/>
          <w:sz w:val="16"/>
          <w:szCs w:val="16"/>
          <w:color w:val="auto"/>
        </w:rPr>
        <w:t>Chief Financial Officer</w:t>
      </w:r>
    </w:p>
    <w:p>
      <w:pPr>
        <w:spacing w:after="0" w:line="7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23,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 and Chief Executive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Officer)</w:t>
            </w:r>
          </w:p>
        </w:tc>
      </w:tr>
      <w:tr>
        <w:trPr>
          <w:trHeight w:val="26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KROLL</w:t>
            </w:r>
          </w:p>
        </w:tc>
        <w:tc>
          <w:tcPr>
            <w:tcW w:w="3860" w:type="dxa"/>
            <w:vAlign w:val="bottom"/>
          </w:tcPr>
          <w:p>
            <w:pPr>
              <w:ind w:left="120"/>
              <w:spacing w:after="0"/>
              <w:rPr>
                <w:sz w:val="20"/>
                <w:szCs w:val="20"/>
                <w:color w:val="auto"/>
              </w:rPr>
            </w:pPr>
            <w:r>
              <w:rPr>
                <w:rFonts w:ascii="Arial" w:cs="Arial" w:eastAsia="Arial" w:hAnsi="Arial"/>
                <w:sz w:val="16"/>
                <w:szCs w:val="16"/>
                <w:color w:val="auto"/>
              </w:rPr>
              <w:t>Senior Vice President and Chief Accounting Officer</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Michael Kroll</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Accounting Officer)</w:t>
            </w: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Chairman</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JEFFREY M. KOTTKAMP</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Jeffrey M. Kottkamp</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GREG PIPER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Greg Piper</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ANDREA B. SMITH</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Andrea B. Smith</w:t>
            </w:r>
          </w:p>
        </w:tc>
        <w:tc>
          <w:tcPr>
            <w:tcW w:w="3860" w:type="dxa"/>
            <w:vAlign w:val="bottom"/>
          </w:tcPr>
          <w:p>
            <w:pPr>
              <w:spacing w:after="0"/>
              <w:rPr>
                <w:sz w:val="18"/>
                <w:szCs w:val="18"/>
                <w:color w:val="auto"/>
              </w:rPr>
            </w:pPr>
          </w:p>
        </w:tc>
      </w:tr>
      <w:tr>
        <w:trPr>
          <w:trHeight w:val="27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9"/>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8"/>
                <w:szCs w:val="18"/>
                <w:color w:val="auto"/>
              </w:rPr>
            </w:pPr>
          </w:p>
        </w:tc>
      </w:tr>
      <w:tr>
        <w:trPr>
          <w:trHeight w:val="790"/>
        </w:trPr>
        <w:tc>
          <w:tcPr>
            <w:tcW w:w="394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4"/>
                <w:szCs w:val="14"/>
                <w:color w:val="auto"/>
              </w:rPr>
              <w:t>98</w:t>
            </w:r>
          </w:p>
        </w:tc>
      </w:tr>
    </w:tbl>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KINECT CORPORATION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SEVERANCE POLICY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as of January 1, 2026)</w:t>
      </w:r>
    </w:p>
    <w:p>
      <w:pPr>
        <w:spacing w:after="0" w:line="200" w:lineRule="exact"/>
        <w:rPr>
          <w:sz w:val="20"/>
          <w:szCs w:val="20"/>
          <w:color w:val="auto"/>
        </w:rPr>
      </w:pPr>
    </w:p>
    <w:p>
      <w:pPr>
        <w:spacing w:after="0" w:line="273" w:lineRule="exact"/>
        <w:rPr>
          <w:sz w:val="20"/>
          <w:szCs w:val="20"/>
          <w:color w:val="auto"/>
        </w:rPr>
      </w:pPr>
    </w:p>
    <w:p>
      <w:pPr>
        <w:ind w:right="20" w:firstLine="224"/>
        <w:spacing w:after="0" w:line="266" w:lineRule="auto"/>
        <w:tabs>
          <w:tab w:leader="none" w:pos="59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World Kinect Corporation Executive Severance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is to provide certain Severance Payments and Benefits to designated key executives of the Company in the event of a termination of their employment in certain specified circumstances, all as further provided for under this Policy. The World Fuel Services Corporation Executive Severance Policy (the “</w:t>
      </w:r>
      <w:r>
        <w:rPr>
          <w:rFonts w:ascii="Times New Roman" w:cs="Times New Roman" w:eastAsia="Times New Roman" w:hAnsi="Times New Roman"/>
          <w:sz w:val="21"/>
          <w:szCs w:val="21"/>
          <w:b w:val="1"/>
          <w:bCs w:val="1"/>
          <w:i w:val="1"/>
          <w:iCs w:val="1"/>
          <w:color w:val="auto"/>
        </w:rPr>
        <w:t>Original Policy</w:t>
      </w:r>
      <w:r>
        <w:rPr>
          <w:rFonts w:ascii="Times New Roman" w:cs="Times New Roman" w:eastAsia="Times New Roman" w:hAnsi="Times New Roman"/>
          <w:sz w:val="21"/>
          <w:szCs w:val="21"/>
          <w:color w:val="auto"/>
        </w:rPr>
        <w:t>”) was first adopted and effective as of December 31, 2016, and is hereby amended and restated in the form of this Policy effective as of December 31, 2025 (the “</w:t>
      </w:r>
      <w:r>
        <w:rPr>
          <w:rFonts w:ascii="Times New Roman" w:cs="Times New Roman" w:eastAsia="Times New Roman" w:hAnsi="Times New Roman"/>
          <w:sz w:val="21"/>
          <w:szCs w:val="21"/>
          <w:b w:val="1"/>
          <w:bCs w:val="1"/>
          <w:i w:val="1"/>
          <w:iCs w:val="1"/>
          <w:color w:val="auto"/>
        </w:rPr>
        <w:t>Amendment and Restatement Effective Date</w:t>
      </w:r>
      <w:r>
        <w:rPr>
          <w:rFonts w:ascii="Times New Roman" w:cs="Times New Roman" w:eastAsia="Times New Roman" w:hAnsi="Times New Roman"/>
          <w:sz w:val="21"/>
          <w:szCs w:val="21"/>
          <w:color w:val="auto"/>
        </w:rPr>
        <w:t>”).</w:t>
      </w:r>
    </w:p>
    <w:p>
      <w:pPr>
        <w:spacing w:after="0" w:line="206" w:lineRule="exact"/>
        <w:rPr>
          <w:rFonts w:ascii="Times New Roman" w:cs="Times New Roman" w:eastAsia="Times New Roman" w:hAnsi="Times New Roman"/>
          <w:sz w:val="21"/>
          <w:szCs w:val="21"/>
          <w:color w:val="auto"/>
        </w:rPr>
      </w:pPr>
    </w:p>
    <w:p>
      <w:pPr>
        <w:ind w:right="120" w:firstLine="224"/>
        <w:spacing w:after="0" w:line="271" w:lineRule="auto"/>
        <w:tabs>
          <w:tab w:leader="none" w:pos="5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following definitions are applicable for purposes of this Policy (including any Annex hereto), in addition to terms defined in </w:t>
      </w:r>
      <w:r>
        <w:rPr>
          <w:rFonts w:ascii="Times New Roman" w:cs="Times New Roman" w:eastAsia="Times New Roman" w:hAnsi="Times New Roman"/>
          <w:sz w:val="22"/>
          <w:szCs w:val="22"/>
          <w:b w:val="1"/>
          <w:bCs w:val="1"/>
          <w:u w:val="single" w:color="auto"/>
          <w:color w:val="auto"/>
        </w:rPr>
        <w:t>Section 1</w:t>
      </w:r>
      <w:r>
        <w:rPr>
          <w:rFonts w:ascii="Times New Roman" w:cs="Times New Roman" w:eastAsia="Times New Roman" w:hAnsi="Times New Roman"/>
          <w:sz w:val="22"/>
          <w:szCs w:val="22"/>
          <w:color w:val="auto"/>
        </w:rPr>
        <w:t xml:space="preserve"> above or otherwise defined in this Policy:</w:t>
      </w:r>
    </w:p>
    <w:p>
      <w:pPr>
        <w:spacing w:after="0" w:line="178" w:lineRule="exact"/>
        <w:rPr>
          <w:rFonts w:ascii="Times New Roman" w:cs="Times New Roman" w:eastAsia="Times New Roman" w:hAnsi="Times New Roman"/>
          <w:sz w:val="22"/>
          <w:szCs w:val="22"/>
          <w:color w:val="auto"/>
        </w:rPr>
      </w:pPr>
    </w:p>
    <w:p>
      <w:pPr>
        <w:ind w:right="40" w:firstLine="440"/>
        <w:spacing w:after="0" w:line="262" w:lineRule="auto"/>
        <w:tabs>
          <w:tab w:leader="none" w:pos="888"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Accrued Obligations</w:t>
      </w:r>
      <w:r>
        <w:rPr>
          <w:rFonts w:ascii="Times New Roman" w:cs="Times New Roman" w:eastAsia="Times New Roman" w:hAnsi="Times New Roman"/>
          <w:sz w:val="21"/>
          <w:szCs w:val="21"/>
          <w:color w:val="auto"/>
        </w:rPr>
        <w:t xml:space="preserve">” means the sum of (i) the Executive’s base salary earned but unpaid (and otherwise payable) through the Date of Termination, (ii) the amount of any vested deferred compensation and other cash compensation earned or accrued by, or vested for, the Executive as of the Termination Date that is not otherwise forfeitable, (iii) applicable payment for unused paid time-off, if any, accrued as of the Date of Termination, (iv) unreimbursed business expenses reimbursable under policies of the Company and its Subsidiaries then in effect, and (v) all other benefits which have been earned and vested as of the Termination Date, to the extent not already paid to the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each of (i), (iii) and (v), to the extent permissible under applicable law and consistent with Code Section 409A, the Company may offset such amounts against any obligations and liabilities of the Executive to the Company or any Subsidiary. For purposes of this </w:t>
      </w:r>
      <w:r>
        <w:rPr>
          <w:rFonts w:ascii="Times New Roman" w:cs="Times New Roman" w:eastAsia="Times New Roman" w:hAnsi="Times New Roman"/>
          <w:sz w:val="21"/>
          <w:szCs w:val="21"/>
          <w:b w:val="1"/>
          <w:bCs w:val="1"/>
          <w:color w:val="auto"/>
        </w:rPr>
        <w:t>Section 2(a)</w:t>
      </w:r>
      <w:r>
        <w:rPr>
          <w:rFonts w:ascii="Times New Roman" w:cs="Times New Roman" w:eastAsia="Times New Roman" w:hAnsi="Times New Roman"/>
          <w:sz w:val="21"/>
          <w:szCs w:val="21"/>
          <w:color w:val="auto"/>
        </w:rPr>
        <w:t>, any Bonus for which (x) the measurement period has concluded and (y) the applicable payment date has not occurred, in each case as of the Executive’s Date of Termination</w:t>
      </w:r>
      <w:r>
        <w:rPr>
          <w:rFonts w:ascii="Times New Roman" w:cs="Times New Roman" w:eastAsia="Times New Roman" w:hAnsi="Times New Roman"/>
          <w:sz w:val="21"/>
          <w:szCs w:val="21"/>
          <w:b w:val="1"/>
          <w:bCs w:val="1"/>
          <w:u w:val="single" w:color="auto"/>
          <w:color w:val="auto"/>
        </w:rPr>
        <w:t>,</w:t>
      </w:r>
      <w:r>
        <w:rPr>
          <w:rFonts w:ascii="Times New Roman" w:cs="Times New Roman" w:eastAsia="Times New Roman" w:hAnsi="Times New Roman"/>
          <w:sz w:val="21"/>
          <w:szCs w:val="21"/>
          <w:color w:val="auto"/>
        </w:rPr>
        <w:t xml:space="preserve"> shall nonetheless be considered an Accrued Obligation as long as the applicable termination of the Executive’s employment is neither for Cause nor the result of a voluntary resignation by the Executive without Good Reason.</w:t>
      </w:r>
    </w:p>
    <w:p>
      <w:pPr>
        <w:spacing w:after="0" w:line="191" w:lineRule="exact"/>
        <w:rPr>
          <w:rFonts w:ascii="Times New Roman" w:cs="Times New Roman" w:eastAsia="Times New Roman" w:hAnsi="Times New Roman"/>
          <w:sz w:val="21"/>
          <w:szCs w:val="21"/>
          <w:color w:val="auto"/>
        </w:rPr>
      </w:pPr>
    </w:p>
    <w:p>
      <w:pPr>
        <w:ind w:right="940" w:firstLine="440"/>
        <w:spacing w:after="0" w:line="276" w:lineRule="auto"/>
        <w:tabs>
          <w:tab w:leader="none" w:pos="9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with respect to a specified Person, a Person that directly, or indirectly through one or more intermediaries, controls, is controlled by, or is under common control with, the specified Person.</w:t>
      </w:r>
    </w:p>
    <w:p>
      <w:pPr>
        <w:spacing w:after="0" w:line="174"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shall mean any stock-based award or cash award granted to the Executive under an Incentive Plan.</w:t>
      </w:r>
    </w:p>
    <w:p>
      <w:pPr>
        <w:spacing w:after="0" w:line="260" w:lineRule="exact"/>
        <w:rPr>
          <w:rFonts w:ascii="Times New Roman" w:cs="Times New Roman" w:eastAsia="Times New Roman" w:hAnsi="Times New Roman"/>
          <w:sz w:val="22"/>
          <w:szCs w:val="22"/>
          <w:color w:val="auto"/>
        </w:rPr>
      </w:pPr>
    </w:p>
    <w:p>
      <w:pPr>
        <w:ind w:right="420" w:firstLine="440"/>
        <w:spacing w:after="0" w:line="276" w:lineRule="auto"/>
        <w:tabs>
          <w:tab w:leader="none" w:pos="9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an agreement (whether in written or electronic form), or certificate, resolution or other type or form of writing evidencing an Award granted under an Incentive Plan.</w:t>
      </w:r>
    </w:p>
    <w:p>
      <w:pPr>
        <w:sectPr>
          <w:pgSz w:w="11900" w:h="16838" w:orient="portrait"/>
          <w:cols w:equalWidth="0" w:num="1">
            <w:col w:w="11240"/>
          </w:cols>
          <w:pgMar w:left="320" w:top="121" w:right="339" w:bottom="1440" w:gutter="0" w:footer="0" w:header="0"/>
        </w:sectPr>
      </w:pPr>
    </w:p>
    <w:bookmarkStart w:id="102" w:name="page103"/>
    <w:bookmarkEnd w:id="102"/>
    <w:p>
      <w:pPr>
        <w:spacing w:after="0" w:line="219" w:lineRule="exact"/>
        <w:rPr>
          <w:sz w:val="20"/>
          <w:szCs w:val="20"/>
          <w:color w:val="auto"/>
        </w:rPr>
      </w:pPr>
    </w:p>
    <w:p>
      <w:pPr>
        <w:ind w:firstLine="440"/>
        <w:spacing w:after="0" w:line="260" w:lineRule="auto"/>
        <w:tabs>
          <w:tab w:leader="none" w:pos="88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Beneficiary</w:t>
      </w:r>
      <w:r>
        <w:rPr>
          <w:rFonts w:ascii="Times New Roman" w:cs="Times New Roman" w:eastAsia="Times New Roman" w:hAnsi="Times New Roman"/>
          <w:sz w:val="22"/>
          <w:szCs w:val="22"/>
          <w:color w:val="auto"/>
        </w:rPr>
        <w:t>” means a Person or entity that the Executive designates in writing to the Company to receive payments or benefits hereunder in the event of the Executive’s death. If no such Person or entity is named or there is no surviving designated Beneficiary, such Executive’s Beneficiary shall be the Executive’s estate.</w:t>
      </w:r>
    </w:p>
    <w:p>
      <w:pPr>
        <w:spacing w:after="0" w:line="203"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4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Bonus</w:t>
      </w:r>
      <w:r>
        <w:rPr>
          <w:rFonts w:ascii="Times New Roman" w:cs="Times New Roman" w:eastAsia="Times New Roman" w:hAnsi="Times New Roman"/>
          <w:sz w:val="22"/>
          <w:szCs w:val="22"/>
          <w:color w:val="auto"/>
        </w:rPr>
        <w:t>” means an annual cash award granted to the Executive under an Incentive Plan.</w:t>
      </w:r>
    </w:p>
    <w:p>
      <w:pPr>
        <w:spacing w:after="0" w:line="24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w:t>
      </w:r>
    </w:p>
    <w:p>
      <w:pPr>
        <w:spacing w:after="0" w:line="252" w:lineRule="exact"/>
        <w:rPr>
          <w:rFonts w:ascii="Times New Roman" w:cs="Times New Roman" w:eastAsia="Times New Roman" w:hAnsi="Times New Roman"/>
          <w:sz w:val="22"/>
          <w:szCs w:val="22"/>
          <w:color w:val="auto"/>
        </w:rPr>
      </w:pPr>
    </w:p>
    <w:p>
      <w:pPr>
        <w:ind w:left="660" w:right="820" w:hanging="4"/>
        <w:spacing w:after="0" w:line="271" w:lineRule="auto"/>
        <w:tabs>
          <w:tab w:leader="none" w:pos="10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failure by the Executive to perform, in a reasonable manner, his or her duties as assigned by the Company or any Subsidiary (or any successor company);</w:t>
      </w:r>
    </w:p>
    <w:p>
      <w:pPr>
        <w:spacing w:after="0" w:line="198" w:lineRule="exact"/>
        <w:rPr>
          <w:rFonts w:ascii="Times New Roman" w:cs="Times New Roman" w:eastAsia="Times New Roman" w:hAnsi="Times New Roman"/>
          <w:sz w:val="22"/>
          <w:szCs w:val="22"/>
          <w:color w:val="auto"/>
        </w:rPr>
      </w:pPr>
    </w:p>
    <w:p>
      <w:pPr>
        <w:ind w:left="660" w:right="420" w:hanging="4"/>
        <w:spacing w:after="0" w:line="271" w:lineRule="auto"/>
        <w:tabs>
          <w:tab w:leader="none" w:pos="11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violation or material breach by the Executive of his or her employment, consulting or other similar agreement with the Company or any Subsidiary (or successor company), if any;</w:t>
      </w:r>
    </w:p>
    <w:p>
      <w:pPr>
        <w:spacing w:after="0" w:line="184" w:lineRule="exact"/>
        <w:rPr>
          <w:rFonts w:ascii="Times New Roman" w:cs="Times New Roman" w:eastAsia="Times New Roman" w:hAnsi="Times New Roman"/>
          <w:sz w:val="22"/>
          <w:szCs w:val="22"/>
          <w:color w:val="auto"/>
        </w:rPr>
      </w:pPr>
    </w:p>
    <w:p>
      <w:pPr>
        <w:ind w:left="660" w:right="80" w:hanging="4"/>
        <w:spacing w:after="0" w:line="271" w:lineRule="auto"/>
        <w:tabs>
          <w:tab w:leader="none" w:pos="12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violation or material breach by the Executive of any non-competition, non-solicitation, non-disclosure and/or other similar agreement with the Company or any Subsidiary (or successor company);</w:t>
      </w:r>
    </w:p>
    <w:p>
      <w:pPr>
        <w:spacing w:after="0" w:line="184"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violation or material breach by the Executive of any Company Policy (or successor company policies);</w:t>
      </w:r>
    </w:p>
    <w:p>
      <w:pPr>
        <w:spacing w:after="0" w:line="258" w:lineRule="exact"/>
        <w:rPr>
          <w:rFonts w:ascii="Times New Roman" w:cs="Times New Roman" w:eastAsia="Times New Roman" w:hAnsi="Times New Roman"/>
          <w:sz w:val="21"/>
          <w:szCs w:val="21"/>
          <w:color w:val="auto"/>
        </w:rPr>
      </w:pPr>
    </w:p>
    <w:p>
      <w:pPr>
        <w:ind w:left="660" w:right="280" w:hanging="4"/>
        <w:spacing w:after="0" w:line="284" w:lineRule="auto"/>
        <w:tabs>
          <w:tab w:leader="none" w:pos="112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by the Executive of material dishonesty or fraud that injures the reputation or business of the Company or any Subsidiary (or successor company);</w:t>
      </w:r>
    </w:p>
    <w:p>
      <w:pPr>
        <w:spacing w:after="0" w:line="170"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conviction of, or entry of a plea of guilty or nolo contendere to, a felony or a crime involving moral turpitude; or</w:t>
      </w:r>
    </w:p>
    <w:p>
      <w:pPr>
        <w:spacing w:after="0" w:line="258" w:lineRule="exact"/>
        <w:rPr>
          <w:rFonts w:ascii="Times New Roman" w:cs="Times New Roman" w:eastAsia="Times New Roman" w:hAnsi="Times New Roman"/>
          <w:sz w:val="21"/>
          <w:szCs w:val="21"/>
          <w:color w:val="auto"/>
        </w:rPr>
      </w:pPr>
    </w:p>
    <w:p>
      <w:pPr>
        <w:ind w:left="660" w:right="240" w:hanging="4"/>
        <w:spacing w:after="0" w:line="271" w:lineRule="auto"/>
        <w:tabs>
          <w:tab w:leader="none" w:pos="124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impeding of, interfering with, or failing to reasonably cooperate with an investigation authorized by the Company or any Subsidiary or Affiliate;</w:t>
      </w:r>
    </w:p>
    <w:p>
      <w:pPr>
        <w:spacing w:after="0" w:line="185" w:lineRule="exact"/>
        <w:rPr>
          <w:sz w:val="20"/>
          <w:szCs w:val="20"/>
          <w:color w:val="auto"/>
        </w:rPr>
      </w:pPr>
    </w:p>
    <w:p>
      <w:pPr>
        <w:ind w:right="220" w:firstLine="432"/>
        <w:spacing w:after="0" w:line="28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good faith determination by the Committee of whether the Executive’s employment or service was terminated for “Cause” shall be final and binding for all purposes hereunder.</w:t>
      </w:r>
    </w:p>
    <w:p>
      <w:pPr>
        <w:spacing w:after="0" w:line="16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means any one of the following events:</w:t>
      </w:r>
    </w:p>
    <w:p>
      <w:pPr>
        <w:sectPr>
          <w:pgSz w:w="11900" w:h="16838" w:orient="portrait"/>
          <w:cols w:equalWidth="0" w:num="1">
            <w:col w:w="11220"/>
          </w:cols>
          <w:pgMar w:left="320" w:top="1440" w:right="359" w:bottom="1440" w:gutter="0" w:footer="0" w:header="0"/>
        </w:sectPr>
      </w:pPr>
    </w:p>
    <w:bookmarkStart w:id="103" w:name="page104"/>
    <w:bookmarkEnd w:id="103"/>
    <w:p>
      <w:pPr>
        <w:ind w:right="160" w:firstLine="656"/>
        <w:spacing w:after="0" w:line="253" w:lineRule="auto"/>
        <w:tabs>
          <w:tab w:leader="none" w:pos="106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“group” as defined in Section 13(d)(3) of the Exchange Act, but excluding any employee benefit plan or plans of the Company and its Subsidiaries, becomes the beneficial owner, directly or indirectly, of 30% or more of the combined Voting Power of the Company’s outstanding Voting Securities ordinarily having the right to vote for the election of directors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subparagraph (i), any acquisition directly from the Company shall not constitute a Change of Control; or</w:t>
      </w:r>
    </w:p>
    <w:p>
      <w:pPr>
        <w:spacing w:after="0" w:line="205" w:lineRule="exact"/>
        <w:rPr>
          <w:rFonts w:ascii="Times New Roman" w:cs="Times New Roman" w:eastAsia="Times New Roman" w:hAnsi="Times New Roman"/>
          <w:sz w:val="22"/>
          <w:szCs w:val="22"/>
          <w:color w:val="auto"/>
        </w:rPr>
      </w:pPr>
    </w:p>
    <w:p>
      <w:pPr>
        <w:ind w:firstLine="656"/>
        <w:spacing w:after="0" w:line="256" w:lineRule="auto"/>
        <w:tabs>
          <w:tab w:leader="none" w:pos="112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51% of the aggregate Voting Power of the capital stock of the surviving entity; or</w:t>
      </w:r>
    </w:p>
    <w:p>
      <w:pPr>
        <w:spacing w:after="0" w:line="203" w:lineRule="exact"/>
        <w:rPr>
          <w:rFonts w:ascii="Times New Roman" w:cs="Times New Roman" w:eastAsia="Times New Roman" w:hAnsi="Times New Roman"/>
          <w:sz w:val="22"/>
          <w:szCs w:val="22"/>
          <w:color w:val="auto"/>
        </w:rPr>
      </w:pPr>
    </w:p>
    <w:p>
      <w:pPr>
        <w:ind w:right="20" w:firstLine="656"/>
        <w:spacing w:after="0" w:line="247" w:lineRule="auto"/>
        <w:tabs>
          <w:tab w:leader="none" w:pos="118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Amendment and Restatement Effective Date, constitute the Board (such individuals, as of the Amendment and Restatement Effective Date,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cease for any reason to constitute at least two-thirds of the Board, or in the case of the consummation of a merger or consolidation of the Company, do not constitute or cease to constitute at least two-thirds of the board of directors of the surviving company (or in a case where the surviving corporation is controlled, directly or indirectly by another corporation or entity, do not constitute or cease to constitute at least two-thirds of the board of such controlling corporation or do not have or cease to have at least two-thirds of the voting seats on any body comparable to a board of directors of such controlling entity, or if there is no body comparable to a board of directors, at least two-thirds voting control of such controlling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person becoming a director (or, in the case of a controlling non-corporate entity, obtaining a position comparable to a director or obtaining a voting interest in such entity) subsequent to the Amendment and Restatement Effective Date whose election, or nomination for election, was approved by a vote of the persons comprising at least two-thirds of the Incumbent Board (other than an election or nomination of an individual whose initial assumption of office is in connection with an actual or threatened election contest), shall be, for purposes of this Policy, considered as though such person were a member of the Incumbent Board; or</w:t>
      </w:r>
    </w:p>
    <w:p>
      <w:pPr>
        <w:spacing w:after="0" w:line="21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liquidation or dissolution of the Company or all or substantially all of the assets of the Company have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sold.</w:t>
      </w:r>
    </w:p>
    <w:p>
      <w:pPr>
        <w:spacing w:after="0" w:line="230" w:lineRule="exact"/>
        <w:rPr>
          <w:rFonts w:ascii="Times New Roman" w:cs="Times New Roman" w:eastAsia="Times New Roman" w:hAnsi="Times New Roman"/>
          <w:sz w:val="22"/>
          <w:szCs w:val="22"/>
          <w:color w:val="auto"/>
        </w:rPr>
      </w:pPr>
    </w:p>
    <w:p>
      <w:pPr>
        <w:ind w:right="480" w:firstLine="440"/>
        <w:spacing w:after="0" w:line="260" w:lineRule="auto"/>
        <w:tabs>
          <w:tab w:leader="none" w:pos="8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CIC Severance Factor</w:t>
      </w:r>
      <w:r>
        <w:rPr>
          <w:rFonts w:ascii="Times New Roman" w:cs="Times New Roman" w:eastAsia="Times New Roman" w:hAnsi="Times New Roman"/>
          <w:sz w:val="22"/>
          <w:szCs w:val="22"/>
          <w:color w:val="auto"/>
        </w:rPr>
        <w:t xml:space="preserve">” means, unless otherwise provided in a written agreement between an Executive and the Company or a Subsidiary as of the Date of Termination, the CIC Severance Factor multiple for the Executive applicable to a Qualifying CIC Termination (as defined in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b w:val="1"/>
          <w:bCs w:val="1"/>
          <w:u w:val="single" w:color="auto"/>
          <w:color w:val="auto"/>
        </w:rPr>
        <w:t>Annex I</w:t>
      </w:r>
      <w:r>
        <w:rPr>
          <w:rFonts w:ascii="Times New Roman" w:cs="Times New Roman" w:eastAsia="Times New Roman" w:hAnsi="Times New Roman"/>
          <w:sz w:val="22"/>
          <w:szCs w:val="22"/>
          <w:color w:val="auto"/>
        </w:rPr>
        <w:t xml:space="preserve"> hereto.</w:t>
      </w:r>
    </w:p>
    <w:p>
      <w:pPr>
        <w:spacing w:after="0" w:line="190" w:lineRule="exact"/>
        <w:rPr>
          <w:rFonts w:ascii="Times New Roman" w:cs="Times New Roman" w:eastAsia="Times New Roman" w:hAnsi="Times New Roman"/>
          <w:sz w:val="22"/>
          <w:szCs w:val="22"/>
          <w:color w:val="auto"/>
        </w:rPr>
      </w:pPr>
    </w:p>
    <w:p>
      <w:pPr>
        <w:ind w:right="280" w:firstLine="440"/>
        <w:spacing w:after="0" w:line="301" w:lineRule="auto"/>
        <w:tabs>
          <w:tab w:leader="none" w:pos="9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means the continuation coverage requirements for “group health plans” under the Consolidated Omnibus Budget Reconciliation Act of 1985, as amended, including rules thereunder and successor provisions and rules thereto.</w:t>
      </w:r>
    </w:p>
    <w:p>
      <w:pPr>
        <w:sectPr>
          <w:pgSz w:w="11900" w:h="16838" w:orient="portrait"/>
          <w:cols w:equalWidth="0" w:num="1">
            <w:col w:w="11240"/>
          </w:cols>
          <w:pgMar w:left="320" w:top="1422" w:right="339" w:bottom="1440" w:gutter="0" w:footer="0" w:header="0"/>
        </w:sectPr>
      </w:pPr>
    </w:p>
    <w:bookmarkStart w:id="104" w:name="page105"/>
    <w:bookmarkEnd w:id="104"/>
    <w:p>
      <w:pPr>
        <w:ind w:left="-440" w:right="140" w:firstLine="440"/>
        <w:spacing w:after="0" w:line="260" w:lineRule="auto"/>
        <w:tabs>
          <w:tab w:leader="none" w:pos="41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from time to time, and all regulations, interpretations, and administrative guidance issued thereunder (a reference to any provision of the Code shall include reference to any successor provision of the Code or successor regulations).</w:t>
      </w:r>
    </w:p>
    <w:p>
      <w:pPr>
        <w:spacing w:after="0" w:line="203" w:lineRule="exact"/>
        <w:rPr>
          <w:rFonts w:ascii="Times New Roman" w:cs="Times New Roman" w:eastAsia="Times New Roman" w:hAnsi="Times New Roman"/>
          <w:sz w:val="22"/>
          <w:szCs w:val="22"/>
          <w:color w:val="auto"/>
        </w:rPr>
      </w:pPr>
    </w:p>
    <w:p>
      <w:pPr>
        <w:jc w:val="both"/>
        <w:ind w:left="-440" w:right="140" w:firstLine="440"/>
        <w:spacing w:after="0" w:line="301" w:lineRule="auto"/>
        <w:tabs>
          <w:tab w:leader="none" w:pos="5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 Section 409A</w:t>
      </w:r>
      <w:r>
        <w:rPr>
          <w:rFonts w:ascii="Times New Roman" w:cs="Times New Roman" w:eastAsia="Times New Roman" w:hAnsi="Times New Roman"/>
          <w:sz w:val="21"/>
          <w:szCs w:val="21"/>
          <w:color w:val="auto"/>
        </w:rPr>
        <w:t>” means Section 409A of the Code and any proposed, temporary or final regulation, or any other guidance, promulgated with respect to Code Section 409A by the U.S. Department of Treasury or the Internal Revenue Service.</w:t>
      </w:r>
    </w:p>
    <w:p>
      <w:pPr>
        <w:spacing w:after="0" w:line="150" w:lineRule="exact"/>
        <w:rPr>
          <w:rFonts w:ascii="Times New Roman" w:cs="Times New Roman" w:eastAsia="Times New Roman" w:hAnsi="Times New Roman"/>
          <w:sz w:val="21"/>
          <w:szCs w:val="21"/>
          <w:color w:val="auto"/>
        </w:rPr>
      </w:pPr>
    </w:p>
    <w:p>
      <w:pPr>
        <w:ind w:left="-440" w:firstLine="440"/>
        <w:spacing w:after="0" w:line="260" w:lineRule="auto"/>
        <w:tabs>
          <w:tab w:leader="none" w:pos="4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 (or its successor) or such other committee as the Board may designate to perform administrative functions under this Policy (or, to the extent specifically determined by the Board for purposes of administration of this Policy, the Board itself), or its applicable delegate.</w:t>
      </w:r>
    </w:p>
    <w:p>
      <w:pPr>
        <w:spacing w:after="0" w:line="203" w:lineRule="exact"/>
        <w:rPr>
          <w:rFonts w:ascii="Times New Roman" w:cs="Times New Roman" w:eastAsia="Times New Roman" w:hAnsi="Times New Roman"/>
          <w:sz w:val="22"/>
          <w:szCs w:val="22"/>
          <w:color w:val="auto"/>
        </w:rPr>
      </w:pPr>
    </w:p>
    <w:p>
      <w:pPr>
        <w:ind w:left="460" w:hanging="460"/>
        <w:spacing w:after="0"/>
        <w:tabs>
          <w:tab w:leader="none" w:pos="4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World Kinect Corporation, a Florida corporation.</w:t>
      </w:r>
    </w:p>
    <w:p>
      <w:pPr>
        <w:spacing w:after="0" w:line="246" w:lineRule="exact"/>
        <w:rPr>
          <w:rFonts w:ascii="Times New Roman" w:cs="Times New Roman" w:eastAsia="Times New Roman" w:hAnsi="Times New Roman"/>
          <w:sz w:val="22"/>
          <w:szCs w:val="22"/>
          <w:color w:val="auto"/>
        </w:rPr>
      </w:pPr>
    </w:p>
    <w:p>
      <w:pPr>
        <w:jc w:val="both"/>
        <w:ind w:left="-440" w:right="60" w:firstLine="440"/>
        <w:spacing w:after="0" w:line="260" w:lineRule="auto"/>
        <w:tabs>
          <w:tab w:leader="none" w:pos="4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Policy</w:t>
      </w:r>
      <w:r>
        <w:rPr>
          <w:rFonts w:ascii="Times New Roman" w:cs="Times New Roman" w:eastAsia="Times New Roman" w:hAnsi="Times New Roman"/>
          <w:sz w:val="22"/>
          <w:szCs w:val="22"/>
          <w:color w:val="auto"/>
        </w:rPr>
        <w:t>” means any corporate policies of the Company and its Subsidiaries and Affiliates, including, but not limited to, the World Kinect Corporation Code of Conduct, Securities Trading Policy, and any other personnel policies or related documents, each as may be amended or substituted from time to time.</w:t>
      </w:r>
    </w:p>
    <w:p>
      <w:pPr>
        <w:spacing w:after="0" w:line="190" w:lineRule="exact"/>
        <w:rPr>
          <w:rFonts w:ascii="Times New Roman" w:cs="Times New Roman" w:eastAsia="Times New Roman" w:hAnsi="Times New Roman"/>
          <w:sz w:val="22"/>
          <w:szCs w:val="22"/>
          <w:color w:val="auto"/>
        </w:rPr>
      </w:pPr>
    </w:p>
    <w:p>
      <w:pPr>
        <w:ind w:left="-440" w:right="20" w:firstLine="440"/>
        <w:spacing w:after="0" w:line="249" w:lineRule="auto"/>
        <w:tabs>
          <w:tab w:leader="none" w:pos="4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means, unless otherwise agreed to by the Company, (i) if an Executive’s employment is terminated by the Company and/or its Subsidiaries for Cause, the date on which a notice of termination is given or the date set forth in such notice, (ii) if the Executive’s employment is terminated by the Executive for Good Reason, the date that is one day after the last day of any applicable cure period, (iii) if the Executive’s employment is terminated by reason of death, the date of death of the Executive, or (iv) if the Executive’s employment is terminated for any other reason, the date on which a notice of termination is given or the date set forth in such notice. Notwithstanding anything in this Policy to the contrary, unless otherwise agreed to by the Company and the Executive prior to the Date of Termination, the Executive shall (x) be deemed to have automatically resigned from all directorships and offices or other roles with the Company and its Subsidiaries, and their Affiliates (including joint ventures), as of the Date of Termination, and (y) agree to execute and deliver any documentation reasonably requested (or to take any other reasonably requested steps) to effect or confirm such resignations.</w:t>
      </w:r>
    </w:p>
    <w:p>
      <w:pPr>
        <w:spacing w:after="0" w:line="210" w:lineRule="exact"/>
        <w:rPr>
          <w:rFonts w:ascii="Times New Roman" w:cs="Times New Roman" w:eastAsia="Times New Roman" w:hAnsi="Times New Roman"/>
          <w:sz w:val="22"/>
          <w:szCs w:val="22"/>
          <w:color w:val="auto"/>
        </w:rPr>
      </w:pPr>
    </w:p>
    <w:p>
      <w:pPr>
        <w:ind w:left="-440" w:right="80" w:firstLine="440"/>
        <w:spacing w:after="0" w:line="252" w:lineRule="auto"/>
        <w:tabs>
          <w:tab w:leader="none" w:pos="4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xml:space="preserve">” means the inability of the Executive , due to illness, accident or any other physical or mental incapacity, to perform, with or without reasonable accommodation, the essential functions of his or her employment duties for the Company and its Subsidiaries for an aggregate of 180 days within any period of 12 consecutive months, as determined by a physician satisfactory to the Company, which determination will be final and binding;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payments or benefits that are subject to Code Section 409A, such circumstances shall only constitute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if to the extent they constitute Disability within the meaning of Treasury Regulation Section 1.409A-3(i)(4).</w:t>
      </w:r>
    </w:p>
    <w:p>
      <w:pPr>
        <w:sectPr>
          <w:pgSz w:w="11900" w:h="16838" w:orient="portrait"/>
          <w:cols w:equalWidth="0" w:num="1">
            <w:col w:w="10800"/>
          </w:cols>
          <w:pgMar w:left="760" w:top="1416" w:right="339" w:bottom="1440" w:gutter="0" w:footer="0" w:header="0"/>
        </w:sectPr>
      </w:pPr>
    </w:p>
    <w:bookmarkStart w:id="105" w:name="page106"/>
    <w:bookmarkEnd w:id="105"/>
    <w:p>
      <w:pPr>
        <w:ind w:left="880" w:hanging="440"/>
        <w:spacing w:after="0"/>
        <w:tabs>
          <w:tab w:leader="none" w:pos="8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860" w:hanging="420"/>
        <w:spacing w:after="0"/>
        <w:tabs>
          <w:tab w:leader="none" w:pos="8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Forfeiture Event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10(b)(i)</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20" w:firstLine="440"/>
        <w:spacing w:after="0" w:line="289" w:lineRule="auto"/>
        <w:tabs>
          <w:tab w:leader="none" w:pos="9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any of the following, unless mutually agreed upon by the Company and the Executive:</w:t>
      </w:r>
    </w:p>
    <w:p>
      <w:pPr>
        <w:spacing w:after="0" w:line="166" w:lineRule="exact"/>
        <w:rPr>
          <w:rFonts w:ascii="Times New Roman" w:cs="Times New Roman" w:eastAsia="Times New Roman" w:hAnsi="Times New Roman"/>
          <w:sz w:val="22"/>
          <w:szCs w:val="22"/>
          <w:color w:val="auto"/>
        </w:rPr>
      </w:pPr>
    </w:p>
    <w:p>
      <w:pPr>
        <w:ind w:left="660" w:right="460" w:hanging="4"/>
        <w:spacing w:after="0" w:line="253" w:lineRule="auto"/>
        <w:tabs>
          <w:tab w:leader="none" w:pos="10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Executive of any duties inconsistent in any material respect with the Executive’s position (including status, title and reporting requirements), authority, duties or responsibilities, or any other action by the Company that results in a material diminution in such position, authority, duties or responsibilities, excluding for this purpose an action not taken in bad faith and which is remedied by the Company promptly after written notice thereof given by the Executive;</w:t>
      </w:r>
    </w:p>
    <w:p>
      <w:pPr>
        <w:spacing w:after="0" w:line="205" w:lineRule="exact"/>
        <w:rPr>
          <w:rFonts w:ascii="Times New Roman" w:cs="Times New Roman" w:eastAsia="Times New Roman" w:hAnsi="Times New Roman"/>
          <w:sz w:val="22"/>
          <w:szCs w:val="22"/>
          <w:color w:val="auto"/>
        </w:rPr>
      </w:pPr>
    </w:p>
    <w:p>
      <w:pPr>
        <w:ind w:left="660" w:right="40" w:hanging="4"/>
        <w:spacing w:after="0" w:line="271" w:lineRule="auto"/>
        <w:tabs>
          <w:tab w:leader="none" w:pos="11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or failure to pay, the Executive’s base salary, other than a reduction or failure that is part of a broad reduction in base salary generally applicable to the Company’s other similarly-situated employees;</w:t>
      </w:r>
    </w:p>
    <w:p>
      <w:pPr>
        <w:spacing w:after="0" w:line="184" w:lineRule="exact"/>
        <w:rPr>
          <w:rFonts w:ascii="Times New Roman" w:cs="Times New Roman" w:eastAsia="Times New Roman" w:hAnsi="Times New Roman"/>
          <w:sz w:val="22"/>
          <w:szCs w:val="22"/>
          <w:color w:val="auto"/>
        </w:rPr>
      </w:pPr>
    </w:p>
    <w:p>
      <w:pPr>
        <w:ind w:left="660" w:hanging="4"/>
        <w:spacing w:after="0" w:line="256" w:lineRule="auto"/>
        <w:tabs>
          <w:tab w:leader="none" w:pos="12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years after the occurrence of a Change of Control, any failure by the Company to provide the Executive with Bonus and equity Award opportunities, or employee benefits and perquisites in the aggregate, that are not less than those provided to the Executive in the calendar year immediately preceding the Change of Control, other than a failure not occurring in bad faith; and</w:t>
      </w:r>
    </w:p>
    <w:p>
      <w:pPr>
        <w:spacing w:after="0" w:line="203" w:lineRule="exact"/>
        <w:rPr>
          <w:rFonts w:ascii="Times New Roman" w:cs="Times New Roman" w:eastAsia="Times New Roman" w:hAnsi="Times New Roman"/>
          <w:sz w:val="22"/>
          <w:szCs w:val="22"/>
          <w:color w:val="auto"/>
        </w:rPr>
      </w:pPr>
    </w:p>
    <w:p>
      <w:pPr>
        <w:ind w:left="660" w:right="60" w:hanging="4"/>
        <w:spacing w:after="0" w:line="249" w:lineRule="auto"/>
        <w:tabs>
          <w:tab w:leader="none" w:pos="118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within two years after the occurrence of a Change of Control, a material change by the Company (without the consent of the Executive) in the geographic location of the Executive’s primary work location that adds more than 50 miles to the Executive’s one-way daily commute to such location, or (B) otherwise, a material change by the Company (without the consent of the Executive) in the geographic location of the Executive’s primary work location that adds more than 50 miles to the Executive’s one-way daily commute to such location (other than (1) a change assigning the Executive’s primary work location to any office or location of the Company or its Subsidiaries within Miami-Dade County, Florida or Broward County, Florida, or (2) a change in the location of the Company’s headquarters, as indicated in the Company’s filings with the Securities and Exchange Commission).</w:t>
      </w:r>
    </w:p>
    <w:p>
      <w:pPr>
        <w:spacing w:after="0" w:line="209" w:lineRule="exact"/>
        <w:rPr>
          <w:sz w:val="20"/>
          <w:szCs w:val="20"/>
          <w:color w:val="auto"/>
        </w:rPr>
      </w:pPr>
    </w:p>
    <w:p>
      <w:pPr>
        <w:ind w:right="60" w:firstLine="216"/>
        <w:spacing w:after="0" w:line="253" w:lineRule="auto"/>
        <w:rPr>
          <w:sz w:val="20"/>
          <w:szCs w:val="20"/>
          <w:color w:val="auto"/>
        </w:rPr>
      </w:pPr>
      <w:r>
        <w:rPr>
          <w:rFonts w:ascii="Times New Roman" w:cs="Times New Roman" w:eastAsia="Times New Roman" w:hAnsi="Times New Roman"/>
          <w:sz w:val="22"/>
          <w:szCs w:val="22"/>
          <w:color w:val="auto"/>
        </w:rPr>
        <w:t>Notwithstanding the foregoing, none of the circumstances described above shall constitute Good Reason unless (x) the Executive provides the Company with written notice specifying in reasonable detail the circumstances alleged to constitute Good Reason within 90 days of the initial existence of any such circumstances, (y) the Company fails to remedy the circumstances within the 30 days following its receipt of such notice and (z) the Executive actually terminates employment within the six months following the initial existence of such circumstances.</w:t>
      </w:r>
    </w:p>
    <w:p>
      <w:pPr>
        <w:sectPr>
          <w:pgSz w:w="11900" w:h="16838" w:orient="portrait"/>
          <w:cols w:equalWidth="0" w:num="1">
            <w:col w:w="11240"/>
          </w:cols>
          <w:pgMar w:left="320" w:top="1416" w:right="339" w:bottom="1440" w:gutter="0" w:footer="0" w:header="0"/>
        </w:sectPr>
      </w:pPr>
    </w:p>
    <w:bookmarkStart w:id="106" w:name="page107"/>
    <w:bookmarkEnd w:id="106"/>
    <w:p>
      <w:pPr>
        <w:ind w:left="-224" w:right="420" w:firstLine="440"/>
        <w:spacing w:after="0" w:line="276" w:lineRule="auto"/>
        <w:tabs>
          <w:tab w:leader="none" w:pos="67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Plan</w:t>
      </w:r>
      <w:r>
        <w:rPr>
          <w:rFonts w:ascii="Times New Roman" w:cs="Times New Roman" w:eastAsia="Times New Roman" w:hAnsi="Times New Roman"/>
          <w:sz w:val="22"/>
          <w:szCs w:val="22"/>
          <w:color w:val="auto"/>
        </w:rPr>
        <w:t>” means each plan, policy, program or arrangement maintained by the Company pursuant to which cash or equity-based awards may be granted to Executives, as may be amended and/or restated from time to time.</w:t>
      </w:r>
    </w:p>
    <w:p>
      <w:pPr>
        <w:spacing w:after="0" w:line="174" w:lineRule="exact"/>
        <w:rPr>
          <w:rFonts w:ascii="Times New Roman" w:cs="Times New Roman" w:eastAsia="Times New Roman" w:hAnsi="Times New Roman"/>
          <w:sz w:val="22"/>
          <w:szCs w:val="22"/>
          <w:color w:val="auto"/>
        </w:rPr>
      </w:pPr>
    </w:p>
    <w:p>
      <w:pPr>
        <w:jc w:val="both"/>
        <w:ind w:left="-224" w:right="40" w:firstLine="440"/>
        <w:spacing w:after="0" w:line="315" w:lineRule="auto"/>
        <w:tabs>
          <w:tab w:leader="none" w:pos="72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Non-CIC Severance Factor</w:t>
      </w:r>
      <w:r>
        <w:rPr>
          <w:rFonts w:ascii="Times New Roman" w:cs="Times New Roman" w:eastAsia="Times New Roman" w:hAnsi="Times New Roman"/>
          <w:sz w:val="21"/>
          <w:szCs w:val="21"/>
          <w:color w:val="auto"/>
        </w:rPr>
        <w:t xml:space="preserve">” means, unless otherwise provided in a written agreement between an Executive and the Company as of the Date of Termination, the Non-CIC Severance Factor multiple for the Executive as set forth in </w:t>
      </w:r>
      <w:r>
        <w:rPr>
          <w:rFonts w:ascii="Times New Roman" w:cs="Times New Roman" w:eastAsia="Times New Roman" w:hAnsi="Times New Roman"/>
          <w:sz w:val="21"/>
          <w:szCs w:val="21"/>
          <w:b w:val="1"/>
          <w:bCs w:val="1"/>
          <w:u w:val="single" w:color="auto"/>
          <w:color w:val="auto"/>
        </w:rPr>
        <w:t>Annex I</w:t>
      </w:r>
      <w:r>
        <w:rPr>
          <w:rFonts w:ascii="Times New Roman" w:cs="Times New Roman" w:eastAsia="Times New Roman" w:hAnsi="Times New Roman"/>
          <w:sz w:val="21"/>
          <w:szCs w:val="21"/>
          <w:color w:val="auto"/>
        </w:rPr>
        <w:t xml:space="preserve"> hereto.</w:t>
      </w:r>
    </w:p>
    <w:p>
      <w:pPr>
        <w:spacing w:after="0" w:line="135" w:lineRule="exact"/>
        <w:rPr>
          <w:rFonts w:ascii="Times New Roman" w:cs="Times New Roman" w:eastAsia="Times New Roman" w:hAnsi="Times New Roman"/>
          <w:sz w:val="21"/>
          <w:szCs w:val="21"/>
          <w:color w:val="auto"/>
        </w:rPr>
      </w:pPr>
    </w:p>
    <w:p>
      <w:pPr>
        <w:ind w:left="-224" w:firstLine="440"/>
        <w:spacing w:after="0" w:line="276" w:lineRule="auto"/>
        <w:tabs>
          <w:tab w:leader="none" w:pos="67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 individual, corporation, partnership, limited liability company, association, trust, other entity, group or organization including a governmental authority.</w:t>
      </w:r>
    </w:p>
    <w:p>
      <w:pPr>
        <w:spacing w:after="0" w:line="174" w:lineRule="exact"/>
        <w:rPr>
          <w:rFonts w:ascii="Times New Roman" w:cs="Times New Roman" w:eastAsia="Times New Roman" w:hAnsi="Times New Roman"/>
          <w:sz w:val="22"/>
          <w:szCs w:val="22"/>
          <w:color w:val="auto"/>
        </w:rPr>
      </w:pPr>
    </w:p>
    <w:p>
      <w:pPr>
        <w:ind w:left="676" w:hanging="460"/>
        <w:spacing w:after="0"/>
        <w:tabs>
          <w:tab w:leader="none" w:pos="67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10(c)(i)</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676" w:hanging="460"/>
        <w:spacing w:after="0"/>
        <w:tabs>
          <w:tab w:leader="none" w:pos="67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b w:val="1"/>
          <w:bCs w:val="1"/>
          <w:u w:val="single" w:color="auto"/>
          <w:color w:val="auto"/>
        </w:rPr>
        <w:t>Section 10(c)(i)</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224" w:right="100" w:firstLine="440"/>
        <w:spacing w:after="0" w:line="276" w:lineRule="auto"/>
        <w:tabs>
          <w:tab w:leader="none" w:pos="7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Severance Payments and Benefits</w:t>
      </w:r>
      <w:r>
        <w:rPr>
          <w:rFonts w:ascii="Times New Roman" w:cs="Times New Roman" w:eastAsia="Times New Roman" w:hAnsi="Times New Roman"/>
          <w:sz w:val="22"/>
          <w:szCs w:val="22"/>
          <w:color w:val="auto"/>
        </w:rPr>
        <w:t>” means, with respect to an Executive, all benefits provided or payments made by the Company to or for the benefit the Executive under this Policy.</w:t>
      </w:r>
    </w:p>
    <w:p>
      <w:pPr>
        <w:spacing w:after="0" w:line="174" w:lineRule="exact"/>
        <w:rPr>
          <w:rFonts w:ascii="Times New Roman" w:cs="Times New Roman" w:eastAsia="Times New Roman" w:hAnsi="Times New Roman"/>
          <w:sz w:val="22"/>
          <w:szCs w:val="22"/>
          <w:color w:val="auto"/>
        </w:rPr>
      </w:pPr>
    </w:p>
    <w:p>
      <w:pPr>
        <w:ind w:left="-224" w:right="100" w:firstLine="440"/>
        <w:spacing w:after="0" w:line="254" w:lineRule="auto"/>
        <w:tabs>
          <w:tab w:leader="none" w:pos="78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a corporation, company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limited liability company, or unincorporated association), but more than 50 percent of whose ownership interest representing the right generally to make decisions for such other entity is, now or hereafter, owned or controlled, directly or indirectly, by the Company.</w:t>
      </w:r>
    </w:p>
    <w:p>
      <w:pPr>
        <w:spacing w:after="0" w:line="200" w:lineRule="exact"/>
        <w:rPr>
          <w:rFonts w:ascii="Times New Roman" w:cs="Times New Roman" w:eastAsia="Times New Roman" w:hAnsi="Times New Roman"/>
          <w:sz w:val="22"/>
          <w:szCs w:val="22"/>
          <w:color w:val="auto"/>
        </w:rPr>
      </w:pPr>
    </w:p>
    <w:p>
      <w:pPr>
        <w:ind w:left="-224" w:right="140" w:firstLine="440"/>
        <w:spacing w:after="0" w:line="254" w:lineRule="auto"/>
        <w:tabs>
          <w:tab w:leader="none" w:pos="7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Voting Power</w:t>
      </w:r>
      <w:r>
        <w:rPr>
          <w:rFonts w:ascii="Times New Roman" w:cs="Times New Roman" w:eastAsia="Times New Roman" w:hAnsi="Times New Roman"/>
          <w:sz w:val="22"/>
          <w:szCs w:val="22"/>
          <w:color w:val="auto"/>
        </w:rPr>
        <w:t>”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211" w:lineRule="exact"/>
        <w:rPr>
          <w:rFonts w:ascii="Times New Roman" w:cs="Times New Roman" w:eastAsia="Times New Roman" w:hAnsi="Times New Roman"/>
          <w:sz w:val="22"/>
          <w:szCs w:val="22"/>
          <w:color w:val="auto"/>
        </w:rPr>
      </w:pPr>
    </w:p>
    <w:p>
      <w:pPr>
        <w:ind w:left="-224" w:right="140" w:firstLine="440"/>
        <w:spacing w:after="0" w:line="270" w:lineRule="auto"/>
        <w:tabs>
          <w:tab w:leader="none" w:pos="78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Voting Securities</w:t>
      </w:r>
      <w:r>
        <w:rPr>
          <w:rFonts w:ascii="Times New Roman" w:cs="Times New Roman" w:eastAsia="Times New Roman" w:hAnsi="Times New Roman"/>
          <w:sz w:val="21"/>
          <w:szCs w:val="21"/>
          <w:color w:val="auto"/>
        </w:rPr>
        <w:t>”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188" w:lineRule="exact"/>
        <w:rPr>
          <w:rFonts w:ascii="Times New Roman" w:cs="Times New Roman" w:eastAsia="Times New Roman" w:hAnsi="Times New Roman"/>
          <w:sz w:val="21"/>
          <w:szCs w:val="21"/>
          <w:color w:val="auto"/>
        </w:rPr>
      </w:pPr>
    </w:p>
    <w:p>
      <w:pPr>
        <w:ind w:left="-224" w:right="60" w:firstLine="224"/>
        <w:spacing w:after="0" w:line="263" w:lineRule="auto"/>
        <w:tabs>
          <w:tab w:leader="none" w:pos="37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Only those executive officers of the Company (or other employees of the Company or its Subsidiaries) who (a) have been designated in writing by the Committee as participants under the Policy, and (b) have executed an acknowledgement substantially in the</w:t>
      </w:r>
    </w:p>
    <w:p>
      <w:pPr>
        <w:sectPr>
          <w:pgSz w:w="11900" w:h="16838" w:orient="portrait"/>
          <w:cols w:equalWidth="0" w:num="1">
            <w:col w:w="11016"/>
          </w:cols>
          <w:pgMar w:left="544" w:top="1416" w:right="339" w:bottom="1440" w:gutter="0" w:footer="0" w:header="0"/>
        </w:sectPr>
      </w:pPr>
    </w:p>
    <w:bookmarkStart w:id="107" w:name="page108"/>
    <w:bookmarkEnd w:id="107"/>
    <w:p>
      <w:pPr>
        <w:ind w:right="320"/>
        <w:spacing w:after="0" w:line="254" w:lineRule="auto"/>
        <w:rPr>
          <w:sz w:val="20"/>
          <w:szCs w:val="20"/>
          <w:color w:val="auto"/>
        </w:rPr>
      </w:pPr>
      <w:r>
        <w:rPr>
          <w:rFonts w:ascii="Times New Roman" w:cs="Times New Roman" w:eastAsia="Times New Roman" w:hAnsi="Times New Roman"/>
          <w:sz w:val="22"/>
          <w:szCs w:val="22"/>
          <w:color w:val="auto"/>
        </w:rPr>
        <w:t xml:space="preserve">form of the attached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Acknowledgement</w:t>
      </w:r>
      <w:r>
        <w:rPr>
          <w:rFonts w:ascii="Times New Roman" w:cs="Times New Roman" w:eastAsia="Times New Roman" w:hAnsi="Times New Roman"/>
          <w:sz w:val="22"/>
          <w:szCs w:val="22"/>
          <w:color w:val="auto"/>
        </w:rPr>
        <w:t>,” and each such person, an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shall be eligible for the Severance Payments and Benefits and other provisions of this Policy. For the avoidance of doubt, for purposes of determining those persons who will have the right to receive Severance Payments and Benefits in connection with a Change of Control pursuant to this Policy, an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shall only include such persons who were designated in writing as an Executive by the Committee and serving as an Executive immediately prior to the Change of Control.</w:t>
      </w:r>
    </w:p>
    <w:p>
      <w:pPr>
        <w:spacing w:after="0" w:line="202" w:lineRule="exact"/>
        <w:rPr>
          <w:sz w:val="20"/>
          <w:szCs w:val="20"/>
          <w:color w:val="auto"/>
        </w:rPr>
      </w:pPr>
    </w:p>
    <w:p>
      <w:pPr>
        <w:ind w:right="80" w:firstLine="224"/>
        <w:spacing w:after="0" w:line="248" w:lineRule="auto"/>
        <w:tabs>
          <w:tab w:leader="none" w:pos="5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b w:val="1"/>
          <w:bCs w:val="1"/>
          <w:u w:val="single" w:color="auto"/>
          <w:color w:val="auto"/>
        </w:rPr>
        <w:t>Section 14(d)</w:t>
      </w:r>
      <w:r>
        <w:rPr>
          <w:rFonts w:ascii="Times New Roman" w:cs="Times New Roman" w:eastAsia="Times New Roman" w:hAnsi="Times New Roman"/>
          <w:sz w:val="22"/>
          <w:szCs w:val="22"/>
          <w:color w:val="auto"/>
        </w:rPr>
        <w:t xml:space="preserve"> hereof, this Policy shall be interpreted, administered and operated by the Committee, which shall have complete authority, subject to the express provisions of this Policy, to interpret this Policy (including, without limitation, by supplying omissions from, correcting deficiencies in, or resolving inconsistencies or ambiguities in, the language of this Policy), to prescribe, amend and rescind rules and regulations relating to this Policy, to make findings (including factual findings) with respect to any issue arising under this Policy, to determine the rights and status under this Policy of Executives, beneficiaries or other persons, to resolve questions (including factual questions) or disputes arising under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208" w:lineRule="exact"/>
        <w:rPr>
          <w:rFonts w:ascii="Times New Roman" w:cs="Times New Roman" w:eastAsia="Times New Roman" w:hAnsi="Times New Roman"/>
          <w:sz w:val="22"/>
          <w:szCs w:val="22"/>
          <w:color w:val="auto"/>
        </w:rPr>
      </w:pPr>
    </w:p>
    <w:p>
      <w:pPr>
        <w:ind w:firstLine="224"/>
        <w:spacing w:after="0" w:line="256" w:lineRule="auto"/>
        <w:tabs>
          <w:tab w:leader="none" w:pos="5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 Executive’s Employment for any Reason</w:t>
      </w:r>
      <w:r>
        <w:rPr>
          <w:rFonts w:ascii="Times New Roman" w:cs="Times New Roman" w:eastAsia="Times New Roman" w:hAnsi="Times New Roman"/>
          <w:sz w:val="22"/>
          <w:szCs w:val="22"/>
          <w:color w:val="auto"/>
        </w:rPr>
        <w:t>. Subject to the terms and conditions hereof, in the event of any termination of an Executive’s employment with the Company and its Subsidiaries for any reason, including but not limited to a termination of employment by the Company and its Subsidiaries for Cause or a termination of employment as a result of voluntary resignation by the Executive without Good Reason:</w:t>
      </w:r>
    </w:p>
    <w:p>
      <w:pPr>
        <w:spacing w:after="0" w:line="203" w:lineRule="exact"/>
        <w:rPr>
          <w:rFonts w:ascii="Times New Roman" w:cs="Times New Roman" w:eastAsia="Times New Roman" w:hAnsi="Times New Roman"/>
          <w:sz w:val="22"/>
          <w:szCs w:val="22"/>
          <w:color w:val="auto"/>
        </w:rPr>
      </w:pPr>
    </w:p>
    <w:p>
      <w:pPr>
        <w:ind w:right="40" w:firstLine="440"/>
        <w:spacing w:after="0" w:line="251" w:lineRule="auto"/>
        <w:tabs>
          <w:tab w:leader="none" w:pos="88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the Accrued Obligations, payable on the dates such amounts would have been payable under the Company’s policies if the Executive’s employment had not terminated, but in no event more than 60 days after the Executive’s Date of Termination, or sooner if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portion of the Accrued Obligations that consists of Bonus, deferred compensation, incentive compensation, insurance benefits or other employee benefits shall be determined and paid in accordance with the terms of the relevant plan, policy, program or agreement as applicable to the Executive).</w:t>
      </w:r>
    </w:p>
    <w:p>
      <w:pPr>
        <w:sectPr>
          <w:pgSz w:w="11900" w:h="16838" w:orient="portrait"/>
          <w:cols w:equalWidth="0" w:num="1">
            <w:col w:w="11220"/>
          </w:cols>
          <w:pgMar w:left="320" w:top="1416" w:right="359" w:bottom="1440" w:gutter="0" w:footer="0" w:header="0"/>
        </w:sectPr>
      </w:pPr>
    </w:p>
    <w:bookmarkStart w:id="108" w:name="page109"/>
    <w:bookmarkEnd w:id="108"/>
    <w:p>
      <w:pPr>
        <w:jc w:val="both"/>
        <w:ind w:right="200" w:firstLine="440"/>
        <w:spacing w:after="0" w:line="257" w:lineRule="auto"/>
        <w:tabs>
          <w:tab w:leader="none" w:pos="8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Awards (including, for the avoidance of doubt, any options, restricted stock, restricted stock units or stock appreciation rights) held by the Executive as of the Date of Termination shall be governed by the terms and conditions of the applicable Award Agreements and Incentive Plans.</w:t>
      </w:r>
    </w:p>
    <w:p>
      <w:pPr>
        <w:spacing w:after="0" w:line="213"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22"/>
          <w:szCs w:val="22"/>
          <w:color w:val="auto"/>
        </w:rPr>
        <w:t xml:space="preserve">In the event of a termination of the Executive’s employment by the Company and its Subsidiaries for Cause or a termination of the Executive’s employment as a result of voluntary resignation by the Executive without Good Reason, the Executive shall not be entitled to receive any compensation, payments or benefits except as specified in </w:t>
      </w:r>
      <w:r>
        <w:rPr>
          <w:rFonts w:ascii="Times New Roman" w:cs="Times New Roman" w:eastAsia="Times New Roman" w:hAnsi="Times New Roman"/>
          <w:sz w:val="22"/>
          <w:szCs w:val="22"/>
          <w:b w:val="1"/>
          <w:bCs w:val="1"/>
          <w:u w:val="single" w:color="auto"/>
          <w:color w:val="auto"/>
        </w:rPr>
        <w:t>Section 5(a)-(b)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right="160" w:firstLine="224"/>
        <w:spacing w:after="0" w:line="256" w:lineRule="auto"/>
        <w:tabs>
          <w:tab w:leader="none" w:pos="5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 Executive’s Employment Due to Death or Disability</w:t>
      </w:r>
      <w:r>
        <w:rPr>
          <w:rFonts w:ascii="Times New Roman" w:cs="Times New Roman" w:eastAsia="Times New Roman" w:hAnsi="Times New Roman"/>
          <w:sz w:val="22"/>
          <w:szCs w:val="22"/>
          <w:color w:val="auto"/>
        </w:rPr>
        <w:t xml:space="preserve">. In addition to the payments and benefits set forth in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as described therein, in the event that the Executive’s employment with the Company and its Subsidiaries is terminated due to the Executive’s death or Disability, the Executive (or the Executive’s Beneficiary, as applicable) shall also be entitled to receive the following:</w:t>
      </w:r>
    </w:p>
    <w:p>
      <w:pPr>
        <w:spacing w:after="0" w:line="203" w:lineRule="exact"/>
        <w:rPr>
          <w:rFonts w:ascii="Times New Roman" w:cs="Times New Roman" w:eastAsia="Times New Roman" w:hAnsi="Times New Roman"/>
          <w:sz w:val="22"/>
          <w:szCs w:val="22"/>
          <w:color w:val="auto"/>
        </w:rPr>
      </w:pPr>
    </w:p>
    <w:p>
      <w:pPr>
        <w:ind w:firstLine="440"/>
        <w:spacing w:after="0" w:line="249" w:lineRule="auto"/>
        <w:tabs>
          <w:tab w:leader="none" w:pos="88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(or the Executive’s Beneficiary, as applicable) a pro-rated Bonus payout for the calendar year in which the Date of Termination occurs based (i) on actual performance for the full applicable performance period, and (ii) pro-rated based on the portion of the year worked (i.e., number of days employed in the year during which the Date of Termination occurs, divided by 365), payable at the same time similar Bonuses are paid to the Company’s other similarly-situated employees, but in no event later than March 15 of the calendar year following the calendar year in which the applicable performance period for such Bonus 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payment will be made if such Bonus for such performance period has previously been paid to the Executive). For the avoidance of doubt, such pro-rata Bonus will be paid without application of negative discretion uniquely applied to the Executive.</w:t>
      </w:r>
    </w:p>
    <w:p>
      <w:pPr>
        <w:spacing w:after="0" w:line="208" w:lineRule="exact"/>
        <w:rPr>
          <w:rFonts w:ascii="Times New Roman" w:cs="Times New Roman" w:eastAsia="Times New Roman" w:hAnsi="Times New Roman"/>
          <w:sz w:val="22"/>
          <w:szCs w:val="22"/>
          <w:color w:val="auto"/>
        </w:rPr>
      </w:pPr>
    </w:p>
    <w:p>
      <w:pPr>
        <w:ind w:right="160" w:firstLine="440"/>
        <w:spacing w:after="0" w:line="253" w:lineRule="auto"/>
        <w:tabs>
          <w:tab w:leader="none" w:pos="9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participated in the Company’s medical plan immediately prior to the Date of Termination, an amount equal to the estimated cost of continuation coverage for the Executive and the Executive’s covered family members under the Company’s medical plan pursuant to COBRA for a number of months equal to the product of (i) 12, multiplied by (ii) the Executive’s Non-CIC Severance Factor. This amount will be payable in a lump sum on the next regularly administered pay period following the effectiveness of the applicable Release.</w:t>
      </w:r>
    </w:p>
    <w:p>
      <w:pPr>
        <w:spacing w:after="0" w:line="205" w:lineRule="exact"/>
        <w:rPr>
          <w:rFonts w:ascii="Times New Roman" w:cs="Times New Roman" w:eastAsia="Times New Roman" w:hAnsi="Times New Roman"/>
          <w:sz w:val="22"/>
          <w:szCs w:val="22"/>
          <w:color w:val="auto"/>
        </w:rPr>
      </w:pPr>
    </w:p>
    <w:p>
      <w:pPr>
        <w:ind w:right="200" w:firstLine="440"/>
        <w:spacing w:after="0" w:line="284" w:lineRule="auto"/>
        <w:tabs>
          <w:tab w:leader="none" w:pos="88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in no event shall an Executive’s employment be deemed to have been terminated without Cause or for Good Reason for purposes of this Policy as a result of the Executive’s death or Disability.</w:t>
      </w:r>
    </w:p>
    <w:p>
      <w:pPr>
        <w:spacing w:after="0" w:line="170" w:lineRule="exact"/>
        <w:rPr>
          <w:rFonts w:ascii="Times New Roman" w:cs="Times New Roman" w:eastAsia="Times New Roman" w:hAnsi="Times New Roman"/>
          <w:sz w:val="22"/>
          <w:szCs w:val="22"/>
          <w:color w:val="auto"/>
        </w:rPr>
      </w:pPr>
    </w:p>
    <w:p>
      <w:pPr>
        <w:ind w:right="40" w:firstLine="224"/>
        <w:spacing w:after="0" w:line="252" w:lineRule="auto"/>
        <w:tabs>
          <w:tab w:leader="none" w:pos="5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 Executive’s Employment by the Company Without Cause or by the Executive for Good Reason</w:t>
      </w:r>
      <w:r>
        <w:rPr>
          <w:rFonts w:ascii="Times New Roman" w:cs="Times New Roman" w:eastAsia="Times New Roman" w:hAnsi="Times New Roman"/>
          <w:sz w:val="22"/>
          <w:szCs w:val="22"/>
          <w:color w:val="auto"/>
        </w:rPr>
        <w:t xml:space="preserve">. In addition to the payments and benefits set forth in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as described therein, in the event the Executive’s employment with the Company and its Subsidiaries is terminated either by the Company and its Subsidiaries without Cause or by the Executive for Good Reason (and the provisions of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xml:space="preserve"> do not apply), the Executive shall also be entitled to receive the following:</w:t>
      </w:r>
    </w:p>
    <w:p>
      <w:pPr>
        <w:sectPr>
          <w:pgSz w:w="11900" w:h="16838" w:orient="portrait"/>
          <w:cols w:equalWidth="0" w:num="1">
            <w:col w:w="11220"/>
          </w:cols>
          <w:pgMar w:left="320" w:top="1422" w:right="359" w:bottom="1440" w:gutter="0" w:footer="0" w:header="0"/>
        </w:sectPr>
      </w:pPr>
    </w:p>
    <w:bookmarkStart w:id="109" w:name="page110"/>
    <w:bookmarkEnd w:id="109"/>
    <w:p>
      <w:pPr>
        <w:spacing w:after="0" w:line="225" w:lineRule="exact"/>
        <w:rPr>
          <w:sz w:val="20"/>
          <w:szCs w:val="20"/>
          <w:color w:val="auto"/>
        </w:rPr>
      </w:pPr>
    </w:p>
    <w:p>
      <w:pPr>
        <w:ind w:left="-224" w:right="20" w:firstLine="440"/>
        <w:spacing w:after="0" w:line="256" w:lineRule="auto"/>
        <w:tabs>
          <w:tab w:leader="none" w:pos="65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product of (i) the Executive’s Non-CIC Severance Factor times (ii) the Executive’s annual base salary rate as of the Date of Termination, which amount will be payable in equal installments over a number of months equal to the product of (i) 12, multiplied by (ii) the Executive’s Non-CIC Severance Factor in accordance with the Company’s normal payroll practices starting on the first payroll period following the effectiveness of the applicable Release.</w:t>
      </w:r>
    </w:p>
    <w:p>
      <w:pPr>
        <w:spacing w:after="0" w:line="203" w:lineRule="exact"/>
        <w:rPr>
          <w:rFonts w:ascii="Times New Roman" w:cs="Times New Roman" w:eastAsia="Times New Roman" w:hAnsi="Times New Roman"/>
          <w:sz w:val="22"/>
          <w:szCs w:val="22"/>
          <w:color w:val="auto"/>
        </w:rPr>
      </w:pPr>
    </w:p>
    <w:p>
      <w:pPr>
        <w:ind w:left="-224" w:right="140" w:firstLine="440"/>
        <w:spacing w:after="0" w:line="253" w:lineRule="auto"/>
        <w:tabs>
          <w:tab w:leader="none" w:pos="676"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participated in the Company’s medical plan immediately prior to the Date of Termination, an amount equal to the estimated cost of continuation coverage for the Executive and the Executive’s covered family members under the Company’s medical plan pursuant to COBRA for a number of months equal to the product of (i) 12, multiplied by (ii) the Executive’s Non-CIC Severance Factor. This amount will be payable in a lump sum on the next regularly administered pay period following the effectiveness of the applicable Release.</w:t>
      </w:r>
    </w:p>
    <w:p>
      <w:pPr>
        <w:spacing w:after="0" w:line="205" w:lineRule="exact"/>
        <w:rPr>
          <w:rFonts w:ascii="Times New Roman" w:cs="Times New Roman" w:eastAsia="Times New Roman" w:hAnsi="Times New Roman"/>
          <w:sz w:val="22"/>
          <w:szCs w:val="22"/>
          <w:color w:val="auto"/>
        </w:rPr>
      </w:pPr>
    </w:p>
    <w:p>
      <w:pPr>
        <w:ind w:left="-224" w:firstLine="440"/>
        <w:spacing w:after="0" w:line="249" w:lineRule="auto"/>
        <w:tabs>
          <w:tab w:leader="none" w:pos="6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pro-rated Bonus payout for the calendar year in which the Date of Termination occurs based (i) on actual performance for the full applicable performance period, and (ii) pro-rated based on the portion of the year worked (i.e., number of days employed in the year during which the Date of Termination occurs, divided by 365), payable at the same time similar Bonuses are paid to the Company’s other similarly-situated employees, but in no event later than March 15 of the calendar year following the calendar year in which the applicable performance period for such Bonus 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payment will be made if such Bonus for such performance period has previously been paid to the Executive). For the avoidance of doubt, such pro-rata Bonus will be paid without application of negative discretion uniquely applied to the Executive.</w:t>
      </w:r>
    </w:p>
    <w:p>
      <w:pPr>
        <w:spacing w:after="0" w:line="208" w:lineRule="exact"/>
        <w:rPr>
          <w:rFonts w:ascii="Times New Roman" w:cs="Times New Roman" w:eastAsia="Times New Roman" w:hAnsi="Times New Roman"/>
          <w:sz w:val="22"/>
          <w:szCs w:val="22"/>
          <w:color w:val="auto"/>
        </w:rPr>
      </w:pPr>
    </w:p>
    <w:p>
      <w:pPr>
        <w:ind w:left="-224" w:right="40" w:firstLine="224"/>
        <w:spacing w:after="0" w:line="256" w:lineRule="auto"/>
        <w:tabs>
          <w:tab w:leader="none" w:pos="37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Terminations</w:t>
      </w:r>
      <w:r>
        <w:rPr>
          <w:rFonts w:ascii="Times New Roman" w:cs="Times New Roman" w:eastAsia="Times New Roman" w:hAnsi="Times New Roman"/>
          <w:sz w:val="22"/>
          <w:szCs w:val="22"/>
          <w:color w:val="auto"/>
        </w:rPr>
        <w:t>. If, within the two-year period following a Change of Control, an Executive’s employment with the Company and its Subsidiaries is terminated by the Company and its Subsidiaries without Cause or by the Executive for Good Reason (a “</w:t>
      </w:r>
      <w:r>
        <w:rPr>
          <w:rFonts w:ascii="Times New Roman" w:cs="Times New Roman" w:eastAsia="Times New Roman" w:hAnsi="Times New Roman"/>
          <w:sz w:val="22"/>
          <w:szCs w:val="22"/>
          <w:b w:val="1"/>
          <w:bCs w:val="1"/>
          <w:i w:val="1"/>
          <w:iCs w:val="1"/>
          <w:color w:val="auto"/>
        </w:rPr>
        <w:t>Qualifying CIC Termination</w:t>
      </w:r>
      <w:r>
        <w:rPr>
          <w:rFonts w:ascii="Times New Roman" w:cs="Times New Roman" w:eastAsia="Times New Roman" w:hAnsi="Times New Roman"/>
          <w:sz w:val="22"/>
          <w:szCs w:val="22"/>
          <w:color w:val="auto"/>
        </w:rPr>
        <w:t xml:space="preserve">”), then, in lieu of the amounts and benefits under </w:t>
      </w:r>
      <w:r>
        <w:rPr>
          <w:rFonts w:ascii="Times New Roman" w:cs="Times New Roman" w:eastAsia="Times New Roman" w:hAnsi="Times New Roman"/>
          <w:sz w:val="22"/>
          <w:szCs w:val="22"/>
          <w:b w:val="1"/>
          <w:bCs w:val="1"/>
          <w:u w:val="single" w:color="auto"/>
          <w:color w:val="auto"/>
        </w:rPr>
        <w:t>Section 7(a)-7(c)</w:t>
      </w:r>
      <w:r>
        <w:rPr>
          <w:rFonts w:ascii="Times New Roman" w:cs="Times New Roman" w:eastAsia="Times New Roman" w:hAnsi="Times New Roman"/>
          <w:sz w:val="22"/>
          <w:szCs w:val="22"/>
          <w:color w:val="auto"/>
        </w:rPr>
        <w:t xml:space="preserve"> (but in addition to the Accrued Obligations under </w:t>
      </w:r>
      <w:r>
        <w:rPr>
          <w:rFonts w:ascii="Times New Roman" w:cs="Times New Roman" w:eastAsia="Times New Roman" w:hAnsi="Times New Roman"/>
          <w:sz w:val="22"/>
          <w:szCs w:val="22"/>
          <w:b w:val="1"/>
          <w:bCs w:val="1"/>
          <w:u w:val="single" w:color="auto"/>
          <w:color w:val="auto"/>
        </w:rPr>
        <w:t>Section 5(a)</w:t>
      </w:r>
      <w:r>
        <w:rPr>
          <w:rFonts w:ascii="Times New Roman" w:cs="Times New Roman" w:eastAsia="Times New Roman" w:hAnsi="Times New Roman"/>
          <w:sz w:val="22"/>
          <w:szCs w:val="22"/>
          <w:color w:val="auto"/>
        </w:rPr>
        <w:t>), the Executive shall be entitled to:</w:t>
      </w:r>
    </w:p>
    <w:p>
      <w:pPr>
        <w:spacing w:after="0" w:line="176" w:lineRule="exact"/>
        <w:rPr>
          <w:rFonts w:ascii="Times New Roman" w:cs="Times New Roman" w:eastAsia="Times New Roman" w:hAnsi="Times New Roman"/>
          <w:sz w:val="22"/>
          <w:szCs w:val="22"/>
          <w:color w:val="auto"/>
        </w:rPr>
      </w:pPr>
    </w:p>
    <w:p>
      <w:pPr>
        <w:ind w:left="-224" w:firstLine="1304"/>
        <w:spacing w:after="0" w:line="251" w:lineRule="auto"/>
        <w:tabs>
          <w:tab w:leader="none" w:pos="1516"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cash payment in an amount equal to the product of (i) the Executive’s CIC Severance Factor multiplied by (ii) the sum of (A) the Executive’s annual base salary rate (at the higher of the rate in effect immediately prior to the Change of Control or the Date of Termination), plus (B) the Executive’s target annual Bonus for the year in which the Date of Termination occurs (at the higher of target immediately prior to the Change of Control or the Date of Termination). Such lump sum shall be paid on the first regular payroll date following the Release becoming effective and irrevocable, subject to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13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224" w:firstLine="1304"/>
        <w:spacing w:after="0" w:line="256" w:lineRule="auto"/>
        <w:tabs>
          <w:tab w:leader="none" w:pos="1536"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pro-rated Bonus payout for the calendar year in which the Date of Termination occurs based (i) on the greater of target or actual performance for the full applicable performance period (if determinable), and (ii) pro-rated based on the portion of the year worked (i.e., number of days employed in the year during which the</w:t>
      </w:r>
    </w:p>
    <w:p>
      <w:pPr>
        <w:sectPr>
          <w:pgSz w:w="11900" w:h="16838" w:orient="portrait"/>
          <w:cols w:equalWidth="0" w:num="1">
            <w:col w:w="10976"/>
          </w:cols>
          <w:pgMar w:left="544" w:top="1440" w:right="379" w:bottom="1440" w:gutter="0" w:footer="0" w:header="0"/>
        </w:sectPr>
      </w:pPr>
    </w:p>
    <w:bookmarkStart w:id="110" w:name="page111"/>
    <w:bookmarkEnd w:id="110"/>
    <w:p>
      <w:pPr>
        <w:spacing w:after="0" w:line="253" w:lineRule="auto"/>
        <w:rPr>
          <w:sz w:val="20"/>
          <w:szCs w:val="20"/>
          <w:color w:val="auto"/>
        </w:rPr>
      </w:pPr>
      <w:r>
        <w:rPr>
          <w:rFonts w:ascii="Times New Roman" w:cs="Times New Roman" w:eastAsia="Times New Roman" w:hAnsi="Times New Roman"/>
          <w:sz w:val="22"/>
          <w:szCs w:val="22"/>
          <w:color w:val="auto"/>
        </w:rPr>
        <w:t>Date of Termination occurs, divided by 365), payable at the same time similar Bonuses are paid to the Company’s other similarly-situated employees, but in no event later than March 15 of the calendar year following the calendar year in which the applicable performance period for such Bonus ends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payment will be made if such Bonus for such performance period has previously been paid to the Executive). For the avoidance of doubt, such pro-rata Bonus will be paid without application of negative discretion uniquely applied to the Executive.</w:t>
      </w:r>
    </w:p>
    <w:p>
      <w:pPr>
        <w:spacing w:after="0" w:line="179" w:lineRule="exact"/>
        <w:rPr>
          <w:sz w:val="20"/>
          <w:szCs w:val="20"/>
          <w:color w:val="auto"/>
        </w:rPr>
      </w:pPr>
    </w:p>
    <w:p>
      <w:pPr>
        <w:ind w:firstLine="1304"/>
        <w:spacing w:after="0" w:line="253" w:lineRule="auto"/>
        <w:tabs>
          <w:tab w:leader="none" w:pos="1752"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participated in the Company’s medical plan immediately prior to the Date of Termination, an amount equal to the estimated cost of continuation coverage for the Executive and the Executive’s covered family members under the Company’s medical plan pursuant to COBRA for a number of months equal to the product of (i) 12, multiplied by (ii) the Executive’s CIC Severance Factor. This amount will be payable in a lump sum within five business days following the effectiveness of the applicable Release.</w:t>
      </w:r>
    </w:p>
    <w:p>
      <w:pPr>
        <w:spacing w:after="0" w:line="178" w:lineRule="exact"/>
        <w:rPr>
          <w:rFonts w:ascii="Times New Roman" w:cs="Times New Roman" w:eastAsia="Times New Roman" w:hAnsi="Times New Roman"/>
          <w:sz w:val="22"/>
          <w:szCs w:val="22"/>
          <w:color w:val="auto"/>
        </w:rPr>
      </w:pPr>
    </w:p>
    <w:p>
      <w:pPr>
        <w:ind w:right="20" w:firstLine="1304"/>
        <w:spacing w:after="0" w:line="252" w:lineRule="auto"/>
        <w:tabs>
          <w:tab w:leader="none" w:pos="176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Third-party outplacement services suitable to the Executive’s position and level for a period ending on the earlier of (i) December 31 of the second calendar year following the Date of Termination or (ii) the Executive’s acceptance of other full-time employment, up to an aggregate cost not to exceed $30,000, payable or reimbursed by the Company in accordance with </w:t>
      </w: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Reduction of Payments by the Company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0" w:firstLine="440"/>
        <w:spacing w:after="0" w:line="247" w:lineRule="auto"/>
        <w:tabs>
          <w:tab w:leader="none" w:pos="88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Policy to the contrary, in the event that any payment or distribution by the Company to the Executive or for the Executive’s benefit (whether paid or payable or distributed or distributable pursuant to the terms of this Policy or otherwise) (the “</w:t>
      </w:r>
      <w:r>
        <w:rPr>
          <w:rFonts w:ascii="Times New Roman" w:cs="Times New Roman" w:eastAsia="Times New Roman" w:hAnsi="Times New Roman"/>
          <w:sz w:val="22"/>
          <w:szCs w:val="22"/>
          <w:b w:val="1"/>
          <w:bCs w:val="1"/>
          <w:i w:val="1"/>
          <w:iCs w:val="1"/>
          <w:color w:val="auto"/>
        </w:rPr>
        <w:t>Total Payments</w:t>
      </w:r>
      <w:r>
        <w:rPr>
          <w:rFonts w:ascii="Times New Roman" w:cs="Times New Roman" w:eastAsia="Times New Roman" w:hAnsi="Times New Roman"/>
          <w:sz w:val="22"/>
          <w:szCs w:val="22"/>
          <w:color w:val="auto"/>
        </w:rPr>
        <w:t>”) would be subject to the excise tax imposed by Section 4999 of the Code (or any successor provision thereto) by reason of being considered “contingent on a change in ownership or control” of the Company within the meaning of Section 280G of the Code (or any successor provision thereto) or to any similar tax imposed by state or local law, or any interest or penalties are incurred by the Executive with respect to such tax (such tax or taxes, together with any such interest and penalties, being hereafter collectively referred to as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the Total Payments shall be reduced to the minimum extent necessary so that no amount of the Total Payments is subject to the Excise Tax (such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Total Payments shall not be so reduced if a nationally recognized accounting firm or other tax professional selected by the Company (the “</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determines that, without such reduction, the Executive would be entitled to receive and retain, on a net after-tax basis (including, without limitation, any excise taxes payable under Section 4999 of the Code, federal, state, and local income taxes, social security and Medicare taxes and all other applicable taxes, determined by applying the highest marginal income tax rate applicable to individuals under the Code in the calendar year in which the Change in Control occurs, and state and local income taxes at the highest marginal rate of taxation in the state and locality of the Executive’s residence on the effective date of the Change in Control, net of the maximum reduction in federal income taxes which could be obtained from deduction of such state and local taxes, taking into account the reduction in itemized deduction under Section 68 of</w:t>
      </w:r>
    </w:p>
    <w:p>
      <w:pPr>
        <w:sectPr>
          <w:pgSz w:w="11900" w:h="16838" w:orient="portrait"/>
          <w:cols w:equalWidth="0" w:num="1">
            <w:col w:w="11240"/>
          </w:cols>
          <w:pgMar w:left="320" w:top="1422" w:right="339" w:bottom="1440" w:gutter="0" w:footer="0" w:header="0"/>
        </w:sectPr>
      </w:pPr>
    </w:p>
    <w:bookmarkStart w:id="111" w:name="page112"/>
    <w:bookmarkEnd w:id="111"/>
    <w:p>
      <w:pPr>
        <w:ind w:right="60"/>
        <w:spacing w:after="0" w:line="271" w:lineRule="auto"/>
        <w:rPr>
          <w:sz w:val="20"/>
          <w:szCs w:val="20"/>
          <w:color w:val="auto"/>
        </w:rPr>
      </w:pPr>
      <w:r>
        <w:rPr>
          <w:rFonts w:ascii="Times New Roman" w:cs="Times New Roman" w:eastAsia="Times New Roman" w:hAnsi="Times New Roman"/>
          <w:sz w:val="22"/>
          <w:szCs w:val="22"/>
          <w:color w:val="auto"/>
        </w:rPr>
        <w:t>the Code), an amount that is greater than the amount, on a net after-tax basis (determined in the same manner), that the Executive would be entitled to retain upon receipt of the Reduced Amount.</w:t>
      </w:r>
    </w:p>
    <w:p>
      <w:pPr>
        <w:spacing w:after="0" w:line="181" w:lineRule="exact"/>
        <w:rPr>
          <w:sz w:val="20"/>
          <w:szCs w:val="20"/>
          <w:color w:val="auto"/>
        </w:rPr>
      </w:pPr>
    </w:p>
    <w:p>
      <w:pPr>
        <w:ind w:firstLine="440"/>
        <w:spacing w:after="0" w:line="259" w:lineRule="auto"/>
        <w:tabs>
          <w:tab w:leader="none" w:pos="9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Company and the Executive otherwise agree in writing, any determination required under this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xml:space="preserve"> shall be made in good faith by the Accounting Firm in a timely manner and shall be binding on the parties absent manifest error. The Accounting Firm shall provide detailed supporting calculations both to the Company and the Executive. Fees and expenses of the Accounting Firm and any other advisers retained by the Company to assist the Accounting Firm shall be borne solely by the Company. The fact that the Executive’s right to payments or benefits may be reduced by reason of the limitations contained in this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xml:space="preserve"> will not of itself limit or otherwise affect any other rights of the Executive other than pursuant to this Policy. In the event that any payment or benefit intended to be provided under this Policy or otherwise is required to be reduced pursuant to this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the Company will reduce the Executive’s payment and/or benefits, to the extent required, in the following order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each case, only the portion thereof, if any, that has been determined by the Accounting Firm to be an “</w:t>
      </w:r>
      <w:r>
        <w:rPr>
          <w:rFonts w:ascii="Times New Roman" w:cs="Times New Roman" w:eastAsia="Times New Roman" w:hAnsi="Times New Roman"/>
          <w:sz w:val="21"/>
          <w:szCs w:val="21"/>
          <w:b w:val="1"/>
          <w:bCs w:val="1"/>
          <w:i w:val="1"/>
          <w:iCs w:val="1"/>
          <w:color w:val="auto"/>
        </w:rPr>
        <w:t>Excess Parachute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within the meaning of Section 280G of the Code): (i) the outplacement services; (ii) the lump sum cash severance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payments and pro-rata Bonus payments; (iii) payments (including any acceleration of vesting or payments) under equity incentive awards where the full amount of such payments is treated as a parachute payment under the regulations under Section 280G of the Code; and (iv) payments (including any acceleration of vesting or payments) under equity incentive awards where less than the full amount of such payments is treated as a parachute payment under the regulations under Section 280G of the Code. Within any category of payments and benefits: (A) a reduction will occur first with respect to amounts that are not nonqualified deferred compensation within the meaning of Code Section 409A and then with respect to amounts that are; and (B) the payment and/or benefit amounts (including the acceleration of vesting or payments) to be reduced, if applicable, shall be reduced in the inverse order of their originally scheduled dates of payment or vesting, as applicable. The Company and the Executive shall furnish to the Accounting Firm such information and documents as the Accounting Firm may reasonably require in order to make a determination under this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The Company and the Executive shall cooperate with the Executive in good faith in valuing, and the Company shall retain an adviser (which may be the Accounting Firm) to value, services to be provided by the Executive (including the Executive refraining from performing services pursuant to a covenant not to compete) before, on or after the date of the transaction which causes the application of Section 280G of the Code such that Total Payments in respect of such services may be considered to be “reasonable compensation” within the meaning of the regulations under Section 280G of the Code.</w:t>
      </w:r>
    </w:p>
    <w:p>
      <w:pPr>
        <w:spacing w:after="0" w:line="216" w:lineRule="exact"/>
        <w:rPr>
          <w:rFonts w:ascii="Times New Roman" w:cs="Times New Roman" w:eastAsia="Times New Roman" w:hAnsi="Times New Roman"/>
          <w:sz w:val="21"/>
          <w:szCs w:val="21"/>
          <w:color w:val="auto"/>
        </w:rPr>
      </w:pPr>
    </w:p>
    <w:p>
      <w:pPr>
        <w:ind w:right="260" w:firstLine="440"/>
        <w:spacing w:after="0" w:line="253" w:lineRule="auto"/>
        <w:tabs>
          <w:tab w:leader="none" w:pos="8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Accounting Firm determines that no Excise Tax is payable by the Executive, it, at the request of the Executive, shall furnish the Executive with a written opinion that failure to report the Excise Tax on the Executive’s applicable federal income tax return would not result in the imposition of a negligence or similar penalty. Any good faith determination by the Accounting Firm shall be binding upon the Company and the Executive. As a result of the uncertainty in the application of Section 4999 of the Code at the time of the initial determination by the Accounting Firm hereunder:</w:t>
      </w:r>
    </w:p>
    <w:p>
      <w:pPr>
        <w:sectPr>
          <w:pgSz w:w="11900" w:h="16838" w:orient="portrait"/>
          <w:cols w:equalWidth="0" w:num="1">
            <w:col w:w="11240"/>
          </w:cols>
          <w:pgMar w:left="320" w:top="1422" w:right="339" w:bottom="1440" w:gutter="0" w:footer="0" w:header="0"/>
        </w:sectPr>
      </w:pPr>
    </w:p>
    <w:bookmarkStart w:id="112" w:name="page113"/>
    <w:bookmarkEnd w:id="112"/>
    <w:p>
      <w:pPr>
        <w:spacing w:after="0" w:line="225" w:lineRule="exact"/>
        <w:rPr>
          <w:sz w:val="20"/>
          <w:szCs w:val="20"/>
          <w:color w:val="auto"/>
        </w:rPr>
      </w:pPr>
    </w:p>
    <w:p>
      <w:pPr>
        <w:ind w:left="-224" w:right="100" w:firstLine="656"/>
        <w:spacing w:after="0" w:line="253" w:lineRule="auto"/>
        <w:tabs>
          <w:tab w:leader="none" w:pos="844"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possible that amounts will have been paid or distributed by the Company to the Executive that should not have been so paid or distributed (each, an “</w:t>
      </w:r>
      <w:r>
        <w:rPr>
          <w:rFonts w:ascii="Times New Roman" w:cs="Times New Roman" w:eastAsia="Times New Roman" w:hAnsi="Times New Roman"/>
          <w:sz w:val="22"/>
          <w:szCs w:val="22"/>
          <w:b w:val="1"/>
          <w:bCs w:val="1"/>
          <w:i w:val="1"/>
          <w:iCs w:val="1"/>
          <w:color w:val="auto"/>
        </w:rPr>
        <w:t>Overpayment</w:t>
      </w:r>
      <w:r>
        <w:rPr>
          <w:rFonts w:ascii="Times New Roman" w:cs="Times New Roman" w:eastAsia="Times New Roman" w:hAnsi="Times New Roman"/>
          <w:sz w:val="22"/>
          <w:szCs w:val="22"/>
          <w:color w:val="auto"/>
        </w:rPr>
        <w:t>”). In the event that the Accounting Firm, based on the assertion of a deficiency by the Internal Revenue Service against either the Company or the Executive, determines that an Overpayment has occurred, then the Executive shall pay to the Company the minimum amount required, as determined by the Accounting Firm, to avoid any Excise Tax; and</w:t>
      </w:r>
    </w:p>
    <w:p>
      <w:pPr>
        <w:spacing w:after="0" w:line="205" w:lineRule="exact"/>
        <w:rPr>
          <w:rFonts w:ascii="Times New Roman" w:cs="Times New Roman" w:eastAsia="Times New Roman" w:hAnsi="Times New Roman"/>
          <w:sz w:val="22"/>
          <w:szCs w:val="22"/>
          <w:color w:val="auto"/>
        </w:rPr>
      </w:pPr>
    </w:p>
    <w:p>
      <w:pPr>
        <w:ind w:left="-224" w:right="20" w:firstLine="656"/>
        <w:spacing w:after="0" w:line="268" w:lineRule="auto"/>
        <w:tabs>
          <w:tab w:leader="none" w:pos="904"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also possible that amounts which will not have been paid or distributed by the Company could have been paid or distributed to the Executive (each, an “</w:t>
      </w:r>
      <w:r>
        <w:rPr>
          <w:rFonts w:ascii="Times New Roman" w:cs="Times New Roman" w:eastAsia="Times New Roman" w:hAnsi="Times New Roman"/>
          <w:sz w:val="21"/>
          <w:szCs w:val="21"/>
          <w:b w:val="1"/>
          <w:bCs w:val="1"/>
          <w:i w:val="1"/>
          <w:iCs w:val="1"/>
          <w:color w:val="auto"/>
        </w:rPr>
        <w:t>Underpayment</w:t>
      </w:r>
      <w:r>
        <w:rPr>
          <w:rFonts w:ascii="Times New Roman" w:cs="Times New Roman" w:eastAsia="Times New Roman" w:hAnsi="Times New Roman"/>
          <w:sz w:val="21"/>
          <w:szCs w:val="21"/>
          <w:color w:val="auto"/>
        </w:rPr>
        <w:t xml:space="preserve">”), consistent with calculations required to be made under this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In the event that a determination is made by the Accounting Firm (based upon controlling precedent or substantial authority) that an Underpayment has occurred, any such Underpayment shall be promptly paid by the Company to the Executive, together with interest at the applicable federal rate from the date such amount would have been paid to the Executive until the date of payment.</w:t>
      </w:r>
    </w:p>
    <w:p>
      <w:pPr>
        <w:spacing w:after="0" w:line="190" w:lineRule="exact"/>
        <w:rPr>
          <w:rFonts w:ascii="Times New Roman" w:cs="Times New Roman" w:eastAsia="Times New Roman" w:hAnsi="Times New Roman"/>
          <w:sz w:val="21"/>
          <w:szCs w:val="21"/>
          <w:color w:val="auto"/>
        </w:rPr>
      </w:pPr>
    </w:p>
    <w:p>
      <w:pPr>
        <w:ind w:left="-224" w:right="100" w:firstLine="440"/>
        <w:spacing w:after="0" w:line="251" w:lineRule="auto"/>
        <w:tabs>
          <w:tab w:leader="none" w:pos="67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notify the Company in writing of any claim by the Internal Revenue Service that, if successful, would require the Executive to pay an Excise Tax. Such notification shall be given as soon as practicable but no later than 15 business days after the Executive is informed in writing of such claim and shall apprise the Company of the nature of such claim and the date on which such claim is requested to be paid. The Executive shall not pay such claim prior to the expiration of the 30 day period following the date on which the Executive gives such notice to the Company (or such shorter period ending on the date that any payment of taxes with respect to such claim is due).</w:t>
      </w:r>
    </w:p>
    <w:p>
      <w:pPr>
        <w:spacing w:after="0" w:line="208" w:lineRule="exact"/>
        <w:rPr>
          <w:rFonts w:ascii="Times New Roman" w:cs="Times New Roman" w:eastAsia="Times New Roman" w:hAnsi="Times New Roman"/>
          <w:sz w:val="22"/>
          <w:szCs w:val="22"/>
          <w:color w:val="auto"/>
        </w:rPr>
      </w:pPr>
    </w:p>
    <w:p>
      <w:pPr>
        <w:ind w:left="496" w:hanging="496"/>
        <w:spacing w:after="0"/>
        <w:tabs>
          <w:tab w:leader="none" w:pos="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 Payments and Benefits; Forfeiture and Repayment Obligations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24" w:right="160" w:firstLine="440"/>
        <w:spacing w:after="0" w:line="295" w:lineRule="auto"/>
        <w:tabs>
          <w:tab w:leader="none" w:pos="66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Receipt of Payments; Executive Obligations</w:t>
      </w:r>
      <w:r>
        <w:rPr>
          <w:rFonts w:ascii="Times New Roman" w:cs="Times New Roman" w:eastAsia="Times New Roman" w:hAnsi="Times New Roman"/>
          <w:sz w:val="21"/>
          <w:szCs w:val="21"/>
          <w:color w:val="auto"/>
        </w:rPr>
        <w:t>. The following requirements must be met by the Executive as a condition to the right to receive, continue to receive, or retain any Severance Payments and Benefits under this Policy:</w:t>
      </w:r>
    </w:p>
    <w:p>
      <w:pPr>
        <w:spacing w:after="0" w:line="175" w:lineRule="exact"/>
        <w:rPr>
          <w:rFonts w:ascii="Times New Roman" w:cs="Times New Roman" w:eastAsia="Times New Roman" w:hAnsi="Times New Roman"/>
          <w:sz w:val="21"/>
          <w:szCs w:val="21"/>
          <w:color w:val="auto"/>
        </w:rPr>
      </w:pPr>
    </w:p>
    <w:p>
      <w:pPr>
        <w:ind w:left="436" w:hanging="4"/>
        <w:spacing w:after="0" w:line="247" w:lineRule="auto"/>
        <w:tabs>
          <w:tab w:leader="none" w:pos="85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enter into a non-competition and confidentiality agreement, in a form acceptable to the Company, providing for restrictions on certain actions by the Executive for the two-year period after the Date of Termination or such other time period as may be set forth in a written agreement between the Executive and the Company. Notwithstanding anything in this Policy or otherwise to the contrary, nothing in this Policy or otherwise (A) limits the Executive’s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or (B) prevents the Executive from providing, without prior notice to the Company, information (including documents) to governmental authorities regarding possible legal violations or otherwise testifying or participating in any investigation or proceeding by</w:t>
      </w:r>
    </w:p>
    <w:p>
      <w:pPr>
        <w:sectPr>
          <w:pgSz w:w="11900" w:h="16838" w:orient="portrait"/>
          <w:cols w:equalWidth="0" w:num="1">
            <w:col w:w="11016"/>
          </w:cols>
          <w:pgMar w:left="544" w:top="1440" w:right="339" w:bottom="1440" w:gutter="0" w:footer="0" w:header="0"/>
        </w:sectPr>
      </w:pPr>
    </w:p>
    <w:bookmarkStart w:id="113" w:name="page114"/>
    <w:bookmarkEnd w:id="113"/>
    <w:p>
      <w:pPr>
        <w:ind w:left="660" w:right="120"/>
        <w:spacing w:after="0" w:line="256" w:lineRule="auto"/>
        <w:rPr>
          <w:sz w:val="20"/>
          <w:szCs w:val="20"/>
          <w:color w:val="auto"/>
        </w:rPr>
      </w:pPr>
      <w:r>
        <w:rPr>
          <w:rFonts w:ascii="Times New Roman" w:cs="Times New Roman" w:eastAsia="Times New Roman" w:hAnsi="Times New Roman"/>
          <w:sz w:val="22"/>
          <w:szCs w:val="22"/>
          <w:color w:val="auto"/>
        </w:rPr>
        <w:t>any governmental authorities regarding possible legal violations, and for purpose of clarity, no Executive is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spacing w:after="0" w:line="203" w:lineRule="exact"/>
        <w:rPr>
          <w:sz w:val="20"/>
          <w:szCs w:val="20"/>
          <w:color w:val="auto"/>
        </w:rPr>
      </w:pPr>
    </w:p>
    <w:p>
      <w:pPr>
        <w:ind w:left="660" w:right="220" w:hanging="4"/>
        <w:spacing w:after="0" w:line="253" w:lineRule="auto"/>
        <w:tabs>
          <w:tab w:leader="none" w:pos="11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 providing information and meeting and consulting with members of management of, other representatives of, or counsel to, the Company, as reasonably requested.</w:t>
      </w:r>
    </w:p>
    <w:p>
      <w:pPr>
        <w:spacing w:after="0" w:line="205" w:lineRule="exact"/>
        <w:rPr>
          <w:rFonts w:ascii="Times New Roman" w:cs="Times New Roman" w:eastAsia="Times New Roman" w:hAnsi="Times New Roman"/>
          <w:sz w:val="22"/>
          <w:szCs w:val="22"/>
          <w:color w:val="auto"/>
        </w:rPr>
      </w:pPr>
    </w:p>
    <w:p>
      <w:pPr>
        <w:ind w:left="660" w:hanging="4"/>
        <w:spacing w:after="0" w:line="252" w:lineRule="auto"/>
        <w:tabs>
          <w:tab w:leader="none" w:pos="12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Company to do so, the Executive shall provide up to 10 hours per calendar month of consulting services to the Company as reasonably requested by the Company, at such times and places as shall be mutually agreeable to the Company and the Executive, and subject to the Company reimbursing Executive for his reasonable expenses in providing such consulting services.</w:t>
      </w:r>
    </w:p>
    <w:p>
      <w:pPr>
        <w:spacing w:after="0" w:line="206" w:lineRule="exact"/>
        <w:rPr>
          <w:rFonts w:ascii="Times New Roman" w:cs="Times New Roman" w:eastAsia="Times New Roman" w:hAnsi="Times New Roman"/>
          <w:sz w:val="22"/>
          <w:szCs w:val="22"/>
          <w:color w:val="auto"/>
        </w:rPr>
      </w:pPr>
    </w:p>
    <w:p>
      <w:pPr>
        <w:ind w:left="660" w:right="580" w:hanging="4"/>
        <w:spacing w:after="0" w:line="263" w:lineRule="auto"/>
        <w:tabs>
          <w:tab w:leader="none" w:pos="118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(nor shall have), during the period of employment, engage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194"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22"/>
          <w:szCs w:val="22"/>
          <w:color w:val="auto"/>
        </w:rPr>
        <w:t>If after termination of employment, the Executive continues to work for the Company or any of its Subsidiaries or Affiliates as an employee, consultant, or in any other capacity, whether on a full or part-time basis, then notwithstanding anything to the contrary set forth in this Policy, any restricted period contained in a non-competition agreement between the Executive and the Company or any Subsidiary or Affiliate shall not commence to run until the last day the Executive provides services to the Company or any Subsidiary or Affiliate.</w:t>
      </w:r>
    </w:p>
    <w:p>
      <w:pPr>
        <w:spacing w:after="0" w:line="206" w:lineRule="exact"/>
        <w:rPr>
          <w:sz w:val="20"/>
          <w:szCs w:val="20"/>
          <w:color w:val="auto"/>
        </w:rPr>
      </w:pPr>
    </w:p>
    <w:p>
      <w:pPr>
        <w:ind w:left="900" w:hanging="460"/>
        <w:spacing w:after="0"/>
        <w:tabs>
          <w:tab w:leader="none" w:pos="9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and Repayment Obligations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660" w:right="60" w:hanging="4"/>
        <w:spacing w:after="0" w:line="249" w:lineRule="auto"/>
        <w:tabs>
          <w:tab w:leader="none" w:pos="10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determines that the Executive has failed to comply with his or her obligations, arising under either any agreement with the Company or any Company Policy, whether during his or her term of employment (and such failure would have constituted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xml:space="preserve">”) or subsequent to the Date of Termination (including, without limitation, the non-competition and confidentiality agreement set forth in </w:t>
      </w:r>
      <w:r>
        <w:rPr>
          <w:rFonts w:ascii="Times New Roman" w:cs="Times New Roman" w:eastAsia="Times New Roman" w:hAnsi="Times New Roman"/>
          <w:sz w:val="22"/>
          <w:szCs w:val="22"/>
          <w:b w:val="1"/>
          <w:bCs w:val="1"/>
          <w:u w:val="single" w:color="auto"/>
          <w:color w:val="auto"/>
        </w:rPr>
        <w:t>Section 10(a)</w:t>
      </w:r>
      <w:r>
        <w:rPr>
          <w:rFonts w:ascii="Times New Roman" w:cs="Times New Roman" w:eastAsia="Times New Roman" w:hAnsi="Times New Roman"/>
          <w:sz w:val="22"/>
          <w:szCs w:val="22"/>
          <w:color w:val="auto"/>
        </w:rPr>
        <w:t xml:space="preserve"> or the Release set forth in </w:t>
      </w:r>
      <w:r>
        <w:rPr>
          <w:rFonts w:ascii="Times New Roman" w:cs="Times New Roman" w:eastAsia="Times New Roman" w:hAnsi="Times New Roman"/>
          <w:sz w:val="22"/>
          <w:szCs w:val="22"/>
          <w:b w:val="1"/>
          <w:bCs w:val="1"/>
          <w:u w:val="single" w:color="auto"/>
          <w:color w:val="auto"/>
        </w:rPr>
        <w:t>Section 10(c)</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Forfeiture Event</w:t>
      </w:r>
      <w:r>
        <w:rPr>
          <w:rFonts w:ascii="Times New Roman" w:cs="Times New Roman" w:eastAsia="Times New Roman" w:hAnsi="Times New Roman"/>
          <w:sz w:val="22"/>
          <w:szCs w:val="22"/>
          <w:color w:val="auto"/>
        </w:rPr>
        <w:t>”), the Executive will forfeit or repay, as the case may be, all Severance Payments and Benefits, whether vested or unvested, paid or unpaid, in each case, that were settled, paid or provided to the Executive under this Policy, and the Company shall have no further obligation to pay, grant, settle, make, provide or continue to make or provide any Severance Payments and</w:t>
      </w:r>
    </w:p>
    <w:p>
      <w:pPr>
        <w:sectPr>
          <w:pgSz w:w="11900" w:h="16838" w:orient="portrait"/>
          <w:cols w:equalWidth="0" w:num="1">
            <w:col w:w="11220"/>
          </w:cols>
          <w:pgMar w:left="320" w:top="1422" w:right="359" w:bottom="1440" w:gutter="0" w:footer="0" w:header="0"/>
        </w:sectPr>
      </w:pPr>
    </w:p>
    <w:bookmarkStart w:id="114" w:name="page115"/>
    <w:bookmarkEnd w:id="114"/>
    <w:p>
      <w:pPr>
        <w:ind w:left="220" w:right="60"/>
        <w:spacing w:after="0" w:line="271" w:lineRule="auto"/>
        <w:rPr>
          <w:sz w:val="20"/>
          <w:szCs w:val="20"/>
          <w:color w:val="auto"/>
        </w:rPr>
      </w:pPr>
      <w:r>
        <w:rPr>
          <w:rFonts w:ascii="Times New Roman" w:cs="Times New Roman" w:eastAsia="Times New Roman" w:hAnsi="Times New Roman"/>
          <w:sz w:val="22"/>
          <w:szCs w:val="22"/>
          <w:color w:val="auto"/>
        </w:rPr>
        <w:t>Benefits to the Executive under this Policy. Any such forfeiture or repayment shall not relieve the Executive of any of his or her obligations hereunder.</w:t>
      </w:r>
    </w:p>
    <w:p>
      <w:pPr>
        <w:spacing w:after="0" w:line="185" w:lineRule="exact"/>
        <w:rPr>
          <w:sz w:val="20"/>
          <w:szCs w:val="20"/>
          <w:color w:val="auto"/>
        </w:rPr>
      </w:pPr>
    </w:p>
    <w:p>
      <w:pPr>
        <w:ind w:left="220" w:right="140" w:hanging="4"/>
        <w:spacing w:after="0" w:line="251" w:lineRule="auto"/>
        <w:tabs>
          <w:tab w:leader="none" w:pos="7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Severance Payments and Benefits subject to the forfeiture and repayment obligations under this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shall include any unvested Award, and any amounts paid to the Executive on settlement or vesting of an Award but shall not include (A) any earned and unpaid base salary payable through the Executive’s Date of Termination, (B) any payment for accrued paid time-off, (C) any unreimbursed business expenses reimbursable under Company policies then in effect, and (D) any amount paid by the Executive to the Company as a condition of or in connection with settlement of a forfeited Award.</w:t>
      </w:r>
    </w:p>
    <w:p>
      <w:pPr>
        <w:spacing w:after="0" w:line="221" w:lineRule="exact"/>
        <w:rPr>
          <w:rFonts w:ascii="Times New Roman" w:cs="Times New Roman" w:eastAsia="Times New Roman" w:hAnsi="Times New Roman"/>
          <w:sz w:val="22"/>
          <w:szCs w:val="22"/>
          <w:color w:val="auto"/>
        </w:rPr>
      </w:pPr>
    </w:p>
    <w:p>
      <w:pPr>
        <w:ind w:left="220" w:hanging="4"/>
        <w:spacing w:after="0" w:line="248" w:lineRule="auto"/>
        <w:tabs>
          <w:tab w:leader="none" w:pos="74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policy of the Company providing for forfeiture or recoupment of compensation, including in any Incentive Plan, shall apply by its terms and shall not be deemed limited in any way by this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or any other provision of this Policy. In particular, notwithstanding anything in this Policy to the contrary, by participating in this Policy and accepting any Severance Payments and Benefits hereunder, the Executive acknowledges and agrees that this Policy and any compensation or other benefits or amounts described herein (and any settlements thereof) are subject to the terms and conditions of the Company’s Clawback Policy (or any similar clawback policy or policies applicable to the Executive) that may be in effect from time to time, including, without limitation, to implement Section 10D of the Exchange Act and any applicable rules or regulations promulgated thereunder (including applicable rules and regulations of any national securities exchange on which the Company’s securities may be traded) (collectively, the “</w:t>
      </w:r>
      <w:r>
        <w:rPr>
          <w:rFonts w:ascii="Times New Roman" w:cs="Times New Roman" w:eastAsia="Times New Roman" w:hAnsi="Times New Roman"/>
          <w:sz w:val="22"/>
          <w:szCs w:val="22"/>
          <w:b w:val="1"/>
          <w:bCs w:val="1"/>
          <w:i w:val="1"/>
          <w:iCs w:val="1"/>
          <w:color w:val="auto"/>
        </w:rPr>
        <w:t>Compensation Recovery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and that, to the extent the Compensation Recovery Policy, by its terms, so applies, applicable sections of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Policy and/or any related documents shall be (if necessary) deemed superseded by and subject to the terms and conditions of the Compensation Recovery Policy from and after the effective date thereof.</w:t>
      </w:r>
    </w:p>
    <w:p>
      <w:pPr>
        <w:spacing w:after="0" w:line="163" w:lineRule="exact"/>
        <w:rPr>
          <w:rFonts w:ascii="Times New Roman" w:cs="Times New Roman" w:eastAsia="Times New Roman" w:hAnsi="Times New Roman"/>
          <w:sz w:val="22"/>
          <w:szCs w:val="22"/>
          <w:color w:val="auto"/>
        </w:rPr>
      </w:pPr>
    </w:p>
    <w:p>
      <w:pPr>
        <w:ind w:left="220" w:right="180" w:hanging="4"/>
        <w:spacing w:after="0" w:line="281" w:lineRule="exact"/>
        <w:tabs>
          <w:tab w:leader="none" w:pos="74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any clawback or recoupment provisions required by law, including under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or any rules or regulations thereunder, shall apply to the Severance Payments and Benefits paid or payable under this Policy.</w:t>
      </w:r>
    </w:p>
    <w:p>
      <w:pPr>
        <w:spacing w:after="0" w:line="215" w:lineRule="exact"/>
        <w:rPr>
          <w:rFonts w:ascii="Times New Roman" w:cs="Times New Roman" w:eastAsia="Times New Roman" w:hAnsi="Times New Roman"/>
          <w:sz w:val="22"/>
          <w:szCs w:val="22"/>
          <w:color w:val="auto"/>
        </w:rPr>
      </w:pPr>
    </w:p>
    <w:p>
      <w:pPr>
        <w:ind w:left="220" w:right="200" w:hanging="4"/>
        <w:spacing w:after="0" w:line="258" w:lineRule="auto"/>
        <w:tabs>
          <w:tab w:leader="none" w:pos="67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Severance Payments and Benefits (A) subject to repayment by the Executive under this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must be repaid to the Company, in the manner and on such terms and conditions as shall be required by the Company by written notice to the Executive and (B) subject to forfeiture will be forfeited immediately upon written notice to the Executive from the Company.</w:t>
      </w:r>
    </w:p>
    <w:p>
      <w:pPr>
        <w:spacing w:after="0" w:line="198" w:lineRule="exact"/>
        <w:rPr>
          <w:rFonts w:ascii="Times New Roman" w:cs="Times New Roman" w:eastAsia="Times New Roman" w:hAnsi="Times New Roman"/>
          <w:sz w:val="22"/>
          <w:szCs w:val="22"/>
          <w:color w:val="auto"/>
        </w:rPr>
      </w:pPr>
    </w:p>
    <w:p>
      <w:pPr>
        <w:ind w:left="460" w:hanging="460"/>
        <w:spacing w:after="0"/>
        <w:tabs>
          <w:tab w:leader="none" w:pos="4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Obligation to Execute Release and Termination Agreement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20" w:right="460" w:hanging="4"/>
        <w:spacing w:after="0" w:line="271" w:lineRule="auto"/>
        <w:tabs>
          <w:tab w:leader="none" w:pos="63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conditions its provision of the Severance Payments and Benefits set forth herein and as described herein on receipt from the</w:t>
      </w:r>
    </w:p>
    <w:p>
      <w:pPr>
        <w:sectPr>
          <w:pgSz w:w="11900" w:h="16838" w:orient="portrait"/>
          <w:cols w:equalWidth="0" w:num="1">
            <w:col w:w="10760"/>
          </w:cols>
          <w:pgMar w:left="760" w:top="1422" w:right="379" w:bottom="1440" w:gutter="0" w:footer="0" w:header="0"/>
        </w:sectPr>
      </w:pPr>
    </w:p>
    <w:bookmarkStart w:id="115" w:name="page116"/>
    <w:bookmarkEnd w:id="115"/>
    <w:p>
      <w:pPr>
        <w:ind w:left="436"/>
        <w:spacing w:after="0" w:line="256" w:lineRule="auto"/>
        <w:rPr>
          <w:sz w:val="20"/>
          <w:szCs w:val="20"/>
          <w:color w:val="auto"/>
        </w:rPr>
      </w:pPr>
      <w:r>
        <w:rPr>
          <w:rFonts w:ascii="Times New Roman" w:cs="Times New Roman" w:eastAsia="Times New Roman" w:hAnsi="Times New Roman"/>
          <w:sz w:val="22"/>
          <w:szCs w:val="22"/>
          <w:color w:val="auto"/>
        </w:rPr>
        <w:t>Executive of a release of all claims against the Company and each Subsidiary and Affiliate and their respective officers, directors, employees and agents, in a form and manner acceptable to the Company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Such Release shall become effective, enforceable and irrevocable within 60 days following the Executive’s Date of Termination (such period, the “</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436" w:right="20" w:hanging="4"/>
        <w:spacing w:after="0" w:line="262" w:lineRule="exact"/>
        <w:tabs>
          <w:tab w:leader="none" w:pos="904"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severance payment or benefit that is subject to Code Section 409A that would otherwise have been made to an Executive but that is conditioned upon the execution and effectiveness of the Release shall be paid or provided on the first business day following the Release Period subject to the execution and effectiveness of the Release;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kind benefits provided pursuant to this Policy shall continue in effect after the Date of Termination pending the execution and delivery of the Release; and </w:t>
      </w:r>
      <w:r>
        <w:rPr>
          <w:rFonts w:ascii="Times New Roman" w:cs="Times New Roman" w:eastAsia="Times New Roman" w:hAnsi="Times New Roman"/>
          <w:sz w:val="22"/>
          <w:szCs w:val="22"/>
          <w:u w:val="single" w:color="auto"/>
          <w:color w:val="auto"/>
        </w:rPr>
        <w:t>further provided</w:t>
      </w:r>
      <w:r>
        <w:rPr>
          <w:rFonts w:ascii="Times New Roman" w:cs="Times New Roman" w:eastAsia="Times New Roman" w:hAnsi="Times New Roman"/>
          <w:sz w:val="22"/>
          <w:szCs w:val="22"/>
          <w:color w:val="auto"/>
        </w:rPr>
        <w:t>, that if the Release is not executed and delivered within the Release Period, the Executive shall reimburse the Company for the full cost of providing such in-kind benefits during the Release Period.</w:t>
      </w:r>
    </w:p>
    <w:p>
      <w:pPr>
        <w:spacing w:after="0" w:line="218" w:lineRule="exact"/>
        <w:rPr>
          <w:rFonts w:ascii="Times New Roman" w:cs="Times New Roman" w:eastAsia="Times New Roman" w:hAnsi="Times New Roman"/>
          <w:sz w:val="22"/>
          <w:szCs w:val="22"/>
          <w:color w:val="auto"/>
        </w:rPr>
      </w:pPr>
    </w:p>
    <w:p>
      <w:pPr>
        <w:ind w:left="-224" w:right="360" w:firstLine="440"/>
        <w:spacing w:after="0" w:line="275" w:lineRule="auto"/>
        <w:tabs>
          <w:tab w:leader="none" w:pos="67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of Rights</w:t>
      </w:r>
      <w:r>
        <w:rPr>
          <w:rFonts w:ascii="Times New Roman" w:cs="Times New Roman" w:eastAsia="Times New Roman" w:hAnsi="Times New Roman"/>
          <w:sz w:val="22"/>
          <w:szCs w:val="22"/>
          <w:color w:val="auto"/>
        </w:rPr>
        <w:t xml:space="preserve">. Any forfeiture or repayment under this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is in addition to, and not in lieu of, any other remedies or rights that may be available to the Company under applicable law.</w:t>
      </w:r>
    </w:p>
    <w:p>
      <w:pPr>
        <w:spacing w:after="0" w:line="180" w:lineRule="exact"/>
        <w:rPr>
          <w:rFonts w:ascii="Times New Roman" w:cs="Times New Roman" w:eastAsia="Times New Roman" w:hAnsi="Times New Roman"/>
          <w:sz w:val="22"/>
          <w:szCs w:val="22"/>
          <w:color w:val="auto"/>
        </w:rPr>
      </w:pPr>
    </w:p>
    <w:p>
      <w:pPr>
        <w:ind w:left="-224" w:right="160" w:firstLine="440"/>
        <w:spacing w:after="0" w:line="281" w:lineRule="auto"/>
        <w:tabs>
          <w:tab w:leader="none" w:pos="66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w:t>
      </w:r>
      <w:r>
        <w:rPr>
          <w:rFonts w:ascii="Times New Roman" w:cs="Times New Roman" w:eastAsia="Times New Roman" w:hAnsi="Times New Roman"/>
          <w:sz w:val="21"/>
          <w:szCs w:val="21"/>
          <w:color w:val="auto"/>
        </w:rPr>
        <w:t xml:space="preserve">. The Committee shall have the authority, in its sole discretion, to interpret and construe the provisions of this </w:t>
      </w:r>
      <w:r>
        <w:rPr>
          <w:rFonts w:ascii="Times New Roman" w:cs="Times New Roman" w:eastAsia="Times New Roman" w:hAnsi="Times New Roman"/>
          <w:sz w:val="21"/>
          <w:szCs w:val="21"/>
          <w:b w:val="1"/>
          <w:bCs w:val="1"/>
          <w:u w:val="single" w:color="auto"/>
          <w:color w:val="auto"/>
        </w:rPr>
        <w:t>Section 10</w:t>
      </w:r>
      <w:r>
        <w:rPr>
          <w:rFonts w:ascii="Times New Roman" w:cs="Times New Roman" w:eastAsia="Times New Roman" w:hAnsi="Times New Roman"/>
          <w:sz w:val="21"/>
          <w:szCs w:val="21"/>
          <w:color w:val="auto"/>
        </w:rPr>
        <w:t xml:space="preserve"> and to make all determinations with respect hereto, including the determination of whether a Forfeiture Event has occurred, the timing of such Forfeiture Event and the amount and form of any forfeiture or reimbursement.</w:t>
      </w:r>
    </w:p>
    <w:p>
      <w:pPr>
        <w:spacing w:after="0" w:line="177" w:lineRule="exact"/>
        <w:rPr>
          <w:rFonts w:ascii="Times New Roman" w:cs="Times New Roman" w:eastAsia="Times New Roman" w:hAnsi="Times New Roman"/>
          <w:sz w:val="21"/>
          <w:szCs w:val="21"/>
          <w:color w:val="auto"/>
        </w:rPr>
      </w:pPr>
    </w:p>
    <w:p>
      <w:pPr>
        <w:ind w:left="476" w:hanging="476"/>
        <w:spacing w:after="0"/>
        <w:tabs>
          <w:tab w:leader="none" w:pos="47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 Applicable to Severance Payments and Benefits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224" w:right="200" w:firstLine="440"/>
        <w:spacing w:after="0" w:line="271" w:lineRule="auto"/>
        <w:tabs>
          <w:tab w:leader="none" w:pos="66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Deferrals Included in Salary and Bonus</w:t>
      </w:r>
      <w:r>
        <w:rPr>
          <w:rFonts w:ascii="Times New Roman" w:cs="Times New Roman" w:eastAsia="Times New Roman" w:hAnsi="Times New Roman"/>
          <w:sz w:val="22"/>
          <w:szCs w:val="22"/>
          <w:color w:val="auto"/>
        </w:rPr>
        <w:t>. All references in this Policy to salary and Bonus mean those amounts before reduction pursuant to any deferred compensation plan or agreement.</w:t>
      </w:r>
    </w:p>
    <w:p>
      <w:pPr>
        <w:spacing w:after="0" w:line="198" w:lineRule="exact"/>
        <w:rPr>
          <w:rFonts w:ascii="Times New Roman" w:cs="Times New Roman" w:eastAsia="Times New Roman" w:hAnsi="Times New Roman"/>
          <w:sz w:val="22"/>
          <w:szCs w:val="22"/>
          <w:color w:val="auto"/>
        </w:rPr>
      </w:pPr>
    </w:p>
    <w:p>
      <w:pPr>
        <w:ind w:left="-224" w:right="60" w:firstLine="440"/>
        <w:spacing w:after="0" w:line="271" w:lineRule="auto"/>
        <w:tabs>
          <w:tab w:leader="none" w:pos="67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and Benefits to Beneficiary Upon Executive’s Death</w:t>
      </w:r>
      <w:r>
        <w:rPr>
          <w:rFonts w:ascii="Times New Roman" w:cs="Times New Roman" w:eastAsia="Times New Roman" w:hAnsi="Times New Roman"/>
          <w:sz w:val="22"/>
          <w:szCs w:val="22"/>
          <w:color w:val="auto"/>
        </w:rPr>
        <w:t>. In the event of the death of an Executive, all payments and benefits hereunder due to such Executive shall be paid or provided to his or her Beneficiary.</w:t>
      </w:r>
    </w:p>
    <w:p>
      <w:pPr>
        <w:spacing w:after="0" w:line="184" w:lineRule="exact"/>
        <w:rPr>
          <w:rFonts w:ascii="Times New Roman" w:cs="Times New Roman" w:eastAsia="Times New Roman" w:hAnsi="Times New Roman"/>
          <w:sz w:val="22"/>
          <w:szCs w:val="22"/>
          <w:color w:val="auto"/>
        </w:rPr>
      </w:pPr>
    </w:p>
    <w:p>
      <w:pPr>
        <w:ind w:left="-224" w:right="160" w:firstLine="440"/>
        <w:spacing w:after="0" w:line="257" w:lineRule="auto"/>
        <w:tabs>
          <w:tab w:leader="none" w:pos="66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of Employment</w:t>
      </w:r>
      <w:r>
        <w:rPr>
          <w:rFonts w:ascii="Times New Roman" w:cs="Times New Roman" w:eastAsia="Times New Roman" w:hAnsi="Times New Roman"/>
          <w:sz w:val="22"/>
          <w:szCs w:val="22"/>
          <w:color w:val="auto"/>
        </w:rPr>
        <w:t>. Anything in this Policy to the contrary notwithstanding, a transfer of employment from the Company to a Subsidiary or an Affiliate or vice versa shall not be considered a termination of employment for purposes of this Policy.</w:t>
      </w:r>
    </w:p>
    <w:p>
      <w:pPr>
        <w:spacing w:after="0" w:line="213" w:lineRule="exact"/>
        <w:rPr>
          <w:rFonts w:ascii="Times New Roman" w:cs="Times New Roman" w:eastAsia="Times New Roman" w:hAnsi="Times New Roman"/>
          <w:sz w:val="22"/>
          <w:szCs w:val="22"/>
          <w:color w:val="auto"/>
        </w:rPr>
      </w:pPr>
    </w:p>
    <w:p>
      <w:pPr>
        <w:ind w:left="-224" w:right="120" w:firstLine="440"/>
        <w:spacing w:after="0" w:line="252" w:lineRule="auto"/>
        <w:tabs>
          <w:tab w:leader="none" w:pos="67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The Company may, to the extent permitted by applicable law and consistent with Code Section 409A, deduct from and set off against any amounts the Company may owe to the Executive from time to time, including amounts payable in connection with any Severance Payment and Benefits, amounts payable in connection with any Award, owed as wages, fringe benefits, or other compensation owed to the Executive, such amounts as</w:t>
      </w:r>
    </w:p>
    <w:p>
      <w:pPr>
        <w:sectPr>
          <w:pgSz w:w="11900" w:h="16838" w:orient="portrait"/>
          <w:cols w:equalWidth="0" w:num="1">
            <w:col w:w="10996"/>
          </w:cols>
          <w:pgMar w:left="544" w:top="1422" w:right="359" w:bottom="1440" w:gutter="0" w:footer="0" w:header="0"/>
        </w:sectPr>
      </w:pPr>
    </w:p>
    <w:bookmarkStart w:id="116" w:name="page117"/>
    <w:bookmarkEnd w:id="116"/>
    <w:p>
      <w:pPr>
        <w:ind w:right="160"/>
        <w:spacing w:after="0" w:line="258" w:lineRule="auto"/>
        <w:rPr>
          <w:sz w:val="20"/>
          <w:szCs w:val="20"/>
          <w:color w:val="auto"/>
        </w:rPr>
      </w:pPr>
      <w:r>
        <w:rPr>
          <w:rFonts w:ascii="Times New Roman" w:cs="Times New Roman" w:eastAsia="Times New Roman" w:hAnsi="Times New Roman"/>
          <w:sz w:val="22"/>
          <w:szCs w:val="22"/>
          <w:color w:val="auto"/>
        </w:rPr>
        <w:t xml:space="preserve">may be owed by the Executive to the Company, including but not limited to amounts owed under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although the Executive shall remain liable for any part of the Executive’s payment obligation not satisfied through such deduction and setoff. By accepting the Severance Payments and Benefits under this Policy, the Executive agrees to any deduction or setoff under this </w:t>
      </w:r>
      <w:r>
        <w:rPr>
          <w:rFonts w:ascii="Times New Roman" w:cs="Times New Roman" w:eastAsia="Times New Roman" w:hAnsi="Times New Roman"/>
          <w:sz w:val="22"/>
          <w:szCs w:val="22"/>
          <w:b w:val="1"/>
          <w:bCs w:val="1"/>
          <w:u w:val="single" w:color="auto"/>
          <w:color w:val="auto"/>
        </w:rPr>
        <w:t>Section 11(d)</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720" w:hanging="496"/>
        <w:spacing w:after="0"/>
        <w:tabs>
          <w:tab w:leader="none" w:pos="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Plans and Policies; Non-Duplication of Payments or Benefits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firstLine="440"/>
        <w:spacing w:after="0" w:line="251" w:lineRule="auto"/>
        <w:tabs>
          <w:tab w:leader="none" w:pos="88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Superseded Agreements and Rights</w:t>
      </w:r>
      <w:r>
        <w:rPr>
          <w:rFonts w:ascii="Times New Roman" w:cs="Times New Roman" w:eastAsia="Times New Roman" w:hAnsi="Times New Roman"/>
          <w:sz w:val="22"/>
          <w:szCs w:val="22"/>
          <w:color w:val="auto"/>
        </w:rPr>
        <w:t>. This Policy and the documents referred to herein constitute the entire understanding between the Company and the Executive relating to Severance Payments and Benefits to be paid or provided to the Executive by the Company, and to the extent necessary or applicable supersede and cancel all prior agreements and understandings with respect to the subject matter of this Policy, other than (i) as expressly set forth in this Policy, (ii) as determined in writing by the Committee, or (iii) as expressly provided in a plan, program or arrangement of the Company which is established following the Amendment and Restatement Effective Date and in which the Executive is a participant.</w:t>
      </w:r>
    </w:p>
    <w:p>
      <w:pPr>
        <w:spacing w:after="0" w:line="160" w:lineRule="exact"/>
        <w:rPr>
          <w:rFonts w:ascii="Times New Roman" w:cs="Times New Roman" w:eastAsia="Times New Roman" w:hAnsi="Times New Roman"/>
          <w:sz w:val="22"/>
          <w:szCs w:val="22"/>
          <w:color w:val="auto"/>
        </w:rPr>
      </w:pPr>
    </w:p>
    <w:p>
      <w:pPr>
        <w:ind w:right="220" w:firstLine="440"/>
        <w:spacing w:after="0" w:line="269" w:lineRule="exact"/>
        <w:tabs>
          <w:tab w:leader="none" w:pos="9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Duplication of Payments and Benefits</w:t>
      </w:r>
      <w:r>
        <w:rPr>
          <w:rFonts w:ascii="Times New Roman" w:cs="Times New Roman" w:eastAsia="Times New Roman" w:hAnsi="Times New Roman"/>
          <w:sz w:val="22"/>
          <w:szCs w:val="22"/>
          <w:color w:val="auto"/>
        </w:rPr>
        <w:t xml:space="preserve">. The Executive shall not be entitled to any severance payment or benefit under this Policy which duplicates a payment or benefit received or receivable by the Executive under any employment or severance agreement, or any other plan, program or arrangement of the Company or any severance required by applicable law, regulation, sound business practices and customs;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and Benefits due under this Policy.</w:t>
      </w:r>
    </w:p>
    <w:p>
      <w:pPr>
        <w:spacing w:after="0" w:line="214" w:lineRule="exact"/>
        <w:rPr>
          <w:rFonts w:ascii="Times New Roman" w:cs="Times New Roman" w:eastAsia="Times New Roman" w:hAnsi="Times New Roman"/>
          <w:sz w:val="22"/>
          <w:szCs w:val="22"/>
          <w:color w:val="auto"/>
        </w:rPr>
      </w:pPr>
    </w:p>
    <w:p>
      <w:pPr>
        <w:ind w:left="720" w:hanging="496"/>
        <w:spacing w:after="0"/>
        <w:tabs>
          <w:tab w:leader="none" w:pos="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Rules for Compliance with Code Section 409A</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color w:val="auto"/>
        </w:rPr>
        <w:t xml:space="preserve"> serves to help ensure compliance with</w:t>
      </w:r>
    </w:p>
    <w:p>
      <w:pPr>
        <w:spacing w:after="0" w:line="33" w:lineRule="exact"/>
        <w:rPr>
          <w:rFonts w:ascii="Times New Roman" w:cs="Times New Roman" w:eastAsia="Times New Roman" w:hAnsi="Times New Roman"/>
          <w:sz w:val="22"/>
          <w:szCs w:val="22"/>
          <w:color w:val="auto"/>
        </w:rPr>
      </w:pPr>
    </w:p>
    <w:p>
      <w:pPr>
        <w:ind w:right="20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applicable requirements of Code Section 409A. If the terms of this </w:t>
      </w: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color w:val="auto"/>
        </w:rPr>
        <w:t xml:space="preserve"> conflict with other terms of this Policy, the terms of this </w:t>
      </w:r>
      <w:r>
        <w:rPr>
          <w:rFonts w:ascii="Times New Roman" w:cs="Times New Roman" w:eastAsia="Times New Roman" w:hAnsi="Times New Roman"/>
          <w:sz w:val="22"/>
          <w:szCs w:val="22"/>
          <w:b w:val="1"/>
          <w:bCs w:val="1"/>
          <w:u w:val="single" w:color="auto"/>
          <w:color w:val="auto"/>
        </w:rPr>
        <w:t>Section 13</w:t>
      </w:r>
      <w:r>
        <w:rPr>
          <w:rFonts w:ascii="Times New Roman" w:cs="Times New Roman" w:eastAsia="Times New Roman" w:hAnsi="Times New Roman"/>
          <w:sz w:val="22"/>
          <w:szCs w:val="22"/>
          <w:color w:val="auto"/>
        </w:rPr>
        <w:t xml:space="preserve"> shall control.</w:t>
      </w:r>
    </w:p>
    <w:p>
      <w:pPr>
        <w:spacing w:after="0" w:line="197" w:lineRule="exact"/>
        <w:rPr>
          <w:rFonts w:ascii="Times New Roman" w:cs="Times New Roman" w:eastAsia="Times New Roman" w:hAnsi="Times New Roman"/>
          <w:sz w:val="22"/>
          <w:szCs w:val="22"/>
          <w:color w:val="auto"/>
        </w:rPr>
      </w:pPr>
    </w:p>
    <w:p>
      <w:pPr>
        <w:jc w:val="both"/>
        <w:ind w:right="420" w:firstLine="440"/>
        <w:spacing w:after="0" w:line="295" w:lineRule="auto"/>
        <w:tabs>
          <w:tab w:leader="none" w:pos="88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intended that all payments made pursuant to this Policy shall be exempt from Code Section 409A or otherwise comply with Code Section 409A and this Policy shall be interpreted and administered in a manner consistent with this intent.</w:t>
      </w:r>
    </w:p>
    <w:p>
      <w:pPr>
        <w:spacing w:after="0" w:line="162" w:lineRule="exact"/>
        <w:rPr>
          <w:rFonts w:ascii="Times New Roman" w:cs="Times New Roman" w:eastAsia="Times New Roman" w:hAnsi="Times New Roman"/>
          <w:sz w:val="21"/>
          <w:szCs w:val="21"/>
          <w:color w:val="auto"/>
        </w:rPr>
      </w:pPr>
    </w:p>
    <w:p>
      <w:pPr>
        <w:ind w:right="160" w:firstLine="440"/>
        <w:spacing w:after="0" w:line="250" w:lineRule="auto"/>
        <w:tabs>
          <w:tab w:leader="none" w:pos="9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in this Policy to the contrary, if at the time of the Executive’s separation from service within the meaning of Code Section 409A, the Executive is a “specified employee” (within the meaning of Code Section 409A and determined pursuant to policies adopted by the Company), then to the extent any payment or benefit that the Executive becomes entitled to under this Policy on account of the Executive’s separation from service would be considered deferred compensation under Code Section 409A, amounts of deferred compensation that would otherwise be payable pursuant to this Policy during the 6-month period immediately following the Termination Date (such payments, the “</w:t>
      </w:r>
      <w:r>
        <w:rPr>
          <w:rFonts w:ascii="Times New Roman" w:cs="Times New Roman" w:eastAsia="Times New Roman" w:hAnsi="Times New Roman"/>
          <w:sz w:val="22"/>
          <w:szCs w:val="22"/>
          <w:b w:val="1"/>
          <w:bCs w:val="1"/>
          <w:i w:val="1"/>
          <w:iCs w:val="1"/>
          <w:color w:val="auto"/>
        </w:rPr>
        <w:t>Delayed Payments</w:t>
      </w:r>
      <w:r>
        <w:rPr>
          <w:rFonts w:ascii="Times New Roman" w:cs="Times New Roman" w:eastAsia="Times New Roman" w:hAnsi="Times New Roman"/>
          <w:sz w:val="22"/>
          <w:szCs w:val="22"/>
          <w:color w:val="auto"/>
        </w:rPr>
        <w:t>”; such period the “</w:t>
      </w:r>
      <w:r>
        <w:rPr>
          <w:rFonts w:ascii="Times New Roman" w:cs="Times New Roman" w:eastAsia="Times New Roman" w:hAnsi="Times New Roman"/>
          <w:sz w:val="22"/>
          <w:szCs w:val="22"/>
          <w:b w:val="1"/>
          <w:bCs w:val="1"/>
          <w:i w:val="1"/>
          <w:iCs w:val="1"/>
          <w:color w:val="auto"/>
        </w:rPr>
        <w:t>Delay Period</w:t>
      </w:r>
      <w:r>
        <w:rPr>
          <w:rFonts w:ascii="Times New Roman" w:cs="Times New Roman" w:eastAsia="Times New Roman" w:hAnsi="Times New Roman"/>
          <w:sz w:val="22"/>
          <w:szCs w:val="22"/>
          <w:color w:val="auto"/>
        </w:rPr>
        <w:t>”) and benefits that constitute deferred compensation that would otherwise be provided pursuant to this Policy during the Delay Period (the “</w:t>
      </w:r>
      <w:r>
        <w:rPr>
          <w:rFonts w:ascii="Times New Roman" w:cs="Times New Roman" w:eastAsia="Times New Roman" w:hAnsi="Times New Roman"/>
          <w:sz w:val="22"/>
          <w:szCs w:val="22"/>
          <w:b w:val="1"/>
          <w:bCs w:val="1"/>
          <w:i w:val="1"/>
          <w:iCs w:val="1"/>
          <w:color w:val="auto"/>
        </w:rPr>
        <w:t>Delayed</w:t>
      </w:r>
    </w:p>
    <w:p>
      <w:pPr>
        <w:sectPr>
          <w:pgSz w:w="11900" w:h="16838" w:orient="portrait"/>
          <w:cols w:equalWidth="0" w:num="1">
            <w:col w:w="11240"/>
          </w:cols>
          <w:pgMar w:left="320" w:top="1418" w:right="339" w:bottom="1440" w:gutter="0" w:footer="0" w:header="0"/>
        </w:sectPr>
      </w:pPr>
    </w:p>
    <w:bookmarkStart w:id="117" w:name="page118"/>
    <w:bookmarkEnd w:id="117"/>
    <w:p>
      <w:pPr>
        <w:spacing w:after="0" w:line="274" w:lineRule="auto"/>
        <w:rPr>
          <w:sz w:val="20"/>
          <w:szCs w:val="20"/>
          <w:color w:val="auto"/>
        </w:rPr>
      </w:pPr>
      <w:r>
        <w:rPr>
          <w:rFonts w:ascii="Times New Roman" w:cs="Times New Roman" w:eastAsia="Times New Roman" w:hAnsi="Times New Roman"/>
          <w:sz w:val="21"/>
          <w:szCs w:val="21"/>
          <w:b w:val="1"/>
          <w:bCs w:val="1"/>
          <w:i w:val="1"/>
          <w:iCs w:val="1"/>
          <w:color w:val="auto"/>
        </w:rPr>
        <w:t>Benefits</w:t>
      </w:r>
      <w:r>
        <w:rPr>
          <w:rFonts w:ascii="Times New Roman" w:cs="Times New Roman" w:eastAsia="Times New Roman" w:hAnsi="Times New Roman"/>
          <w:sz w:val="21"/>
          <w:szCs w:val="21"/>
          <w:color w:val="auto"/>
        </w:rPr>
        <w:t>”) will instead be paid or made available on the earlier of (i) the 1st day of the 7th month following the Executive’s Date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Termination and (ii) the Executive’s death. If any Delayed Payment is otherwise payable on an installment basis, the first payment shall include a catch-up payment covering amounts that would otherwise have been paid during the Delay Period but for the application of this provision, and the balance of the installments shall be payable in accordance with their original schedule.</w:t>
      </w:r>
    </w:p>
    <w:p>
      <w:pPr>
        <w:spacing w:after="0" w:line="186" w:lineRule="exact"/>
        <w:rPr>
          <w:sz w:val="20"/>
          <w:szCs w:val="20"/>
          <w:color w:val="auto"/>
        </w:rPr>
      </w:pPr>
    </w:p>
    <w:p>
      <w:pPr>
        <w:ind w:right="280" w:firstLine="440"/>
        <w:spacing w:after="0" w:line="257" w:lineRule="auto"/>
        <w:tabs>
          <w:tab w:leader="none" w:pos="94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made under this Policy shall be treated as a separate payment and not one of a series of payments for purposes of Code Section 409A. Further, coverages provided during one taxable year will not affect the degree to which coverages will be provided in any other taxable year.</w:t>
      </w:r>
    </w:p>
    <w:p>
      <w:pPr>
        <w:spacing w:after="0" w:line="199" w:lineRule="exact"/>
        <w:rPr>
          <w:rFonts w:ascii="Times New Roman" w:cs="Times New Roman" w:eastAsia="Times New Roman" w:hAnsi="Times New Roman"/>
          <w:sz w:val="22"/>
          <w:szCs w:val="22"/>
          <w:color w:val="auto"/>
        </w:rPr>
      </w:pPr>
    </w:p>
    <w:p>
      <w:pPr>
        <w:ind w:firstLine="440"/>
        <w:spacing w:after="0" w:line="253" w:lineRule="auto"/>
        <w:tabs>
          <w:tab w:leader="none" w:pos="8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Policy constitutes “non-qualified deferred compensation” under Code Section 409A,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Code Section 409A.</w:t>
      </w:r>
    </w:p>
    <w:p>
      <w:pPr>
        <w:spacing w:after="0" w:line="205" w:lineRule="exact"/>
        <w:rPr>
          <w:rFonts w:ascii="Times New Roman" w:cs="Times New Roman" w:eastAsia="Times New Roman" w:hAnsi="Times New Roman"/>
          <w:sz w:val="22"/>
          <w:szCs w:val="22"/>
          <w:color w:val="auto"/>
        </w:rPr>
      </w:pPr>
    </w:p>
    <w:p>
      <w:pPr>
        <w:ind w:right="120" w:firstLine="440"/>
        <w:spacing w:after="0" w:line="253" w:lineRule="auto"/>
        <w:tabs>
          <w:tab w:leader="none" w:pos="88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Policy constitutes “non-qualified deferred compensation” under Code Section 409A, then to the extent necessary to comply with Code Section 409A, a Change in Control will not be deemed to have occurred for purposes of any provision of this Policy providing for the payment of any amounts or benefits subject to Code Section 409A upon or following a Change in Control unless such Change in Control is also a “change in control event” (within the meaning of Code Section 409A).</w:t>
      </w:r>
    </w:p>
    <w:p>
      <w:pPr>
        <w:spacing w:after="0" w:line="205" w:lineRule="exact"/>
        <w:rPr>
          <w:rFonts w:ascii="Times New Roman" w:cs="Times New Roman" w:eastAsia="Times New Roman" w:hAnsi="Times New Roman"/>
          <w:sz w:val="22"/>
          <w:szCs w:val="22"/>
          <w:color w:val="auto"/>
        </w:rPr>
      </w:pPr>
    </w:p>
    <w:p>
      <w:pPr>
        <w:ind w:right="80" w:firstLine="440"/>
        <w:spacing w:after="0" w:line="249" w:lineRule="auto"/>
        <w:tabs>
          <w:tab w:leader="none" w:pos="86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a reimbursement under this Policy, if any, be made for any period after December 31 of the second calendar year following the Termination Date. If any reimbursements (if any) or in-kind benefits provided by the Company pursuant to this Policy would constitute deferred compensation for purposes of Code Section 409A, such reimbursements or in-kind benefits will be subject to the following rules: (i) the amounts to be reimbursed, or the in-kind benefits to be provided, will be determined pursuant to the terms of this Policy and the Company’s policies and will be limited to Executive’s lifetime and the lifetime of Executive’s eligible dependents; (ii) the amounts eligible for reimbursement, or the in-kind benefits provided, during any calendar year may not affect the expenses eligible for reimbursement, or the in-kind benefits provided, in any other calendar year; (iii) any reimbursement of an eligible expense will be made on or before the last day of the calendar year following the calendar year in which the expense was incurred; and (iv) Executive’s right to an in-kind benefit or reimbursement is not subject to liquidation or exchange for cash or another benefit.</w:t>
      </w:r>
    </w:p>
    <w:p>
      <w:pPr>
        <w:spacing w:after="0" w:line="210" w:lineRule="exact"/>
        <w:rPr>
          <w:rFonts w:ascii="Times New Roman" w:cs="Times New Roman" w:eastAsia="Times New Roman" w:hAnsi="Times New Roman"/>
          <w:sz w:val="22"/>
          <w:szCs w:val="22"/>
          <w:color w:val="auto"/>
        </w:rPr>
      </w:pPr>
    </w:p>
    <w:p>
      <w:pPr>
        <w:ind w:right="600" w:firstLine="440"/>
        <w:spacing w:after="0" w:line="257" w:lineRule="auto"/>
        <w:tabs>
          <w:tab w:leader="none" w:pos="9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Policy needs to be revised to satisfy the requirements of Code Section 409A, then such provision shall be modified or restricted to the minimum extent and in the manner necessary to be in compliance with such requirements of</w:t>
      </w:r>
    </w:p>
    <w:p>
      <w:pPr>
        <w:sectPr>
          <w:pgSz w:w="11900" w:h="16838" w:orient="portrait"/>
          <w:cols w:equalWidth="0" w:num="1">
            <w:col w:w="11220"/>
          </w:cols>
          <w:pgMar w:left="320" w:top="1416" w:right="359" w:bottom="1440" w:gutter="0" w:footer="0" w:header="0"/>
        </w:sectPr>
      </w:pPr>
    </w:p>
    <w:bookmarkStart w:id="118" w:name="page119"/>
    <w:bookmarkEnd w:id="118"/>
    <w:p>
      <w:pPr>
        <w:ind w:right="100"/>
        <w:spacing w:after="0" w:line="265" w:lineRule="auto"/>
        <w:rPr>
          <w:sz w:val="20"/>
          <w:szCs w:val="20"/>
          <w:color w:val="auto"/>
        </w:rPr>
      </w:pPr>
      <w:r>
        <w:rPr>
          <w:rFonts w:ascii="Times New Roman" w:cs="Times New Roman" w:eastAsia="Times New Roman" w:hAnsi="Times New Roman"/>
          <w:sz w:val="21"/>
          <w:szCs w:val="21"/>
          <w:color w:val="auto"/>
        </w:rPr>
        <w:t>Code Section 409A, and any such modification will maintain the same economic results as were intended under this Policy. The Company cannot guarantee that the payments and benefits that may be paid or provided pursuant to this Policy will satisfy all applicable provisions of Code Section 409A and the Company makes no representation or warranty and shall have no liability to the Executive or any other person if any provisions of this Policy are determined to constitute deferred compensation subject to Code Section 409A but do not satisfy an exemption from, or the conditions of, Code Section 409A. Payments made to the Executive under this Policy in error shall be returned to the Company and do not create a legally binding right to such payments.</w:t>
      </w:r>
    </w:p>
    <w:p>
      <w:pPr>
        <w:spacing w:after="0" w:line="196" w:lineRule="exact"/>
        <w:rPr>
          <w:sz w:val="20"/>
          <w:szCs w:val="20"/>
          <w:color w:val="auto"/>
        </w:rPr>
      </w:pPr>
    </w:p>
    <w:p>
      <w:pPr>
        <w:ind w:left="720" w:hanging="496"/>
        <w:spacing w:after="0"/>
        <w:tabs>
          <w:tab w:leader="none" w:pos="7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firstLine="440"/>
        <w:spacing w:after="0" w:line="271" w:lineRule="exact"/>
        <w:tabs>
          <w:tab w:leader="none" w:pos="8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No right of an Executive to any payment or benefit under this Policy shall be subject to assignment, anticipation, alienation, sale, transfer, assignment, pledge, encumbrance, attachment, or garnishment by creditors of the Executive or of any Beneficiary of the Executive. The terms and conditions of this Policy shall be binding on the successors and assigns of the Company. The Company’s Subsidiaries and Affiliates are third party beneficiaries to this Policy and to the extent any violation of this Policy shall cause them direct harm, they shall have a right to enforce this Policy and any related agreements in accordance with their respective terms.</w:t>
      </w:r>
    </w:p>
    <w:p>
      <w:pPr>
        <w:spacing w:after="0" w:line="218" w:lineRule="exact"/>
        <w:rPr>
          <w:rFonts w:ascii="Times New Roman" w:cs="Times New Roman" w:eastAsia="Times New Roman" w:hAnsi="Times New Roman"/>
          <w:sz w:val="22"/>
          <w:szCs w:val="22"/>
          <w:color w:val="auto"/>
        </w:rPr>
      </w:pPr>
    </w:p>
    <w:p>
      <w:pPr>
        <w:ind w:right="660" w:firstLine="440"/>
        <w:spacing w:after="0" w:line="284" w:lineRule="auto"/>
        <w:tabs>
          <w:tab w:leader="none" w:pos="9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right to deduct from all payments hereunder any taxes, deductions or withholdings required by law to be withheld therefrom.</w:t>
      </w:r>
    </w:p>
    <w:p>
      <w:pPr>
        <w:spacing w:after="0" w:line="170" w:lineRule="exact"/>
        <w:rPr>
          <w:rFonts w:ascii="Times New Roman" w:cs="Times New Roman" w:eastAsia="Times New Roman" w:hAnsi="Times New Roman"/>
          <w:sz w:val="22"/>
          <w:szCs w:val="22"/>
          <w:color w:val="auto"/>
        </w:rPr>
      </w:pPr>
    </w:p>
    <w:p>
      <w:pPr>
        <w:jc w:val="both"/>
        <w:ind w:right="120" w:firstLine="440"/>
        <w:spacing w:after="0" w:line="257" w:lineRule="auto"/>
        <w:tabs>
          <w:tab w:leader="none" w:pos="8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Nothing in this Policy shall be construed as altering the Executive’s status as an employee-at-will or giving any person the right to be retained in the employment of the Company or its Subsidiaries, nor shall it affect the right of the Company to dismiss an Executive without any liability except as provided in this Policy.</w:t>
      </w:r>
    </w:p>
    <w:p>
      <w:pPr>
        <w:spacing w:after="0" w:line="195" w:lineRule="exact"/>
        <w:rPr>
          <w:rFonts w:ascii="Times New Roman" w:cs="Times New Roman" w:eastAsia="Times New Roman" w:hAnsi="Times New Roman"/>
          <w:sz w:val="22"/>
          <w:szCs w:val="22"/>
          <w:color w:val="auto"/>
        </w:rPr>
      </w:pPr>
    </w:p>
    <w:p>
      <w:pPr>
        <w:ind w:right="20" w:firstLine="440"/>
        <w:spacing w:after="0" w:line="252" w:lineRule="auto"/>
        <w:tabs>
          <w:tab w:leader="none" w:pos="95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xml:space="preserve">. The Board may amend or terminate this Policy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other than during the two-year period following a Change of Control, no such amendment or termination may adversely affect any Executive without such Executive’s prior written consent unless the Company provides at least 12 months’ advance written notice of such amendment or termination to such adversely-affected Executive, and (ii) ]</w:t>
      </w:r>
      <w:r>
        <w:rPr>
          <w:rFonts w:ascii="Times New Roman" w:cs="Times New Roman" w:eastAsia="Times New Roman" w:hAnsi="Times New Roman"/>
          <w:sz w:val="22"/>
          <w:szCs w:val="22"/>
          <w:color w:val="auto"/>
        </w:rPr>
        <w:t>during the two-year period following a Change of Control, this Policy may not be amended or terminated in any manner materially adverse to an Executive without the written consent of such Executive.</w:t>
      </w:r>
    </w:p>
    <w:p>
      <w:pPr>
        <w:spacing w:after="0" w:line="219" w:lineRule="exact"/>
        <w:rPr>
          <w:rFonts w:ascii="Times New Roman" w:cs="Times New Roman" w:eastAsia="Times New Roman" w:hAnsi="Times New Roman"/>
          <w:sz w:val="22"/>
          <w:szCs w:val="22"/>
          <w:color w:val="auto"/>
        </w:rPr>
      </w:pPr>
    </w:p>
    <w:p>
      <w:pPr>
        <w:jc w:val="both"/>
        <w:ind w:firstLine="440"/>
        <w:spacing w:after="0" w:line="250" w:lineRule="auto"/>
        <w:tabs>
          <w:tab w:leader="none" w:pos="8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and effect of this Policy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Policy or any amendments hereof, or any breach or default hereunder, shall be submitted to, and determined and settled by, litigation in the state or federal courts in Florida.</w:t>
      </w:r>
    </w:p>
    <w:p>
      <w:pPr>
        <w:sectPr>
          <w:pgSz w:w="11900" w:h="16838" w:orient="portrait"/>
          <w:cols w:equalWidth="0" w:num="1">
            <w:col w:w="11220"/>
          </w:cols>
          <w:pgMar w:left="320" w:top="1422" w:right="359" w:bottom="1440" w:gutter="0" w:footer="0" w:header="0"/>
        </w:sectPr>
      </w:pPr>
    </w:p>
    <w:bookmarkStart w:id="119" w:name="page120"/>
    <w:bookmarkEnd w:id="119"/>
    <w:p>
      <w:pPr>
        <w:ind w:right="220"/>
        <w:spacing w:after="0" w:line="257" w:lineRule="auto"/>
        <w:rPr>
          <w:sz w:val="20"/>
          <w:szCs w:val="20"/>
          <w:color w:val="auto"/>
        </w:rPr>
      </w:pPr>
      <w:r>
        <w:rPr>
          <w:rFonts w:ascii="Times New Roman" w:cs="Times New Roman" w:eastAsia="Times New Roman" w:hAnsi="Times New Roman"/>
          <w:sz w:val="22"/>
          <w:szCs w:val="22"/>
          <w:color w:val="auto"/>
        </w:rPr>
        <w:t>The Executive and the Company hereby irrevocably submit to the exclusive jurisdiction of the state and federal courts sitting in Florida. Each of the Executive and the Company hereby irrevocably waives, to the fullest extent it may effectively do so, the defense of an inconvenient forum to the maintenance of any litigation in Florida.</w:t>
      </w:r>
    </w:p>
    <w:p>
      <w:pPr>
        <w:spacing w:after="0" w:line="213" w:lineRule="exact"/>
        <w:rPr>
          <w:sz w:val="20"/>
          <w:szCs w:val="20"/>
          <w:color w:val="auto"/>
        </w:rPr>
      </w:pPr>
    </w:p>
    <w:p>
      <w:pPr>
        <w:ind w:right="240" w:firstLine="440"/>
        <w:spacing w:after="0" w:line="250" w:lineRule="auto"/>
        <w:tabs>
          <w:tab w:leader="none" w:pos="8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No Executive shall be required to mitigate, by seeking employment or otherwise, the amount of any payment that the Company or its Subsidiaries becomes obligated to make under this Policy, and, except as expressly provided in this Policy, amounts or other benefits to be paid or provided to an Executive pursuant to this Policy shall not be reduced by reason of the Executive's obtaining other employment or receiving similar payments or benefits from another employer.</w:t>
      </w:r>
    </w:p>
    <w:p>
      <w:pPr>
        <w:spacing w:after="0" w:line="221" w:lineRule="exact"/>
        <w:rPr>
          <w:rFonts w:ascii="Times New Roman" w:cs="Times New Roman" w:eastAsia="Times New Roman" w:hAnsi="Times New Roman"/>
          <w:sz w:val="22"/>
          <w:szCs w:val="22"/>
          <w:color w:val="auto"/>
        </w:rPr>
      </w:pPr>
    </w:p>
    <w:p>
      <w:pPr>
        <w:ind w:right="80" w:firstLine="440"/>
        <w:spacing w:after="0" w:line="262" w:lineRule="exact"/>
        <w:tabs>
          <w:tab w:leader="none" w:pos="9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to Executives Outside the United States</w:t>
      </w:r>
      <w:r>
        <w:rPr>
          <w:rFonts w:ascii="Times New Roman" w:cs="Times New Roman" w:eastAsia="Times New Roman" w:hAnsi="Times New Roman"/>
          <w:sz w:val="22"/>
          <w:szCs w:val="22"/>
          <w:color w:val="auto"/>
        </w:rPr>
        <w:t>. The Committee may modify the terms and conditions of participation of any Executive who is then resident or primarily employed outside the United States or is subject to taxation by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in any manner deemed by the Committee to be necessary or appropriate in order that such terms and conditions shall conform to the laws, regulations, sound business practices or customs of the country in which the Executive is then resident or primarily employed.</w:t>
      </w:r>
    </w:p>
    <w:p>
      <w:pPr>
        <w:spacing w:after="0" w:line="218" w:lineRule="exact"/>
        <w:rPr>
          <w:rFonts w:ascii="Times New Roman" w:cs="Times New Roman" w:eastAsia="Times New Roman" w:hAnsi="Times New Roman"/>
          <w:sz w:val="22"/>
          <w:szCs w:val="22"/>
          <w:color w:val="auto"/>
        </w:rPr>
      </w:pPr>
    </w:p>
    <w:p>
      <w:pPr>
        <w:ind w:left="920" w:hanging="473"/>
        <w:spacing w:after="0"/>
        <w:tabs>
          <w:tab w:leader="none" w:pos="9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Invalidity of Provision</w:t>
      </w:r>
      <w:r>
        <w:rPr>
          <w:rFonts w:ascii="Times New Roman" w:cs="Times New Roman" w:eastAsia="Times New Roman" w:hAnsi="Times New Roman"/>
          <w:sz w:val="21"/>
          <w:szCs w:val="21"/>
          <w:color w:val="auto"/>
        </w:rPr>
        <w:t>. If any provision contained in this Policy, or any part thereof, is construed to be invalid</w:t>
      </w:r>
    </w:p>
    <w:p>
      <w:pPr>
        <w:spacing w:after="0" w:line="41"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22"/>
          <w:szCs w:val="22"/>
          <w:color w:val="auto"/>
        </w:rPr>
        <w:t>or unenforceable, the same shall not affect the remainder of the provisions, which shall be given full effect, without regard to the invalid portions, and any court having jurisdiction shall have the power to reduce the duration, scope and/or area of such provisions and, in its reduced form, said provision shall then be enforceable.</w:t>
      </w:r>
    </w:p>
    <w:p>
      <w:pPr>
        <w:sectPr>
          <w:pgSz w:w="11900" w:h="16838" w:orient="portrait"/>
          <w:cols w:equalWidth="0" w:num="1">
            <w:col w:w="11240"/>
          </w:cols>
          <w:pgMar w:left="320" w:top="1422" w:right="339" w:bottom="1440" w:gutter="0" w:footer="0" w:header="0"/>
        </w:sectPr>
      </w:pPr>
    </w:p>
    <w:bookmarkStart w:id="120" w:name="page121"/>
    <w:bookmarkEnd w:id="120"/>
    <w:p>
      <w:pPr>
        <w:jc w:val="right"/>
        <w:ind w:right="4139"/>
        <w:spacing w:after="0"/>
        <w:rPr>
          <w:sz w:val="20"/>
          <w:szCs w:val="20"/>
          <w:color w:val="auto"/>
        </w:rPr>
      </w:pPr>
      <w:r>
        <w:rPr>
          <w:rFonts w:ascii="Times New Roman" w:cs="Times New Roman" w:eastAsia="Times New Roman" w:hAnsi="Times New Roman"/>
          <w:sz w:val="22"/>
          <w:szCs w:val="22"/>
          <w:b w:val="1"/>
          <w:bCs w:val="1"/>
          <w:u w:val="single" w:color="auto"/>
          <w:color w:val="auto"/>
        </w:rPr>
        <w:t>Annex I</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80" w:type="dxa"/>
            <w:vAlign w:val="bottom"/>
          </w:tcPr>
          <w:p>
            <w:pPr>
              <w:spacing w:after="0"/>
              <w:rPr>
                <w:sz w:val="22"/>
                <w:szCs w:val="22"/>
                <w:color w:val="auto"/>
              </w:rPr>
            </w:pPr>
          </w:p>
        </w:tc>
        <w:tc>
          <w:tcPr>
            <w:tcW w:w="16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Non-CIC</w:t>
            </w: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CIC</w:t>
            </w:r>
          </w:p>
        </w:tc>
      </w:tr>
      <w:tr>
        <w:trPr>
          <w:trHeight w:val="234"/>
        </w:trPr>
        <w:tc>
          <w:tcPr>
            <w:tcW w:w="940" w:type="dxa"/>
            <w:vAlign w:val="bottom"/>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Type</w:t>
            </w:r>
          </w:p>
        </w:tc>
        <w:tc>
          <w:tcPr>
            <w:tcW w:w="360" w:type="dxa"/>
            <w:vAlign w:val="bottom"/>
          </w:tcPr>
          <w:p>
            <w:pPr>
              <w:spacing w:after="0"/>
              <w:rPr>
                <w:sz w:val="20"/>
                <w:szCs w:val="20"/>
                <w:color w:val="auto"/>
              </w:rPr>
            </w:pPr>
          </w:p>
        </w:tc>
        <w:tc>
          <w:tcPr>
            <w:tcW w:w="1740" w:type="dxa"/>
            <w:vAlign w:val="bottom"/>
            <w:gridSpan w:val="2"/>
          </w:tcPr>
          <w:p>
            <w:pPr>
              <w:ind w:left="80"/>
              <w:spacing w:after="0" w:line="233" w:lineRule="exact"/>
              <w:rPr>
                <w:sz w:val="20"/>
                <w:szCs w:val="20"/>
                <w:color w:val="auto"/>
              </w:rPr>
            </w:pPr>
            <w:r>
              <w:rPr>
                <w:rFonts w:ascii="Times New Roman" w:cs="Times New Roman" w:eastAsia="Times New Roman" w:hAnsi="Times New Roman"/>
                <w:sz w:val="22"/>
                <w:szCs w:val="22"/>
                <w:b w:val="1"/>
                <w:bCs w:val="1"/>
                <w:color w:val="auto"/>
              </w:rPr>
              <w:t>Severance Factor</w:t>
            </w:r>
          </w:p>
        </w:tc>
        <w:tc>
          <w:tcPr>
            <w:tcW w:w="2240" w:type="dxa"/>
            <w:vAlign w:val="bottom"/>
            <w:gridSpan w:val="2"/>
          </w:tcPr>
          <w:p>
            <w:pPr>
              <w:ind w:left="420"/>
              <w:spacing w:after="0" w:line="233" w:lineRule="exact"/>
              <w:rPr>
                <w:sz w:val="20"/>
                <w:szCs w:val="20"/>
                <w:color w:val="auto"/>
              </w:rPr>
            </w:pPr>
            <w:r>
              <w:rPr>
                <w:rFonts w:ascii="Times New Roman" w:cs="Times New Roman" w:eastAsia="Times New Roman" w:hAnsi="Times New Roman"/>
                <w:sz w:val="22"/>
                <w:szCs w:val="22"/>
                <w:b w:val="1"/>
                <w:bCs w:val="1"/>
                <w:color w:val="auto"/>
              </w:rPr>
              <w:t>Severance Factor</w:t>
            </w:r>
          </w:p>
        </w:tc>
      </w:tr>
      <w:tr>
        <w:trPr>
          <w:trHeight w:val="520"/>
        </w:trPr>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Chief</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80" w:type="dxa"/>
            <w:vAlign w:val="bottom"/>
          </w:tcPr>
          <w:p>
            <w:pPr>
              <w:spacing w:after="0"/>
              <w:rPr>
                <w:sz w:val="22"/>
                <w:szCs w:val="22"/>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 times</w:t>
            </w: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2.0 times</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Officer and/or</w:t>
            </w: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President</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w:t>
      </w:r>
    </w:p>
    <w:p>
      <w:pPr>
        <w:sectPr>
          <w:pgSz w:w="11900" w:h="16838" w:orient="portrait"/>
          <w:cols w:equalWidth="0" w:num="1">
            <w:col w:w="10139"/>
          </w:cols>
          <w:pgMar w:left="320" w:top="1418" w:right="1440"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 times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 times</w:t>
      </w:r>
    </w:p>
    <w:p>
      <w:pPr>
        <w:spacing w:after="0" w:line="28" w:lineRule="exact"/>
        <w:rPr>
          <w:sz w:val="20"/>
          <w:szCs w:val="20"/>
          <w:color w:val="auto"/>
        </w:rPr>
      </w:pPr>
    </w:p>
    <w:p>
      <w:pPr>
        <w:sectPr>
          <w:pgSz w:w="11900" w:h="16838" w:orient="portrait"/>
          <w:cols w:equalWidth="0" w:num="3">
            <w:col w:w="820" w:space="640"/>
            <w:col w:w="940" w:space="720"/>
            <w:col w:w="7019"/>
          </w:cols>
          <w:pgMar w:left="320" w:top="1418"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Officer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Other</w:t>
      </w:r>
    </w:p>
    <w:p>
      <w:pPr>
        <w:sectPr>
          <w:pgSz w:w="11900" w:h="16838" w:orient="portrait"/>
          <w:cols w:equalWidth="0" w:num="1">
            <w:col w:w="10139"/>
          </w:cols>
          <w:pgMar w:left="320" w:top="1418"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 times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 times</w:t>
      </w:r>
    </w:p>
    <w:p>
      <w:pPr>
        <w:spacing w:after="0" w:line="29" w:lineRule="exact"/>
        <w:rPr>
          <w:sz w:val="20"/>
          <w:szCs w:val="20"/>
          <w:color w:val="auto"/>
        </w:rPr>
      </w:pPr>
    </w:p>
    <w:p>
      <w:pPr>
        <w:sectPr>
          <w:pgSz w:w="11900" w:h="16838" w:orient="portrait"/>
          <w:cols w:equalWidth="0" w:num="3">
            <w:col w:w="980" w:space="640"/>
            <w:col w:w="940" w:space="720"/>
            <w:col w:w="6859"/>
          </w:cols>
          <w:pgMar w:left="320" w:top="1418"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Executives</w:t>
      </w:r>
    </w:p>
    <w:p>
      <w:pPr>
        <w:sectPr>
          <w:pgSz w:w="11900" w:h="16838" w:orient="portrait"/>
          <w:cols w:equalWidth="0" w:num="1">
            <w:col w:w="10139"/>
          </w:cols>
          <w:pgMar w:left="320" w:top="1418" w:right="1440" w:bottom="1440" w:gutter="0" w:footer="0" w:header="0"/>
          <w:type w:val="continuous"/>
        </w:sectPr>
      </w:pPr>
    </w:p>
    <w:bookmarkStart w:id="121" w:name="page122"/>
    <w:bookmarkEnd w:id="121"/>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acknowledge and agree that: (i) I have been designated as an Executive under the World Kinect Corporation Executive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Severance Policy (as amended or amended and restated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(ii) any payment, rights or benefits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the Policy are subject to all of the terms and conditions of the Policy, (iii) I consent to be bound by the terms of the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but not limited to, its clawback provisions (and consent to fully cooperate with World Kinect Corporation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any of my obligations pursuant to the Policy), and (iv) this acknowledgement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Acknowledgment</w:t>
      </w:r>
      <w:r>
        <w:rPr>
          <w:rFonts w:ascii="Times New Roman" w:cs="Times New Roman" w:eastAsia="Times New Roman" w:hAnsi="Times New Roman"/>
          <w:sz w:val="22"/>
          <w:szCs w:val="22"/>
          <w:color w:val="auto"/>
        </w:rPr>
        <w:t>”) and the Policy (together with those agreements and documents expressly referred to herein and therein,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specifically for the purposes referred to herein) constitute the entire agreement between me and World Kinect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regarding the subject matter hereof and thereof.</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722630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-13970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-29210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-29210</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22"/>
          <w:szCs w:val="22"/>
          <w:color w:val="auto"/>
        </w:rPr>
        <w:t>Date: ______________________________</w:t>
      </w:r>
    </w:p>
    <w:p>
      <w:pPr>
        <w:sectPr>
          <w:pgSz w:w="11900" w:h="16838" w:orient="portrait"/>
          <w:cols w:equalWidth="0" w:num="1">
            <w:col w:w="11120"/>
          </w:cols>
          <w:pgMar w:left="320" w:top="1418" w:right="4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Purpose</w:t>
      </w:r>
    </w:p>
    <w:p>
      <w:pPr>
        <w:spacing w:after="0" w:line="270"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The Board of Directors of World Kinect Corporation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has adopted this </w:t>
      </w:r>
      <w:r>
        <w:rPr>
          <w:rFonts w:ascii="Arial" w:cs="Arial" w:eastAsia="Arial" w:hAnsi="Arial"/>
          <w:sz w:val="22"/>
          <w:szCs w:val="22"/>
          <w:b w:val="1"/>
          <w:bCs w:val="1"/>
          <w:i w:val="1"/>
          <w:iCs w:val="1"/>
          <w:color w:val="auto"/>
        </w:rPr>
        <w:t>Securities Trading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Policy </w:t>
      </w:r>
      <w:r>
        <w:rPr>
          <w:rFonts w:ascii="Arial" w:cs="Arial" w:eastAsia="Arial" w:hAnsi="Arial"/>
          <w:sz w:val="22"/>
          <w:szCs w:val="22"/>
          <w:color w:val="auto"/>
        </w:rPr>
        <w:t>for directors, officers, employees, consultants and third-party service providers of the Company, 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subsidiaries and affiliates with respect to the trading of the Company’s securities, as well as the securities of publicly traded companies with whom we have a business relationship.</w:t>
      </w:r>
    </w:p>
    <w:p>
      <w:pPr>
        <w:spacing w:after="0" w:line="17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United States 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spacing w:after="0" w:line="179"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It is important that you understand the breadth of activities that constitute illegal insider trading and the consequences, which can be severe. Both the U.S. Securities and Exchange Commission (“</w:t>
      </w:r>
      <w:r>
        <w:rPr>
          <w:rFonts w:ascii="Arial" w:cs="Arial" w:eastAsia="Arial" w:hAnsi="Arial"/>
          <w:sz w:val="22"/>
          <w:szCs w:val="22"/>
          <w:b w:val="1"/>
          <w:bCs w:val="1"/>
          <w:color w:val="auto"/>
        </w:rPr>
        <w:t>SEC</w:t>
      </w:r>
      <w:r>
        <w:rPr>
          <w:rFonts w:ascii="Arial" w:cs="Arial" w:eastAsia="Arial" w:hAnsi="Arial"/>
          <w:sz w:val="22"/>
          <w:szCs w:val="22"/>
          <w:color w:val="auto"/>
        </w:rPr>
        <w:t>”) and the New York Stock Exchange investigate and are very effective at detecting insider trading. The SEC, together with the U.S. Attorneys, pursue insider trading violations vigorously. Cases have been successfully prosecuted against trading by employees through foreign accounts, trading by family members and friends, and trading involving only a small number of shares.</w:t>
      </w:r>
    </w:p>
    <w:p>
      <w:pPr>
        <w:spacing w:after="0" w:line="181"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 xml:space="preserve">This policy is effective December 4, 2025, and supersedes the Company’s </w:t>
      </w:r>
      <w:r>
        <w:rPr>
          <w:rFonts w:ascii="Arial" w:cs="Arial" w:eastAsia="Arial" w:hAnsi="Arial"/>
          <w:sz w:val="22"/>
          <w:szCs w:val="22"/>
          <w:b w:val="1"/>
          <w:bCs w:val="1"/>
          <w:i w:val="1"/>
          <w:iCs w:val="1"/>
          <w:color w:val="auto"/>
        </w:rPr>
        <w:t>Securities Trading Policy</w:t>
      </w:r>
      <w:r>
        <w:rPr>
          <w:rFonts w:ascii="Arial" w:cs="Arial" w:eastAsia="Arial" w:hAnsi="Arial"/>
          <w:sz w:val="22"/>
          <w:szCs w:val="22"/>
          <w:color w:val="auto"/>
        </w:rPr>
        <w:t xml:space="preserve"> dated September 10, 2024.</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Scope of Policy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Persons Covered</w:t>
      </w:r>
    </w:p>
    <w:p>
      <w:pPr>
        <w:spacing w:after="0" w:line="26" w:lineRule="exact"/>
        <w:rPr>
          <w:sz w:val="20"/>
          <w:szCs w:val="20"/>
          <w:color w:val="auto"/>
        </w:rPr>
      </w:pPr>
    </w:p>
    <w:p>
      <w:pPr>
        <w:jc w:val="both"/>
        <w:ind w:left="660"/>
        <w:spacing w:after="0" w:line="254" w:lineRule="auto"/>
        <w:rPr>
          <w:sz w:val="20"/>
          <w:szCs w:val="20"/>
          <w:color w:val="auto"/>
        </w:rPr>
      </w:pPr>
      <w:r>
        <w:rPr>
          <w:rFonts w:ascii="Arial" w:cs="Arial" w:eastAsia="Arial" w:hAnsi="Arial"/>
          <w:sz w:val="22"/>
          <w:szCs w:val="22"/>
          <w:color w:val="auto"/>
        </w:rPr>
        <w:t>As a director, officer, employee or consultant, or designated third party service provider of the Company, its subsidiaries or affiliates, this policy applies to you. The same restrictions that apply to you apply to your Related Persons.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policy, a </w:t>
      </w:r>
      <w:r>
        <w:rPr>
          <w:rFonts w:ascii="Arial" w:cs="Arial" w:eastAsia="Arial" w:hAnsi="Arial"/>
          <w:sz w:val="22"/>
          <w:szCs w:val="22"/>
          <w:b w:val="1"/>
          <w:bCs w:val="1"/>
          <w:color w:val="auto"/>
        </w:rPr>
        <w:t>Related Person</w:t>
      </w:r>
      <w:r>
        <w:rPr>
          <w:rFonts w:ascii="Arial" w:cs="Arial" w:eastAsia="Arial" w:hAnsi="Arial"/>
          <w:sz w:val="22"/>
          <w:szCs w:val="22"/>
          <w:color w:val="auto"/>
        </w:rPr>
        <w:t xml:space="preserve"> includes:</w:t>
      </w:r>
    </w:p>
    <w:p>
      <w:pPr>
        <w:spacing w:after="0" w:line="249" w:lineRule="exact"/>
        <w:rPr>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Your spouse, minor children and anyone else living in your household;</w:t>
      </w:r>
    </w:p>
    <w:p>
      <w:pPr>
        <w:spacing w:after="0" w:line="218" w:lineRule="exact"/>
        <w:rPr>
          <w:rFonts w:ascii="Times New Roman" w:cs="Times New Roman" w:eastAsia="Times New Roman" w:hAnsi="Times New Roman"/>
          <w:sz w:val="22"/>
          <w:szCs w:val="22"/>
          <w:color w:val="auto"/>
        </w:rPr>
      </w:pPr>
    </w:p>
    <w:p>
      <w:pPr>
        <w:jc w:val="both"/>
        <w:ind w:left="1300" w:hanging="320"/>
        <w:spacing w:after="0" w:line="263" w:lineRule="auto"/>
        <w:tabs>
          <w:tab w:leader="none" w:pos="1295" w:val="left"/>
        </w:tabs>
        <w:numPr>
          <w:ilvl w:val="0"/>
          <w:numId w:val="73"/>
        </w:numPr>
        <w:rPr>
          <w:rFonts w:ascii="Times New Roman" w:cs="Times New Roman" w:eastAsia="Times New Roman" w:hAnsi="Times New Roman"/>
          <w:sz w:val="22"/>
          <w:szCs w:val="22"/>
          <w:color w:val="auto"/>
        </w:rPr>
      </w:pPr>
      <w:r>
        <w:rPr>
          <w:rFonts w:ascii="Arial" w:cs="Arial" w:eastAsia="Arial" w:hAnsi="Arial"/>
          <w:sz w:val="22"/>
          <w:szCs w:val="22"/>
          <w:color w:val="auto"/>
        </w:rPr>
        <w:t>Any family members who do not live in your household but whose transactions in Company securities are directed by you or are subject to your influence or control (such as parents or children who consult with you before they trade in Company securities);</w:t>
      </w:r>
    </w:p>
    <w:p>
      <w:pPr>
        <w:sectPr>
          <w:pgSz w:w="11900" w:h="16838" w:orient="portrait"/>
          <w:cols w:equalWidth="0" w:num="1">
            <w:col w:w="11240"/>
          </w:cols>
          <w:pgMar w:left="320" w:top="122" w:right="339" w:bottom="1440" w:gutter="0" w:footer="0" w:header="0"/>
        </w:sectPr>
      </w:pPr>
    </w:p>
    <w:bookmarkStart w:id="123" w:name="page124"/>
    <w:bookmarkEnd w:id="123"/>
    <w:p>
      <w:pPr>
        <w:ind w:left="1300" w:hanging="320"/>
        <w:spacing w:after="0" w:line="271" w:lineRule="auto"/>
        <w:tabs>
          <w:tab w:leader="none" w:pos="1295"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2"/>
          <w:szCs w:val="22"/>
          <w:color w:val="auto"/>
        </w:rPr>
        <w:t>Partnerships in which you are a general partner or corporations in which you are a controlling shareholder;</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2"/>
          <w:szCs w:val="22"/>
          <w:color w:val="auto"/>
        </w:rPr>
        <w:t>Trusts of which you are a trustee; and</w:t>
      </w:r>
    </w:p>
    <w:p>
      <w:pPr>
        <w:spacing w:after="0" w:line="23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22"/>
          <w:szCs w:val="22"/>
          <w:color w:val="auto"/>
        </w:rPr>
        <w:t>Estates of which you are an executor.</w:t>
      </w:r>
    </w:p>
    <w:p>
      <w:pPr>
        <w:spacing w:after="0" w:line="246"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22"/>
          <w:szCs w:val="22"/>
          <w:color w:val="auto"/>
        </w:rPr>
        <w:t>You are responsible for making sure that the purchase or sale of any security covered by this policy by your Related Persons complies with this policy.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Companies Covered</w:t>
      </w:r>
    </w:p>
    <w:p>
      <w:pPr>
        <w:spacing w:after="0" w:line="2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The prohibition on insider trading in this policy is not limited to trading in the Company’s securities. It includes trading in the securities of other companies with which the Company has a business relationship (any such company, a “</w:t>
      </w:r>
      <w:r>
        <w:rPr>
          <w:rFonts w:ascii="Arial" w:cs="Arial" w:eastAsia="Arial" w:hAnsi="Arial"/>
          <w:sz w:val="22"/>
          <w:szCs w:val="22"/>
          <w:b w:val="1"/>
          <w:bCs w:val="1"/>
          <w:color w:val="auto"/>
        </w:rPr>
        <w:t>Business Partner</w:t>
      </w:r>
      <w:r>
        <w:rPr>
          <w:rFonts w:ascii="Arial" w:cs="Arial" w:eastAsia="Arial" w:hAnsi="Arial"/>
          <w:sz w:val="22"/>
          <w:szCs w:val="22"/>
          <w:color w:val="auto"/>
        </w:rPr>
        <w:t>”), such as customers or suppliers of the Company and those with which the Company may be negotiating major transactions, such as an acquisition, investment or sale. Information that is not material to the Company may nevertheless be material to a Business Partner.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Transactions Covered</w:t>
      </w:r>
    </w:p>
    <w:p>
      <w:pPr>
        <w:spacing w:after="0" w:line="26" w:lineRule="exact"/>
        <w:rPr>
          <w:sz w:val="20"/>
          <w:szCs w:val="20"/>
          <w:color w:val="auto"/>
        </w:rPr>
      </w:pPr>
    </w:p>
    <w:p>
      <w:pPr>
        <w:jc w:val="both"/>
        <w:ind w:left="660"/>
        <w:spacing w:after="0" w:line="266" w:lineRule="auto"/>
        <w:rPr>
          <w:sz w:val="20"/>
          <w:szCs w:val="20"/>
          <w:color w:val="auto"/>
        </w:rPr>
      </w:pPr>
      <w:r>
        <w:rPr>
          <w:rFonts w:ascii="Arial" w:cs="Arial" w:eastAsia="Arial" w:hAnsi="Arial"/>
          <w:sz w:val="22"/>
          <w:szCs w:val="22"/>
          <w:color w:val="auto"/>
        </w:rPr>
        <w:t>Trading includes purchases and sales of stock and derivative securities such as put and call options, as well as charitable gifts of securities.</w:t>
      </w:r>
    </w:p>
    <w:p>
      <w:pPr>
        <w:spacing w:after="0" w:line="151"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Statement of Policy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Trading on Inside Information</w:t>
      </w:r>
    </w:p>
    <w:p>
      <w:pPr>
        <w:spacing w:after="0" w:line="26"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You may not trade in the securities of the Company, directly or through family members or other persons or entities, if you are aware of material nonpublic information relating to the Company. Similarly, you may not trade in the securities of any Business Partner, directly or through family members or other persons or entities, if you are aware of material nonpublic information about that Business Partner that you obtained in the course of your employment or service with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Tipping</w:t>
      </w:r>
    </w:p>
    <w:p>
      <w:pPr>
        <w:spacing w:after="0" w:line="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You may not pass material nonpublic information on to others or recommend to anyone the purchase or sale of any securities when you are aware of such information. This practice, known as “</w:t>
      </w:r>
      <w:r>
        <w:rPr>
          <w:rFonts w:ascii="Arial" w:cs="Arial" w:eastAsia="Arial" w:hAnsi="Arial"/>
          <w:sz w:val="22"/>
          <w:szCs w:val="22"/>
          <w:b w:val="1"/>
          <w:bCs w:val="1"/>
          <w:color w:val="auto"/>
        </w:rPr>
        <w:t>tipping</w:t>
      </w:r>
      <w:r>
        <w:rPr>
          <w:rFonts w:ascii="Arial" w:cs="Arial" w:eastAsia="Arial" w:hAnsi="Arial"/>
          <w:sz w:val="22"/>
          <w:szCs w:val="22"/>
          <w:color w:val="auto"/>
        </w:rPr>
        <w:t>,” also violates the securities laws and can result in the same civil and criminal penalties that apply to insider trading, even though you did not trade and did not gain any benefit from another’s trading.</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Stock Option Exercises and Restricted Stock Vesting</w:t>
      </w:r>
    </w:p>
    <w:p>
      <w:pPr>
        <w:spacing w:after="0" w:line="2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This policy’s trading restrictions generally do not apply to the exercise of a stock option of the Company. The trading restrictions do apply, however, to any sale of</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660"/>
        <w:spacing w:after="0" w:line="257" w:lineRule="auto"/>
        <w:rPr>
          <w:sz w:val="20"/>
          <w:szCs w:val="20"/>
          <w:color w:val="auto"/>
        </w:rPr>
      </w:pPr>
      <w:r>
        <w:rPr>
          <w:rFonts w:ascii="Arial" w:cs="Arial" w:eastAsia="Arial" w:hAnsi="Arial"/>
          <w:sz w:val="22"/>
          <w:szCs w:val="22"/>
          <w:color w:val="auto"/>
        </w:rPr>
        <w:t>the underlying stock of an option or to cashless transactions with the Company, unless such cashless transaction is for the purpose of covering the exercise price and taxes relating to a stock option that is scheduled to expire during a blackout period, or for covering the taxes relating to restricted stock that vests during a blackout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Dividend Reinvestment</w:t>
      </w:r>
    </w:p>
    <w:p>
      <w:pPr>
        <w:spacing w:after="0" w:line="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This policy’s trading restrictions generally do not apply to purchases of Company securities resulting from automatic reinvestments of dividends or distributions paid on Company securities pursuant to any Company or broker-sponsored dividend or distribution reinvestment plan (“DRIP”). This policy does apply, however, to voluntary purchases of Company securities resulting from additional contributions you choose to make to any DRIP, and to your election to participate in any DRIP or to increase or decrease your level of participation in any DRIP. This policy also applies to your sale of any Company securities purchased pursuant to a DRIP.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 Exception for Hardship</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existence of a personal financial emergency does not excuse you from complying with this policy.</w:t>
      </w:r>
    </w:p>
    <w:p>
      <w:pPr>
        <w:spacing w:after="0" w:line="188"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Definition of Material Nonpublic Information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Note that inside information has two important elements - materiality and public availability: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Material Information</w:t>
      </w:r>
    </w:p>
    <w:p>
      <w:pPr>
        <w:spacing w:after="0" w:line="26"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Information is material if there is a substantial likelihood that a reasonable investor would consider it important in deciding whether to buy, hold or sell a security. Any information that could reasonably be expected to affect the price of the security is material. Common examples of information that is likely to be material are:</w:t>
      </w:r>
    </w:p>
    <w:p>
      <w:pPr>
        <w:spacing w:after="0" w:line="166" w:lineRule="exact"/>
        <w:rPr>
          <w:sz w:val="20"/>
          <w:szCs w:val="20"/>
          <w:color w:val="auto"/>
        </w:rPr>
      </w:pPr>
    </w:p>
    <w:p>
      <w:pPr>
        <w:ind w:left="1300" w:hanging="320"/>
        <w:spacing w:after="0"/>
        <w:tabs>
          <w:tab w:leader="none" w:pos="1300"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Projections of future earnings or losses or other earnings guidance.</w:t>
      </w:r>
    </w:p>
    <w:p>
      <w:pPr>
        <w:spacing w:after="0" w:line="23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Earnings results.</w:t>
      </w:r>
    </w:p>
    <w:p>
      <w:pPr>
        <w:spacing w:after="0" w:line="218"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A pending or proposed significant merger, acquisition or tender offer or an acquisition or disposition of significant assets.</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A change in executive management.</w:t>
      </w:r>
    </w:p>
    <w:p>
      <w:pPr>
        <w:spacing w:after="0" w:line="218" w:lineRule="exact"/>
        <w:rPr>
          <w:rFonts w:ascii="Times New Roman" w:cs="Times New Roman" w:eastAsia="Times New Roman" w:hAnsi="Times New Roman"/>
          <w:sz w:val="22"/>
          <w:szCs w:val="22"/>
          <w:color w:val="auto"/>
        </w:rPr>
      </w:pPr>
    </w:p>
    <w:p>
      <w:pPr>
        <w:ind w:left="1300" w:hanging="320"/>
        <w:spacing w:after="0" w:line="284" w:lineRule="auto"/>
        <w:tabs>
          <w:tab w:leader="none" w:pos="1295" w:val="left"/>
        </w:tabs>
        <w:numPr>
          <w:ilvl w:val="0"/>
          <w:numId w:val="75"/>
        </w:numPr>
        <w:rPr>
          <w:rFonts w:ascii="Times New Roman" w:cs="Times New Roman" w:eastAsia="Times New Roman" w:hAnsi="Times New Roman"/>
          <w:sz w:val="22"/>
          <w:szCs w:val="22"/>
          <w:color w:val="auto"/>
        </w:rPr>
      </w:pPr>
      <w:r>
        <w:rPr>
          <w:rFonts w:ascii="Arial" w:cs="Arial" w:eastAsia="Arial" w:hAnsi="Arial"/>
          <w:sz w:val="22"/>
          <w:szCs w:val="22"/>
          <w:color w:val="auto"/>
        </w:rPr>
        <w:t>Major events regarding the Company’s securities, including the declaration of a stock split, changes in dividends or the offering of additional securities.</w:t>
      </w:r>
    </w:p>
    <w:p>
      <w:pPr>
        <w:sectPr>
          <w:pgSz w:w="11900" w:h="16838" w:orient="portrait"/>
          <w:cols w:equalWidth="0" w:num="1">
            <w:col w:w="11240"/>
          </w:cols>
          <w:pgMar w:left="320" w:top="1422" w:right="339" w:bottom="1440" w:gutter="0" w:footer="0" w:header="0"/>
        </w:sectPr>
      </w:pPr>
    </w:p>
    <w:bookmarkStart w:id="125" w:name="page126"/>
    <w:bookmarkEnd w:id="125"/>
    <w:p>
      <w:pPr>
        <w:ind w:left="1300" w:hanging="320"/>
        <w:spacing w:after="0"/>
        <w:tabs>
          <w:tab w:leader="none" w:pos="1300" w:val="left"/>
        </w:tabs>
        <w:numPr>
          <w:ilvl w:val="0"/>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An extraordinary item for accounting purposes.</w:t>
      </w:r>
    </w:p>
    <w:p>
      <w:pPr>
        <w:spacing w:after="0" w:line="21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Severe financial liquidity problems.</w:t>
      </w:r>
    </w:p>
    <w:p>
      <w:pPr>
        <w:spacing w:after="0" w:line="21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Actual or threatened material litigation, or the resolution of such litigation.</w:t>
      </w:r>
    </w:p>
    <w:p>
      <w:pPr>
        <w:spacing w:after="0" w:line="232" w:lineRule="exact"/>
        <w:rPr>
          <w:rFonts w:ascii="Times New Roman" w:cs="Times New Roman" w:eastAsia="Times New Roman" w:hAnsi="Times New Roman"/>
          <w:sz w:val="22"/>
          <w:szCs w:val="22"/>
          <w:color w:val="auto"/>
        </w:rPr>
      </w:pPr>
    </w:p>
    <w:p>
      <w:pPr>
        <w:jc w:val="both"/>
        <w:ind w:left="1300" w:hanging="320"/>
        <w:spacing w:after="0" w:line="252" w:lineRule="auto"/>
        <w:tabs>
          <w:tab w:leader="none" w:pos="1295" w:val="left"/>
        </w:tabs>
        <w:numPr>
          <w:ilvl w:val="0"/>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An investigation, assessment or occurrence of a material cybersecurity incident, such as a data breach or any other significant disruption in the Company’s operations, including unauthorized access of the Company’s property or assets, whether at its facilities or through its information technology infrastructure.</w:t>
      </w:r>
    </w:p>
    <w:p>
      <w:pPr>
        <w:spacing w:after="0" w:line="17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The gain or loss of significant contracts, orders, suppliers, customers or financing sources.</w:t>
      </w:r>
    </w:p>
    <w:p>
      <w:pPr>
        <w:spacing w:after="0" w:line="232"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Nonpublic Information</w:t>
      </w:r>
    </w:p>
    <w:p>
      <w:pPr>
        <w:spacing w:after="0" w:line="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Nonpublic information is information that is not generally known or available to the public. One common misconception is that material information loses its “</w:t>
      </w:r>
      <w:r>
        <w:rPr>
          <w:rFonts w:ascii="Arial" w:cs="Arial" w:eastAsia="Arial" w:hAnsi="Arial"/>
          <w:sz w:val="22"/>
          <w:szCs w:val="22"/>
          <w:b w:val="1"/>
          <w:bCs w:val="1"/>
          <w:color w:val="auto"/>
        </w:rPr>
        <w:t>nonpublic</w:t>
      </w:r>
      <w:r>
        <w:rPr>
          <w:rFonts w:ascii="Arial" w:cs="Arial" w:eastAsia="Arial" w:hAnsi="Arial"/>
          <w:sz w:val="22"/>
          <w:szCs w:val="22"/>
          <w:color w:val="auto"/>
        </w:rPr>
        <w:t>”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information is considered nonpublic until the beginning of the second full trading day after the information is released.</w:t>
      </w:r>
    </w:p>
    <w:p>
      <w:pPr>
        <w:spacing w:after="0" w:line="175"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Additional Restrictions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Short Sales</w:t>
      </w:r>
    </w:p>
    <w:p>
      <w:pPr>
        <w:spacing w:after="0" w:line="39"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color w:val="auto"/>
        </w:rPr>
        <w:t>You may not engage in short sales of the Company’s securities (sales of securities that are not then owned), including a "</w:t>
      </w:r>
      <w:r>
        <w:rPr>
          <w:rFonts w:ascii="Arial" w:cs="Arial" w:eastAsia="Arial" w:hAnsi="Arial"/>
          <w:sz w:val="22"/>
          <w:szCs w:val="22"/>
          <w:b w:val="1"/>
          <w:bCs w:val="1"/>
          <w:color w:val="auto"/>
        </w:rPr>
        <w:t>sale against the box</w:t>
      </w:r>
      <w:r>
        <w:rPr>
          <w:rFonts w:ascii="Arial" w:cs="Arial" w:eastAsia="Arial" w:hAnsi="Arial"/>
          <w:sz w:val="22"/>
          <w:szCs w:val="22"/>
          <w:color w:val="auto"/>
        </w:rPr>
        <w:t>" (a sale with delayed delivery).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Publicly Traded Options</w:t>
      </w:r>
    </w:p>
    <w:p>
      <w:pPr>
        <w:spacing w:after="0" w:line="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You may not engage in transactions in publicly traded options based on the Company’s securities, such as puts, calls and other derivative securities, on an exchange or in any other organized market.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Standing Orders</w:t>
      </w:r>
    </w:p>
    <w:p>
      <w:pPr>
        <w:spacing w:after="0" w:line="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A standing order placed with a broker to sell or purchase stock at a specified price leaves you with no control over the timing of the transaction. A standing order transaction executed by the broker when you are aware of material</w:t>
      </w:r>
    </w:p>
    <w:p>
      <w:pPr>
        <w:sectPr>
          <w:pgSz w:w="11900" w:h="16838" w:orient="portrait"/>
          <w:cols w:equalWidth="0" w:num="1">
            <w:col w:w="11240"/>
          </w:cols>
          <w:pgMar w:left="320" w:top="1422" w:right="339" w:bottom="1440" w:gutter="0" w:footer="0" w:header="0"/>
        </w:sectPr>
      </w:pPr>
    </w:p>
    <w:bookmarkStart w:id="126" w:name="page127"/>
    <w:bookmarkEnd w:id="126"/>
    <w:p>
      <w:pPr>
        <w:jc w:val="both"/>
        <w:ind w:left="660"/>
        <w:spacing w:after="0" w:line="257" w:lineRule="auto"/>
        <w:rPr>
          <w:sz w:val="20"/>
          <w:szCs w:val="20"/>
          <w:color w:val="auto"/>
        </w:rPr>
      </w:pPr>
      <w:r>
        <w:rPr>
          <w:rFonts w:ascii="Arial" w:cs="Arial" w:eastAsia="Arial" w:hAnsi="Arial"/>
          <w:sz w:val="22"/>
          <w:szCs w:val="22"/>
          <w:color w:val="auto"/>
        </w:rPr>
        <w:t>nonpublic information may result in unlawful insider trading. Consequently, no standing orders for Company securities (except standing orders under approved 10b5-1 plans) may remain open at the end of any trading 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Hedging Transactions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Hedging and monetization transactions, or any transaction that hedges or offsets, or is designed to hedge or offset, any decrease in the market value of the Company’s securities, such as prepaid variable forward contracts, equity swaps, collars, and exchange funds (which we refer to as “Hedging Transactions”), allow you to lock in much of the value of your stock holdings, often in exchange for all or part of the potential for upside appreciation in the stock. These transactions allow you to continue to own the covered securities, but without the full risks and rewards of ownership. When that occurs, your interests may no longer be aligned with those of the Company’s other shareholders. For this reason, neither you nor any Related Person may engage in any Hedging Transactions involving any securities held directly or indirectly by you or any Related Person, including those granted to you as part of your compensation.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Margin Accounts and Pledges</w:t>
      </w:r>
    </w:p>
    <w:p>
      <w:pPr>
        <w:spacing w:after="0" w:line="39"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the Company strongly discourages holding Company securities in a margin account or pledging Company securities as collateral for a loan. Reporting Persons (defined below) who wish to engage in these types of transactions must first obtain the approval of the Company’s Corporate Secretary or Assistant Corporate Secretary and the Governance Committee as provided under the section below entitled “</w:t>
      </w:r>
      <w:r>
        <w:rPr>
          <w:rFonts w:ascii="Arial" w:cs="Arial" w:eastAsia="Arial" w:hAnsi="Arial"/>
          <w:sz w:val="22"/>
          <w:szCs w:val="22"/>
          <w:b w:val="1"/>
          <w:bCs w:val="1"/>
          <w:color w:val="auto"/>
        </w:rPr>
        <w:t>Pre-Clearance and Pre-Approval Requirements</w:t>
      </w:r>
      <w:r>
        <w:rPr>
          <w:rFonts w:ascii="Arial" w:cs="Arial" w:eastAsia="Arial" w:hAnsi="Arial"/>
          <w:sz w:val="22"/>
          <w:szCs w:val="22"/>
          <w:color w:val="auto"/>
        </w:rPr>
        <w:t>,” and there is no assurance that approval will be granted.</w:t>
      </w:r>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Blackout Procedures</w:t>
      </w:r>
    </w:p>
    <w:p>
      <w:pPr>
        <w:spacing w:after="0" w:line="245" w:lineRule="exact"/>
        <w:rPr>
          <w:sz w:val="20"/>
          <w:szCs w:val="20"/>
          <w:color w:val="auto"/>
        </w:rPr>
      </w:pPr>
    </w:p>
    <w:p>
      <w:pPr>
        <w:jc w:val="both"/>
        <w:ind w:left="660"/>
        <w:spacing w:after="0" w:line="285" w:lineRule="auto"/>
        <w:rPr>
          <w:sz w:val="20"/>
          <w:szCs w:val="20"/>
          <w:color w:val="auto"/>
        </w:rPr>
      </w:pPr>
      <w:r>
        <w:rPr>
          <w:rFonts w:ascii="Arial" w:cs="Arial" w:eastAsia="Arial" w:hAnsi="Arial"/>
          <w:sz w:val="22"/>
          <w:szCs w:val="22"/>
          <w:color w:val="auto"/>
        </w:rPr>
        <w:t>To help prevent inadvertent violations of the federal securities laws and to avoid even the appearance of trading on the basis of inside information, this policy imposes the trading restrictions described below.</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Quarterly Blackout Periods</w:t>
      </w:r>
    </w:p>
    <w:p>
      <w:pPr>
        <w:spacing w:after="0" w:line="26"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The Company’s announcement of its quarterly financial results almost always has the potential to have a material effect on the market for the Company’s securities. Therefore, to avoid even the appearance of trading on the basis of material nonpublic information, in addition to being subject to all other limitations in this policy, the Company’s directors and officers who are subject to Section 16 of the Securities Exchange Act of 1934 (the “</w:t>
      </w:r>
      <w:r>
        <w:rPr>
          <w:rFonts w:ascii="Arial" w:cs="Arial" w:eastAsia="Arial" w:hAnsi="Arial"/>
          <w:sz w:val="22"/>
          <w:szCs w:val="22"/>
          <w:b w:val="1"/>
          <w:bCs w:val="1"/>
          <w:color w:val="auto"/>
        </w:rPr>
        <w:t>Exchange Act</w:t>
      </w:r>
      <w:r>
        <w:rPr>
          <w:rFonts w:ascii="Arial" w:cs="Arial" w:eastAsia="Arial" w:hAnsi="Arial"/>
          <w:sz w:val="22"/>
          <w:szCs w:val="22"/>
          <w:color w:val="auto"/>
        </w:rPr>
        <w:t>”) (“</w:t>
      </w:r>
      <w:r>
        <w:rPr>
          <w:rFonts w:ascii="Arial" w:cs="Arial" w:eastAsia="Arial" w:hAnsi="Arial"/>
          <w:sz w:val="22"/>
          <w:szCs w:val="22"/>
          <w:b w:val="1"/>
          <w:bCs w:val="1"/>
          <w:color w:val="auto"/>
        </w:rPr>
        <w:t>Reporting</w:t>
      </w:r>
    </w:p>
    <w:p>
      <w:pPr>
        <w:sectPr>
          <w:pgSz w:w="11900" w:h="16838" w:orient="portrait"/>
          <w:cols w:equalWidth="0" w:num="1">
            <w:col w:w="11240"/>
          </w:cols>
          <w:pgMar w:left="320" w:top="1422" w:right="339" w:bottom="1440" w:gutter="0" w:footer="0" w:header="0"/>
        </w:sectPr>
      </w:pPr>
    </w:p>
    <w:bookmarkStart w:id="127" w:name="page128"/>
    <w:bookmarkEnd w:id="127"/>
    <w:p>
      <w:pPr>
        <w:jc w:val="both"/>
        <w:ind w:left="660"/>
        <w:spacing w:after="0" w:line="247" w:lineRule="auto"/>
        <w:rPr>
          <w:sz w:val="20"/>
          <w:szCs w:val="20"/>
          <w:color w:val="auto"/>
        </w:rPr>
      </w:pPr>
      <w:r>
        <w:rPr>
          <w:rFonts w:ascii="Arial" w:cs="Arial" w:eastAsia="Arial" w:hAnsi="Arial"/>
          <w:sz w:val="22"/>
          <w:szCs w:val="22"/>
          <w:b w:val="1"/>
          <w:bCs w:val="1"/>
          <w:color w:val="auto"/>
        </w:rPr>
        <w:t>Persons</w:t>
      </w:r>
      <w:r>
        <w:rPr>
          <w:rFonts w:ascii="Arial" w:cs="Arial" w:eastAsia="Arial" w:hAnsi="Arial"/>
          <w:sz w:val="22"/>
          <w:szCs w:val="22"/>
          <w:color w:val="auto"/>
        </w:rPr>
        <w:t>”), as well as the classes of employees listed on the attached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and certain other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or consultants that will be designated from time to time by the Company’s Corporate Secretary or Assistant Corporate Secretary (collectively, “</w:t>
      </w:r>
      <w:r>
        <w:rPr>
          <w:rFonts w:ascii="Arial" w:cs="Arial" w:eastAsia="Arial" w:hAnsi="Arial"/>
          <w:sz w:val="22"/>
          <w:szCs w:val="22"/>
          <w:b w:val="1"/>
          <w:bCs w:val="1"/>
          <w:color w:val="auto"/>
        </w:rPr>
        <w:t>Restricted Employees</w:t>
      </w:r>
      <w:r>
        <w:rPr>
          <w:rFonts w:ascii="Arial" w:cs="Arial" w:eastAsia="Arial" w:hAnsi="Arial"/>
          <w:sz w:val="22"/>
          <w:szCs w:val="22"/>
          <w:color w:val="auto"/>
        </w:rPr>
        <w:t>”), together with their Related Persons, may not trade in the Company’s securities during the period beginning at the close of trading on the last day of the second month of each calendar quarter (i.e., February, May, August and November) (the “</w:t>
      </w:r>
      <w:r>
        <w:rPr>
          <w:rFonts w:ascii="Arial" w:cs="Arial" w:eastAsia="Arial" w:hAnsi="Arial"/>
          <w:sz w:val="22"/>
          <w:szCs w:val="22"/>
          <w:b w:val="1"/>
          <w:bCs w:val="1"/>
          <w:color w:val="auto"/>
        </w:rPr>
        <w:t>Blackout</w:t>
      </w:r>
      <w:r>
        <w:rPr>
          <w:rFonts w:ascii="Arial" w:cs="Arial" w:eastAsia="Arial" w:hAnsi="Arial"/>
          <w:sz w:val="22"/>
          <w:szCs w:val="22"/>
          <w:color w:val="auto"/>
        </w:rPr>
        <w:t xml:space="preserve"> </w:t>
      </w:r>
      <w:r>
        <w:rPr>
          <w:rFonts w:ascii="Arial" w:cs="Arial" w:eastAsia="Arial" w:hAnsi="Arial"/>
          <w:sz w:val="22"/>
          <w:szCs w:val="22"/>
          <w:b w:val="1"/>
          <w:bCs w:val="1"/>
          <w:color w:val="auto"/>
        </w:rPr>
        <w:t>Commencement</w:t>
      </w:r>
      <w:r>
        <w:rPr>
          <w:rFonts w:ascii="Arial" w:cs="Arial" w:eastAsia="Arial" w:hAnsi="Arial"/>
          <w:sz w:val="22"/>
          <w:szCs w:val="22"/>
          <w:color w:val="auto"/>
        </w:rPr>
        <w:t>”) and ending at the close of trading on the first full trading day following the filing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Quarterly Report on Form 10-Q or Annual Report on Form 10-K (collectively, a “</w:t>
      </w:r>
      <w:r>
        <w:rPr>
          <w:rFonts w:ascii="Arial" w:cs="Arial" w:eastAsia="Arial" w:hAnsi="Arial"/>
          <w:sz w:val="22"/>
          <w:szCs w:val="22"/>
          <w:b w:val="1"/>
          <w:bCs w:val="1"/>
          <w:color w:val="auto"/>
        </w:rPr>
        <w:t>Periodic Report</w:t>
      </w:r>
      <w:r>
        <w:rPr>
          <w:rFonts w:ascii="Arial" w:cs="Arial" w:eastAsia="Arial" w:hAnsi="Arial"/>
          <w:sz w:val="22"/>
          <w:szCs w:val="22"/>
          <w:color w:val="auto"/>
        </w:rPr>
        <w:t>”), as applicable, with the SEC (the “</w:t>
      </w:r>
      <w:r>
        <w:rPr>
          <w:rFonts w:ascii="Arial" w:cs="Arial" w:eastAsia="Arial" w:hAnsi="Arial"/>
          <w:sz w:val="22"/>
          <w:szCs w:val="22"/>
          <w:b w:val="1"/>
          <w:bCs w:val="1"/>
          <w:color w:val="auto"/>
        </w:rPr>
        <w:t>Blackout Lift</w:t>
      </w:r>
      <w:r>
        <w:rPr>
          <w:rFonts w:ascii="Arial" w:cs="Arial" w:eastAsia="Arial" w:hAnsi="Arial"/>
          <w:sz w:val="22"/>
          <w:szCs w:val="22"/>
          <w:color w:val="auto"/>
        </w:rPr>
        <w:t>” and the period between such date and the Blackout Commencement, the “</w:t>
      </w:r>
      <w:r>
        <w:rPr>
          <w:rFonts w:ascii="Arial" w:cs="Arial" w:eastAsia="Arial" w:hAnsi="Arial"/>
          <w:sz w:val="22"/>
          <w:szCs w:val="22"/>
          <w:b w:val="1"/>
          <w:bCs w:val="1"/>
          <w:color w:val="auto"/>
        </w:rPr>
        <w:t>Trading Window</w:t>
      </w:r>
      <w:r>
        <w:rPr>
          <w:rFonts w:ascii="Arial" w:cs="Arial" w:eastAsia="Arial" w:hAnsi="Arial"/>
          <w:sz w:val="22"/>
          <w:szCs w:val="22"/>
          <w:color w:val="auto"/>
        </w:rPr>
        <w:t>”). For example, if the Company files its Quarterly Report on Form 10-Q with the SEC before trading begins on a Tuesday, the first time a Restricted Employee can buy or sell Company securities is the opening of the market on Wednesday (assuming they are not aware of other material nonpublic information at that time). However, if the Company files its Quarterly Report on Form 10-Q with the SEC after trading begins on that Tuesday, the first time a Restricted Employee can buy or sell Company securities is the opening of the market on Thursday.</w:t>
      </w:r>
    </w:p>
    <w:p>
      <w:pPr>
        <w:spacing w:after="0" w:line="205" w:lineRule="exact"/>
        <w:rPr>
          <w:sz w:val="20"/>
          <w:szCs w:val="20"/>
          <w:color w:val="auto"/>
        </w:rPr>
      </w:pPr>
    </w:p>
    <w:p>
      <w:pPr>
        <w:jc w:val="both"/>
        <w:ind w:left="660"/>
        <w:spacing w:after="0" w:line="275" w:lineRule="auto"/>
        <w:rPr>
          <w:sz w:val="20"/>
          <w:szCs w:val="20"/>
          <w:color w:val="auto"/>
        </w:rPr>
      </w:pPr>
      <w:r>
        <w:rPr>
          <w:rFonts w:ascii="Arial" w:cs="Arial" w:eastAsia="Arial" w:hAnsi="Arial"/>
          <w:sz w:val="21"/>
          <w:szCs w:val="21"/>
          <w:color w:val="auto"/>
        </w:rPr>
        <w:t>In the event that the Company has filed a Periodic Report on a date such that the Trading Window as provided herein would be less than five (5) full trading days, then the Blackout Lift and/or the Blackout Commencement may be extended by the Company such that the Trading Window consists of five (5) full trading days.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Event-Specific Blackout Periods</w:t>
      </w:r>
    </w:p>
    <w:p>
      <w:pPr>
        <w:spacing w:after="0" w:line="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In addition to the quarterly blackout periods, the Company may, from time to time, impose event-specific blackout periods, including upon the occurrence of those events listed under “Definition of Material Nonpublic Information”. The Company will notify you when an event-specific blackout period has been put into effect or a blackout period has been extended, but may not inform you of the reason for such event-specific blackout. You may not trade in the Company’s securities until the Company notifies you that the blackout has been lifted. If the Company notifies you of an event-specific blackout period, you may not disclose to others the fact that you are subject to the event-specific blackout period. Even if a blackout period is not in effect, at no time may you trade in Company securities if you are aware of material nonpublic information about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Exception for Approved 10b5-1 Plans</w:t>
      </w:r>
    </w:p>
    <w:p>
      <w:pPr>
        <w:spacing w:after="0" w:line="245" w:lineRule="exact"/>
        <w:rPr>
          <w:sz w:val="20"/>
          <w:szCs w:val="20"/>
          <w:color w:val="auto"/>
        </w:rPr>
      </w:pPr>
    </w:p>
    <w:p>
      <w:pPr>
        <w:jc w:val="both"/>
        <w:ind w:left="660" w:right="20"/>
        <w:spacing w:after="0" w:line="257" w:lineRule="auto"/>
        <w:rPr>
          <w:sz w:val="20"/>
          <w:szCs w:val="20"/>
          <w:color w:val="auto"/>
        </w:rPr>
      </w:pPr>
      <w:r>
        <w:rPr>
          <w:rFonts w:ascii="Arial" w:cs="Arial" w:eastAsia="Arial" w:hAnsi="Arial"/>
          <w:sz w:val="22"/>
          <w:szCs w:val="22"/>
          <w:color w:val="auto"/>
        </w:rPr>
        <w:t>Trades in the Company’s securities that are executed pursuant to an approved 10b5-1 plan are not subject to the prohibition on trading on the basis of material nonpublic information contained in this policy or to the trading restrictions set forth above relating to blackout periods.</w:t>
      </w:r>
    </w:p>
    <w:p>
      <w:pPr>
        <w:sectPr>
          <w:pgSz w:w="11900" w:h="16838" w:orient="portrait"/>
          <w:cols w:equalWidth="0" w:num="1">
            <w:col w:w="11240"/>
          </w:cols>
          <w:pgMar w:left="320" w:top="1420" w:right="339" w:bottom="1440" w:gutter="0" w:footer="0" w:header="0"/>
        </w:sectPr>
      </w:pPr>
    </w:p>
    <w:bookmarkStart w:id="128" w:name="page129"/>
    <w:bookmarkEnd w:id="128"/>
    <w:p>
      <w:pPr>
        <w:jc w:val="both"/>
        <w:spacing w:after="0" w:line="251" w:lineRule="auto"/>
        <w:rPr>
          <w:sz w:val="20"/>
          <w:szCs w:val="20"/>
          <w:color w:val="auto"/>
        </w:rPr>
      </w:pPr>
      <w:r>
        <w:rPr>
          <w:rFonts w:ascii="Arial" w:cs="Arial" w:eastAsia="Arial" w:hAnsi="Arial"/>
          <w:sz w:val="22"/>
          <w:szCs w:val="22"/>
          <w:color w:val="auto"/>
        </w:rPr>
        <w:t>Rule 10b5-1 of the Exchange Act provides an affirmative defense from insider trading liability under the federal securities laws for trading plans that meet certain requirements. The Company requires that all 10b5-1 plans to be entered into by those individuals who are subject to a blackout period be approved in advance by the Company’s Legal Department. 10b5-1 plans may not be adopted during a blackout period and may only be adopted by such individual when such individual is not in possession of material nonpublic information regarding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The Company’s Legal Department may only approve a 10b5-1 plan that complies with the following:</w:t>
      </w:r>
    </w:p>
    <w:p>
      <w:pPr>
        <w:spacing w:after="0" w:line="220" w:lineRule="exact"/>
        <w:rPr>
          <w:sz w:val="20"/>
          <w:szCs w:val="20"/>
          <w:color w:val="auto"/>
        </w:rPr>
      </w:pPr>
    </w:p>
    <w:p>
      <w:pPr>
        <w:jc w:val="both"/>
        <w:ind w:left="640" w:hanging="320"/>
        <w:spacing w:after="0" w:line="263" w:lineRule="auto"/>
        <w:tabs>
          <w:tab w:leader="none" w:pos="635" w:val="left"/>
        </w:tabs>
        <w:numPr>
          <w:ilvl w:val="0"/>
          <w:numId w:val="77"/>
        </w:numPr>
        <w:rPr>
          <w:rFonts w:ascii="Times New Roman" w:cs="Times New Roman" w:eastAsia="Times New Roman" w:hAnsi="Times New Roman"/>
          <w:sz w:val="22"/>
          <w:szCs w:val="22"/>
          <w:color w:val="auto"/>
        </w:rPr>
      </w:pPr>
      <w:r>
        <w:rPr>
          <w:rFonts w:ascii="Arial" w:cs="Arial" w:eastAsia="Arial" w:hAnsi="Arial"/>
          <w:sz w:val="22"/>
          <w:szCs w:val="22"/>
          <w:color w:val="auto"/>
        </w:rPr>
        <w:t>the contract or instructions to a third party are binding upon you, are in writing, provide definitive instructions regarding the amount, timing and price at which the securities may be sold or purchased, and remove any authority for you to modify the execution of the 10b5-1 plan;</w:t>
      </w:r>
    </w:p>
    <w:p>
      <w:pPr>
        <w:spacing w:after="0" w:line="166" w:lineRule="exact"/>
        <w:rPr>
          <w:rFonts w:ascii="Times New Roman" w:cs="Times New Roman" w:eastAsia="Times New Roman" w:hAnsi="Times New Roman"/>
          <w:sz w:val="22"/>
          <w:szCs w:val="22"/>
          <w:color w:val="auto"/>
        </w:rPr>
      </w:pPr>
    </w:p>
    <w:p>
      <w:pPr>
        <w:jc w:val="both"/>
        <w:ind w:left="640" w:hanging="320"/>
        <w:spacing w:after="0" w:line="275" w:lineRule="auto"/>
        <w:tabs>
          <w:tab w:leader="none" w:pos="635"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color w:val="auto"/>
        </w:rPr>
        <w:t>the 10b5-1 plan cannot be effective until (A) the later of (i) ninety days after adoption of the 10b5-1 plan, or (ii) two business days following the Company’s filing of a Periodic Report, if you are a Reporting Person, or (B) thirty days following the adoption of the 10b5-1 plan for all other subject employees;</w:t>
      </w:r>
    </w:p>
    <w:p>
      <w:pPr>
        <w:spacing w:after="0" w:line="154" w:lineRule="exact"/>
        <w:rPr>
          <w:rFonts w:ascii="Times New Roman" w:cs="Times New Roman" w:eastAsia="Times New Roman" w:hAnsi="Times New Roman"/>
          <w:sz w:val="21"/>
          <w:szCs w:val="21"/>
          <w:color w:val="auto"/>
        </w:rPr>
      </w:pPr>
    </w:p>
    <w:p>
      <w:pPr>
        <w:jc w:val="both"/>
        <w:ind w:left="640" w:hanging="320"/>
        <w:spacing w:after="0" w:line="266" w:lineRule="auto"/>
        <w:tabs>
          <w:tab w:leader="none" w:pos="635"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color w:val="auto"/>
        </w:rPr>
        <w:t>you certify within the 10b5-1 plan, as well as to the Company’s Legal Department, in writing, that at the time you entered into the plan: (i) you were not in possession of material nonpublic information concerning the Company; (ii) you adopted the plan in good faith and not as part of a plan or scheme to evade the prohibitions of Rule 10b-5; (iii) you have not entered into any other transactions that would have the effect of hedging the purchase or sale of the securities that are the subject of the plan; and (iv) the proposed trade would not result in a short-swing trade under Section 16 of the Exchange Act or fail to qualify for the safe harbor provided by Rule 144 under the Securities Act of 1933, as amended.</w:t>
      </w:r>
    </w:p>
    <w:p>
      <w:pPr>
        <w:spacing w:after="0" w:line="163"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77"/>
        </w:numPr>
        <w:rPr>
          <w:rFonts w:ascii="Times New Roman" w:cs="Times New Roman" w:eastAsia="Times New Roman" w:hAnsi="Times New Roman"/>
          <w:sz w:val="22"/>
          <w:szCs w:val="22"/>
          <w:color w:val="auto"/>
        </w:rPr>
      </w:pPr>
      <w:r>
        <w:rPr>
          <w:rFonts w:ascii="Arial" w:cs="Arial" w:eastAsia="Arial" w:hAnsi="Arial"/>
          <w:sz w:val="22"/>
          <w:szCs w:val="22"/>
          <w:color w:val="auto"/>
        </w:rPr>
        <w:t>you do not have any other 10b5-1 plan currently in effect; and</w:t>
      </w:r>
    </w:p>
    <w:p>
      <w:pPr>
        <w:spacing w:after="0" w:line="218"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77"/>
        </w:numPr>
        <w:rPr>
          <w:rFonts w:ascii="Times New Roman" w:cs="Times New Roman" w:eastAsia="Times New Roman" w:hAnsi="Times New Roman"/>
          <w:sz w:val="22"/>
          <w:szCs w:val="22"/>
          <w:color w:val="auto"/>
        </w:rPr>
      </w:pPr>
      <w:r>
        <w:rPr>
          <w:rFonts w:ascii="Arial" w:cs="Arial" w:eastAsia="Arial" w:hAnsi="Arial"/>
          <w:sz w:val="22"/>
          <w:szCs w:val="22"/>
          <w:color w:val="auto"/>
        </w:rPr>
        <w:t>the 10b5-1 plan otherwise satisfies the requirements for the affirmative defense under Rule 10b5-1.</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amendment or early termination of any approved 10b5-1 plan must be submitted for approval by the Company’s Legal Department and any amendment to the amount, price or timing of a purchase or sale of securities under a 10b5-1 plan is a termination of such plan. The Company’s Legal Department has full discretion to determine whether to approve any 10b5-1 plan, whether or not such plan complies with the above. Approval of a 10b5-1 plan shall not be deemed a representation by the Company or the Company’s Legal Department that such</w:t>
      </w:r>
    </w:p>
    <w:p>
      <w:pPr>
        <w:sectPr>
          <w:pgSz w:w="11900" w:h="16838" w:orient="portrait"/>
          <w:cols w:equalWidth="0" w:num="1">
            <w:col w:w="10580"/>
          </w:cols>
          <w:pgMar w:left="980" w:top="1422" w:right="339" w:bottom="1440" w:gutter="0" w:footer="0" w:header="0"/>
        </w:sectPr>
      </w:pPr>
    </w:p>
    <w:bookmarkStart w:id="129" w:name="page130"/>
    <w:bookmarkEnd w:id="129"/>
    <w:p>
      <w:pPr>
        <w:jc w:val="both"/>
        <w:ind w:left="660"/>
        <w:spacing w:after="0" w:line="272" w:lineRule="auto"/>
        <w:rPr>
          <w:sz w:val="20"/>
          <w:szCs w:val="20"/>
          <w:color w:val="auto"/>
        </w:rPr>
      </w:pPr>
      <w:r>
        <w:rPr>
          <w:rFonts w:ascii="Arial" w:cs="Arial" w:eastAsia="Arial" w:hAnsi="Arial"/>
          <w:sz w:val="22"/>
          <w:szCs w:val="22"/>
          <w:color w:val="auto"/>
        </w:rPr>
        <w:t>plan complies with Rule 10b5-1, nor an assumption by the Company or the Company’s Legal Department of any liability or responsibility to the individual or any other party if the plan does not comply with Rule 10b5-1.</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Section 16 Reporting Persons</w:t>
      </w:r>
    </w:p>
    <w:p>
      <w:pPr>
        <w:spacing w:after="0" w:line="245"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Reporting Persons must file certain reports with the SEC when they engage in transactions involving the Company’s securities and must refrain from engaging in short-swing transactions prohibited under Section 16. While the Company’s Legal Department may assist Reporting Persons in preparing and filing the Section 16 reports, the Reporting Persons retain full responsibility for their individual reports.</w:t>
      </w:r>
    </w:p>
    <w:p>
      <w:pPr>
        <w:spacing w:after="0" w:line="161"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Pre-Clearance and Pre-Approval Requirements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Pre-Clearance of Securities Transactions</w:t>
      </w:r>
    </w:p>
    <w:p>
      <w:pPr>
        <w:spacing w:after="0" w:line="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 xml:space="preserve">The Company requires that Reporting Persons, as well as the Restricted Employees listed in Categories 1, 2, and 4 (c) through (f) on the attached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(collectively, “</w:t>
      </w:r>
      <w:r>
        <w:rPr>
          <w:rFonts w:ascii="Arial" w:cs="Arial" w:eastAsia="Arial" w:hAnsi="Arial"/>
          <w:sz w:val="22"/>
          <w:szCs w:val="22"/>
          <w:b w:val="1"/>
          <w:bCs w:val="1"/>
          <w:color w:val="auto"/>
        </w:rPr>
        <w:t>Insiders</w:t>
      </w:r>
      <w:r>
        <w:rPr>
          <w:rFonts w:ascii="Arial" w:cs="Arial" w:eastAsia="Arial" w:hAnsi="Arial"/>
          <w:sz w:val="22"/>
          <w:szCs w:val="22"/>
          <w:color w:val="auto"/>
        </w:rPr>
        <w:t>”), must obtain prior clearance from the Company’s Corporate Secretary, Assistant Corporate Secretary, or his/her designee for all of such Insider’s and their Related Persons’ respective transactions involving the Company’s securities (such as purchases, sales, option exercises, gifts, loans, and contributions to a trust or any other transfer), with the exception of margin accounts and pledges which are subject to the pre-approval requirement discussed below and transactions that are executed pursuant to an approved 10b5-1 plan.</w:t>
      </w:r>
    </w:p>
    <w:p>
      <w:pPr>
        <w:spacing w:after="0" w:line="221"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 xml:space="preserve">In order to pre-clear a transaction, Insiders must complete the attached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and submit it to the Company’s Corporate Secretary, Assistant Corporate Secretary or a designee thereof. Each proposed transaction will be evaluated to determine if it raises insider trading concerns or other concerns under the federal or state securities laws and regulations. If clearance is granted, it does not constitute advice regarding the investment aspects of any transaction nor does it constitute advice as to any personal exposure Insiders may have under the federal or state securities laws at any time.</w:t>
      </w:r>
    </w:p>
    <w:p>
      <w:pPr>
        <w:spacing w:after="0" w:line="204"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The Company’s Corporate Secretary or Assistant Corporate Secretary is under no obligation to approve a transaction submitted for pre-clearance and may determine not to permit the transaction. To the extent granted, clearance of a transaction is valid for the period beginning once clearance is granted and ending at the close of trading on the second trading day following the date that clearance was granted and only to the extent that you do not become aware of material nonpublic information about the Company or become subject to an event-specific</w:t>
      </w:r>
    </w:p>
    <w:p>
      <w:pPr>
        <w:sectPr>
          <w:pgSz w:w="11900" w:h="16838" w:orient="portrait"/>
          <w:cols w:equalWidth="0" w:num="1">
            <w:col w:w="11240"/>
          </w:cols>
          <w:pgMar w:left="320" w:top="1422" w:right="339" w:bottom="1440" w:gutter="0" w:footer="0" w:header="0"/>
        </w:sectPr>
      </w:pPr>
    </w:p>
    <w:bookmarkStart w:id="130" w:name="page131"/>
    <w:bookmarkEnd w:id="130"/>
    <w:p>
      <w:pPr>
        <w:jc w:val="both"/>
        <w:ind w:left="660"/>
        <w:spacing w:after="0" w:line="272" w:lineRule="auto"/>
        <w:rPr>
          <w:sz w:val="20"/>
          <w:szCs w:val="20"/>
          <w:color w:val="auto"/>
        </w:rPr>
      </w:pPr>
      <w:r>
        <w:rPr>
          <w:rFonts w:ascii="Arial" w:cs="Arial" w:eastAsia="Arial" w:hAnsi="Arial"/>
          <w:sz w:val="22"/>
          <w:szCs w:val="22"/>
          <w:color w:val="auto"/>
        </w:rPr>
        <w:t>blackout within that time period. If the transaction is not completed within that time period, clearance of the transaction must be re-requested.</w:t>
      </w:r>
    </w:p>
    <w:p>
      <w:pPr>
        <w:spacing w:after="0" w:line="183" w:lineRule="exact"/>
        <w:rPr>
          <w:sz w:val="20"/>
          <w:szCs w:val="20"/>
          <w:color w:val="auto"/>
        </w:rPr>
      </w:pPr>
    </w:p>
    <w:p>
      <w:pPr>
        <w:jc w:val="both"/>
        <w:ind w:left="660" w:right="20"/>
        <w:spacing w:after="0" w:line="285" w:lineRule="auto"/>
        <w:rPr>
          <w:sz w:val="20"/>
          <w:szCs w:val="20"/>
          <w:color w:val="auto"/>
        </w:rPr>
      </w:pPr>
      <w:r>
        <w:rPr>
          <w:rFonts w:ascii="Arial" w:cs="Arial" w:eastAsia="Arial" w:hAnsi="Arial"/>
          <w:sz w:val="22"/>
          <w:szCs w:val="22"/>
          <w:color w:val="auto"/>
        </w:rPr>
        <w:t>If clearance is denied, the Insider or their Related Person, as the case may be, may not engage in such transaction and the fact of such denial must be kept confidential by the person requesting such clearance.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009900"/>
        </w:rPr>
        <w:t>Pre-Approval of Margin and Pledge Transactions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 xml:space="preserve">Reporting Persons who desire to place Company securities in a margin account, pledge Company securities as collateral for a loan or modify an existing margin account or pledge arrangement, or whose Related Persons desire to take such actions, must submit a written request for approval of the proposed transaction or modification to the Company’s Corporate Secretary, Assistant Corporate Secretary or a designee thereof at least </w:t>
      </w:r>
      <w:r>
        <w:rPr>
          <w:rFonts w:ascii="Arial" w:cs="Arial" w:eastAsia="Arial" w:hAnsi="Arial"/>
          <w:sz w:val="22"/>
          <w:szCs w:val="22"/>
          <w:i w:val="1"/>
          <w:iCs w:val="1"/>
          <w:color w:val="auto"/>
        </w:rPr>
        <w:t>two weeks</w:t>
      </w:r>
      <w:r>
        <w:rPr>
          <w:rFonts w:ascii="Arial" w:cs="Arial" w:eastAsia="Arial" w:hAnsi="Arial"/>
          <w:sz w:val="22"/>
          <w:szCs w:val="22"/>
          <w:color w:val="auto"/>
        </w:rPr>
        <w:t xml:space="preserve"> prior to the proposed transaction. The Company’s Corporate Secretary or Assistant Corporate Secretary, together with the Governance Committee, shall have the sole discretion in determining whether to approve a margin or pledge transaction submitted for pre-approval and there is no assurance that approval will be granted. If approval is denied, the Reporting Person or their Related Person, as the case may be, may not engage in such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Post-Termination Transactions</w:t>
      </w:r>
    </w:p>
    <w:p>
      <w:pPr>
        <w:spacing w:after="0" w:line="245"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This policy continues to apply to your transactions in Company securities even after you have terminated employment or other services to the Company, its subsidiaries or affiliates. If you are aware of material nonpublic information when you terminate employment or services, you may not trade in the Company’s securities until that information has become public or is no longer material. In all other respects, this policy will cease to apply to your transactions in Company securities upon the expiration of any blackout period that is applicable to your transactions at the time of your termination of employment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Unauthorized Disclosure</w:t>
      </w:r>
    </w:p>
    <w:p>
      <w:pPr>
        <w:spacing w:after="0" w:line="24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services as confidential and proprietary to the Company. Inadvertent disclosure of confidential or inside information may expose the Company and you to significant risk of investigation and litigation.</w:t>
      </w:r>
    </w:p>
    <w:p>
      <w:pPr>
        <w:spacing w:after="0" w:line="179"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The timing and nature of the Company’s disclosure of material information to outsiders is subject to legal rules, the breach of which could result in substantial</w:t>
      </w:r>
    </w:p>
    <w:p>
      <w:pPr>
        <w:sectPr>
          <w:pgSz w:w="11900" w:h="16838" w:orient="portrait"/>
          <w:cols w:equalWidth="0" w:num="1">
            <w:col w:w="11240"/>
          </w:cols>
          <w:pgMar w:left="320" w:top="1422" w:right="339" w:bottom="1440" w:gutter="0" w:footer="0" w:header="0"/>
        </w:sectPr>
      </w:pPr>
    </w:p>
    <w:bookmarkStart w:id="131" w:name="page132"/>
    <w:bookmarkEnd w:id="131"/>
    <w:p>
      <w:pPr>
        <w:jc w:val="both"/>
        <w:ind w:left="660"/>
        <w:spacing w:after="0" w:line="257" w:lineRule="auto"/>
        <w:rPr>
          <w:sz w:val="20"/>
          <w:szCs w:val="20"/>
          <w:color w:val="auto"/>
        </w:rPr>
      </w:pPr>
      <w:r>
        <w:rPr>
          <w:rFonts w:ascii="Arial" w:cs="Arial" w:eastAsia="Arial" w:hAnsi="Arial"/>
          <w:sz w:val="22"/>
          <w:szCs w:val="22"/>
          <w:color w:val="auto"/>
        </w:rPr>
        <w:t>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8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 xml:space="preserve">Any written or verbal statement that would be prohibited under the law or under this policy is equally prohibited if made on the Internet or by social media, in accordance with the Company’s </w:t>
      </w:r>
      <w:r>
        <w:rPr>
          <w:rFonts w:ascii="Arial" w:cs="Arial" w:eastAsia="Arial" w:hAnsi="Arial"/>
          <w:sz w:val="22"/>
          <w:szCs w:val="22"/>
          <w:b w:val="1"/>
          <w:bCs w:val="1"/>
          <w:i w:val="1"/>
          <w:iCs w:val="1"/>
          <w:color w:val="auto"/>
        </w:rPr>
        <w:t>Code of Conduct, Social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 xml:space="preserve">Media Guidelines </w:t>
      </w:r>
      <w:r>
        <w:rPr>
          <w:rFonts w:ascii="Arial" w:cs="Arial" w:eastAsia="Arial" w:hAnsi="Arial"/>
          <w:sz w:val="22"/>
          <w:szCs w:val="22"/>
          <w:color w:val="auto"/>
        </w:rPr>
        <w:t>and</w:t>
      </w:r>
      <w:r>
        <w:rPr>
          <w:rFonts w:ascii="Arial" w:cs="Arial" w:eastAsia="Arial" w:hAnsi="Arial"/>
          <w:sz w:val="22"/>
          <w:szCs w:val="22"/>
          <w:b w:val="1"/>
          <w:bCs w:val="1"/>
          <w:i w:val="1"/>
          <w:iCs w:val="1"/>
          <w:color w:val="auto"/>
        </w:rPr>
        <w:t xml:space="preserve"> External Communications Policy</w:t>
      </w:r>
      <w:r>
        <w:rPr>
          <w:rFonts w:ascii="Arial" w:cs="Arial" w:eastAsia="Arial" w:hAnsi="Arial"/>
          <w:sz w:val="22"/>
          <w:szCs w:val="22"/>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Penalties for Noncompliance</w:t>
      </w:r>
    </w:p>
    <w:p>
      <w:pPr>
        <w:spacing w:after="0" w:line="27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The purchase or sale of the Company’s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5" w:lineRule="exact"/>
        <w:rPr>
          <w:sz w:val="20"/>
          <w:szCs w:val="20"/>
          <w:color w:val="auto"/>
        </w:rPr>
      </w:pPr>
    </w:p>
    <w:p>
      <w:pPr>
        <w:jc w:val="both"/>
        <w:ind w:left="660"/>
        <w:spacing w:after="0" w:line="272" w:lineRule="auto"/>
        <w:rPr>
          <w:sz w:val="20"/>
          <w:szCs w:val="20"/>
          <w:color w:val="auto"/>
        </w:rPr>
      </w:pPr>
      <w:r>
        <w:rPr>
          <w:rFonts w:ascii="Arial" w:cs="Arial" w:eastAsia="Arial" w:hAnsi="Arial"/>
          <w:sz w:val="22"/>
          <w:szCs w:val="22"/>
          <w:color w:val="auto"/>
        </w:rPr>
        <w:t>Failure to comply with this policy may also subject you to Company imposed sanctions, including dismissal for cause, whether or not your failure to comply with this policy results in a violation of law.</w:t>
      </w:r>
    </w:p>
    <w:p>
      <w:pPr>
        <w:spacing w:after="0" w:line="144"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Company Assistance</w:t>
      </w:r>
    </w:p>
    <w:p>
      <w:pPr>
        <w:spacing w:after="0" w:line="272" w:lineRule="exact"/>
        <w:rPr>
          <w:sz w:val="20"/>
          <w:szCs w:val="20"/>
          <w:color w:val="auto"/>
        </w:rPr>
      </w:pPr>
    </w:p>
    <w:p>
      <w:pPr>
        <w:jc w:val="both"/>
        <w:ind w:left="660"/>
        <w:spacing w:after="0" w:line="257" w:lineRule="auto"/>
        <w:rPr>
          <w:sz w:val="20"/>
          <w:szCs w:val="20"/>
          <w:color w:val="auto"/>
        </w:rPr>
      </w:pPr>
      <w:r>
        <w:rPr>
          <w:rFonts w:ascii="Arial" w:cs="Arial" w:eastAsia="Arial" w:hAnsi="Arial"/>
          <w:sz w:val="22"/>
          <w:szCs w:val="22"/>
          <w:color w:val="auto"/>
        </w:rPr>
        <w:t>Your compliance with this policy is of the utmost importance both for you and for the Company. This policy is designed to prevent insider trading or allegations of insider trading, and to protect the Company’s reputation for integrity and ethical conduct. It is your obligation to understand and comply with this policy.</w:t>
      </w:r>
    </w:p>
    <w:p>
      <w:pPr>
        <w:spacing w:after="0" w:line="21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If you have any questions about this policy or its application to any proposed transaction, please contact the Legal Department via email at: SecuritiesTrading@wfscorp.com. Do not try to resolve uncertainties on your own, as the rules relating to insider trading are often complex, not always intuitive and carry severe consequences.</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1494790</wp:posOffset>
            </wp:positionV>
            <wp:extent cx="617220" cy="634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1722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Anything to report?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WorldEthics@wfscorp.com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WKC Anonymous Compliance Hotline: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Toll-Free Number: +1.888.549.0965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www.wfscompliance.com</w:t>
      </w:r>
    </w:p>
    <w:p>
      <w:pPr>
        <w:sectPr>
          <w:pgSz w:w="11900" w:h="16838" w:orient="portrait"/>
          <w:cols w:equalWidth="0" w:num="1">
            <w:col w:w="9019"/>
          </w:cols>
          <w:pgMar w:left="1440" w:top="144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vMerge w:val="restart"/>
            <w:shd w:val="clear" w:color="auto" w:fill="C0C0C0"/>
          </w:tcPr>
          <w:p>
            <w:pPr>
              <w:ind w:left="20"/>
              <w:spacing w:after="0"/>
              <w:rPr>
                <w:sz w:val="20"/>
                <w:szCs w:val="20"/>
                <w:color w:val="auto"/>
              </w:rPr>
            </w:pPr>
            <w:r>
              <w:rPr>
                <w:rFonts w:ascii="Arial" w:cs="Arial" w:eastAsia="Arial" w:hAnsi="Arial"/>
                <w:sz w:val="18"/>
                <w:szCs w:val="18"/>
                <w:color w:val="auto"/>
              </w:rPr>
              <w:t>Subsidiary Name</w:t>
            </w: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Jurisdiction of Incorporation or</w:t>
            </w:r>
          </w:p>
        </w:tc>
        <w:tc>
          <w:tcPr>
            <w:tcW w:w="0" w:type="dxa"/>
            <w:vAlign w:val="bottom"/>
          </w:tcPr>
          <w:p>
            <w:pPr>
              <w:spacing w:after="0"/>
              <w:rPr>
                <w:sz w:val="1"/>
                <w:szCs w:val="1"/>
                <w:color w:val="auto"/>
              </w:rPr>
            </w:pPr>
          </w:p>
        </w:tc>
      </w:tr>
      <w:tr>
        <w:trPr>
          <w:trHeight w:val="235"/>
        </w:trPr>
        <w:tc>
          <w:tcPr>
            <w:tcW w:w="6020" w:type="dxa"/>
            <w:vAlign w:val="bottom"/>
            <w:vMerge w:val="continue"/>
            <w:shd w:val="clear" w:color="auto" w:fill="C0C0C0"/>
          </w:tcPr>
          <w:p>
            <w:pPr>
              <w:spacing w:after="0"/>
              <w:rPr>
                <w:sz w:val="20"/>
                <w:szCs w:val="20"/>
                <w:color w:val="auto"/>
              </w:rPr>
            </w:pP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Advance Petroleum,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AHT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Air Petro Corp.</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Fuels,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Amelia Holding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Ascent Aviation Group,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New York</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Associated Petroleum Products,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Washington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Services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Baseops International,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Casa Petro, S.R.L.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Costa Rica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Aviation Holdings,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das Américas Serviços de Aviação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Europe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Ecuacentair Cia.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Ecuador</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Energie-Tankdienstgesellschaft Bremen 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Petroleum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Group,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Properties,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Gib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Gibraltar</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Hellenic Aviation Fuel Company S.A.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Greece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Shipping Services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Denmark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France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Germany GmbH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Green Services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Hungary Kft</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Hungary</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Markets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Netherlands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Pty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Spot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Sweden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UK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Technologies,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LFO Holdings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MH Aviation Services (Pty)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Miami River Insurance,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Vermont</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Nature Port Reception Facilities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Gibraltar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NCS Fuel IQ Limited</w:t>
            </w:r>
          </w:p>
        </w:tc>
        <w:tc>
          <w:tcPr>
            <w:tcW w:w="4480" w:type="dxa"/>
            <w:vAlign w:val="bottom"/>
            <w:tcBorders>
              <w:top w:val="single" w:sz="8" w:color="C0C0C0"/>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UK Holding Co.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Estonia OÜ</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Estonia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Norse Bunker 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(Bunkering)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(Holdings)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Energy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PAPCO,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Virginia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PAX Distribution,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Washington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 Air, Corp.</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Puerto Rico</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PetroServicios de Costa Rica,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Oil Shipping Trans Indonesia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Indonesia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Servicios de Guatemala,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Guatemala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Redline Oil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Auxiliares de México, Sociedad de Responsabilidad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Mexico</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de Combustible Atlanticos, S.R.L (aka Atlantic Fuel Services,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Ecuatorianos de Energia-Secsa CIA.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WFSE Ecuador C.L.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Hiller Group Incorporated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Florida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Lubricant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(Argentina)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Argentina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(Chile)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Germany GmbH</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Germany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Trans-Tec International S.R.L. (Trans-Tec Mundial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U.S. Energy Engineering,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Universal Mission Support Company,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Texas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UVAIR European Fuelling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Ireland</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Aviation Products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Energetix,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Nevada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Petroleum Company</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Minnesota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Aviation Services SAS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France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Lubricants S.L.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Spain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MOZAMBIQUE, LDA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Mozambique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&amp; J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Japan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(Guam)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Agencia de Naves,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Commercial Consulting (Shanghai) Co., Ltd.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Company I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Netherlands Holding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Tramp Brazil Holding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Finance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III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IV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LP</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 LLC</w:t>
            </w:r>
          </w:p>
        </w:tc>
        <w:tc>
          <w:tcPr>
            <w:tcW w:w="3660" w:type="dxa"/>
            <w:vAlign w:val="bottom"/>
            <w:tcBorders>
              <w:top w:val="single" w:sz="8" w:color="C0C0C0"/>
              <w:bottom w:val="single" w:sz="8" w:color="C0C0C0"/>
            </w:tcBorders>
          </w:tcPr>
          <w:p>
            <w:pPr>
              <w:ind w:left="280"/>
              <w:spacing w:after="0"/>
              <w:rPr>
                <w:sz w:val="20"/>
                <w:szCs w:val="20"/>
                <w:color w:val="auto"/>
              </w:rPr>
            </w:pPr>
            <w:r>
              <w:rPr>
                <w:rFonts w:ascii="Arial" w:cs="Arial" w:eastAsia="Arial" w:hAnsi="Arial"/>
                <w:sz w:val="16"/>
                <w:szCs w:val="16"/>
                <w:color w:val="auto"/>
              </w:rPr>
              <w:t>Delaware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IV,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IX,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VIII,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X,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Capital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Cayman Islands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IV</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Cayman Islands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Commodities Services (Ireland)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Ireland</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CX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Kansas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Gas and Power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International S.R.L. (Petromundo Internacional,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Costa Rica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(Australia) Pty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Australia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(Bahamas)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Bahamas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(Costa Rica)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Costa Rica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(Denmark) ApS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Denmark</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(Hong Kong)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Hong Kong</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(KG)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Kyrgyzstan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(New Zealand)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New Zealand</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(Panama) Limited Liability Company, Sociedad De Responsabilidad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Panama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II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(South Africa) (Pty)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South Africa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(Taiwan)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Taiwan (Province of China)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(Uruguay) S.A.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Uruguay</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Argentina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Argentina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Aviation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Belgium</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Belgium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Canada, ULC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Canada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Chile,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Chile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Company,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Corporate Aviation Support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Delaware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CZ s.r.o.</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Czech Republic</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European Holding Company I,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France SAS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France</w:t>
            </w:r>
          </w:p>
        </w:tc>
      </w:tr>
      <w:tr>
        <w:trPr>
          <w:trHeight w:val="156"/>
        </w:trPr>
        <w:tc>
          <w:tcPr>
            <w:tcW w:w="7580" w:type="dxa"/>
            <w:vAlign w:val="bottom"/>
          </w:tcPr>
          <w:p>
            <w:pPr>
              <w:ind w:left="20"/>
              <w:spacing w:after="0" w:line="156" w:lineRule="exact"/>
              <w:rPr>
                <w:sz w:val="20"/>
                <w:szCs w:val="20"/>
                <w:color w:val="auto"/>
              </w:rPr>
            </w:pPr>
            <w:r>
              <w:rPr>
                <w:rFonts w:ascii="Arial" w:cs="Arial" w:eastAsia="Arial" w:hAnsi="Arial"/>
                <w:sz w:val="16"/>
                <w:szCs w:val="16"/>
                <w:color w:val="auto"/>
              </w:rPr>
              <w:t>World Fuel Services International (Panama) Limited Liability Company, Sociedad De Responsabilidad</w:t>
            </w:r>
          </w:p>
        </w:tc>
        <w:tc>
          <w:tcPr>
            <w:tcW w:w="3660" w:type="dxa"/>
            <w:vAlign w:val="bottom"/>
          </w:tcPr>
          <w:p>
            <w:pPr>
              <w:ind w:left="280"/>
              <w:spacing w:after="0" w:line="156" w:lineRule="exact"/>
              <w:rPr>
                <w:sz w:val="20"/>
                <w:szCs w:val="20"/>
                <w:color w:val="auto"/>
              </w:rPr>
            </w:pPr>
            <w:r>
              <w:rPr>
                <w:rFonts w:ascii="Arial" w:cs="Arial" w:eastAsia="Arial" w:hAnsi="Arial"/>
                <w:sz w:val="16"/>
                <w:szCs w:val="16"/>
                <w:color w:val="auto"/>
              </w:rPr>
              <w:t>Panama</w:t>
            </w:r>
          </w:p>
        </w:tc>
      </w:tr>
      <w:tr>
        <w:trPr>
          <w:trHeight w:val="215"/>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Limitada</w:t>
            </w:r>
          </w:p>
        </w:tc>
        <w:tc>
          <w:tcPr>
            <w:tcW w:w="3660" w:type="dxa"/>
            <w:vAlign w:val="bottom"/>
            <w:tcBorders>
              <w:bottom w:val="single" w:sz="8" w:color="C0C0C0"/>
            </w:tcBorders>
          </w:tcPr>
          <w:p>
            <w:pPr>
              <w:spacing w:after="0"/>
              <w:rPr>
                <w:sz w:val="18"/>
                <w:szCs w:val="18"/>
                <w:color w:val="auto"/>
              </w:rPr>
            </w:pP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Italy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Italy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Japan G.K.</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Japan</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Kenya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Kenya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México, S. de R.L. de C.V.</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Mexico</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Pakistan (Pvt.)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Pakistan</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Peru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Peru</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Private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India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Regulatory Holdings,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Florida</w:t>
            </w:r>
          </w:p>
        </w:tc>
      </w:tr>
    </w:tbl>
    <w:p>
      <w:pPr>
        <w:sectPr>
          <w:pgSz w:w="11900" w:h="16838" w:orient="portrait"/>
          <w:cols w:equalWidth="0" w:num="1">
            <w:col w:w="11240"/>
          </w:cols>
          <w:pgMar w:left="320" w:top="867"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Trading DMCC</w:t>
            </w:r>
          </w:p>
        </w:tc>
        <w:tc>
          <w:tcPr>
            <w:tcW w:w="4560" w:type="dxa"/>
            <w:vAlign w:val="bottom"/>
            <w:tcBorders>
              <w:top w:val="single" w:sz="8" w:color="C0C0C0"/>
              <w:bottom w:val="single" w:sz="8" w:color="C0C0C0"/>
            </w:tcBorders>
          </w:tcPr>
          <w:p>
            <w:pPr>
              <w:ind w:left="1180"/>
              <w:spacing w:after="0"/>
              <w:rPr>
                <w:sz w:val="20"/>
                <w:szCs w:val="20"/>
                <w:color w:val="auto"/>
              </w:rPr>
            </w:pPr>
            <w:r>
              <w:rPr>
                <w:rFonts w:ascii="Arial" w:cs="Arial" w:eastAsia="Arial" w:hAnsi="Arial"/>
                <w:sz w:val="16"/>
                <w:szCs w:val="16"/>
                <w:color w:val="auto"/>
              </w:rPr>
              <w:t>United Arab Emirates</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Turkey Petrol Urunleri Dagitim Ve Ticaret Limited Sirketi</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Turkey</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Inc.</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Texas</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Colombia C.I. S.A.S.</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Colombia</w:t>
            </w:r>
          </w:p>
        </w:tc>
      </w:tr>
      <w:tr>
        <w:trPr>
          <w:trHeight w:val="210"/>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Digital Ventures LLC</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Florida</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Government Solutions, Inc.</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Virginia</w:t>
            </w:r>
          </w:p>
        </w:tc>
      </w:tr>
      <w:tr>
        <w:trPr>
          <w:trHeight w:val="210"/>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Korea Limited</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Korea, Republic of</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LLC</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Florida</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UK Limited</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United Kingdom</w:t>
            </w:r>
          </w:p>
        </w:tc>
      </w:tr>
      <w:tr>
        <w:trPr>
          <w:trHeight w:val="210"/>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UK Holding Company Limited</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United Kingdom</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US Holding Company, LLC</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Florida</w:t>
            </w:r>
          </w:p>
        </w:tc>
      </w:tr>
      <w:tr>
        <w:trPr>
          <w:trHeight w:val="209"/>
        </w:trPr>
        <w:tc>
          <w:tcPr>
            <w:tcW w:w="66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Yacht Fuel Services Limited</w:t>
            </w:r>
          </w:p>
        </w:tc>
        <w:tc>
          <w:tcPr>
            <w:tcW w:w="4560" w:type="dxa"/>
            <w:vAlign w:val="bottom"/>
            <w:tcBorders>
              <w:bottom w:val="single" w:sz="8" w:color="C0C0C0"/>
            </w:tcBorders>
          </w:tcPr>
          <w:p>
            <w:pPr>
              <w:ind w:left="118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333-287815, No. 333-258638, No. 333-242250, No. 333-212927, No. 333-161099, No. 333-144379, No. 333-130528 and No. 333-68276) of World Kinect Corporation of our report dated February 23, 2026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2026</w:t>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7" w:lineRule="exact"/>
        <w:rPr>
          <w:sz w:val="20"/>
          <w:szCs w:val="20"/>
          <w:color w:val="auto"/>
        </w:rPr>
      </w:pPr>
    </w:p>
    <w:p>
      <w:pPr>
        <w:ind w:left="640" w:hanging="30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2025;</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2026</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Jose-Miguel Tejada, certify that:</w:t>
      </w:r>
    </w:p>
    <w:p>
      <w:pPr>
        <w:spacing w:after="0" w:line="117"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Kinect Corporation for the period ended December 31, 2025;</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7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23, 2026</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17780</wp:posOffset>
            </wp:positionV>
            <wp:extent cx="3437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Jose-Miguel Tejada</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40" w:name="page141"/>
    <w:bookmarkEnd w:id="14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373" w:lineRule="exact"/>
        <w:rPr>
          <w:sz w:val="20"/>
          <w:szCs w:val="20"/>
          <w:color w:val="auto"/>
        </w:rPr>
      </w:pPr>
    </w:p>
    <w:p>
      <w:pPr>
        <w:jc w:val="center"/>
        <w:ind w:left="340" w:right="2800"/>
        <w:spacing w:after="0" w:line="273"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374" w:lineRule="exact"/>
        <w:rPr>
          <w:sz w:val="20"/>
          <w:szCs w:val="20"/>
          <w:color w:val="auto"/>
        </w:rPr>
      </w:pPr>
    </w:p>
    <w:p>
      <w:pPr>
        <w:ind w:right="160" w:firstLine="200"/>
        <w:spacing w:after="0" w:line="268" w:lineRule="auto"/>
        <w:rPr>
          <w:sz w:val="20"/>
          <w:szCs w:val="20"/>
          <w:color w:val="auto"/>
        </w:rPr>
      </w:pPr>
      <w:r>
        <w:rPr>
          <w:rFonts w:ascii="Arial" w:cs="Arial" w:eastAsia="Arial" w:hAnsi="Arial"/>
          <w:sz w:val="18"/>
          <w:szCs w:val="18"/>
          <w:color w:val="auto"/>
        </w:rPr>
        <w:t>We, Ira M. Birns, the Chief Executive Officer of World Kinect Corporation (the "Company"), and Jose-Miguel Tejada, the Executive Vice President and Chief Financial Officer of the Company, certify for the purposes of Section 1350 of Chapter 63 of Title 18 of the United States Code that, to the best of our knowledge,</w:t>
      </w:r>
    </w:p>
    <w:p>
      <w:pPr>
        <w:spacing w:after="0" w:line="63" w:lineRule="exact"/>
        <w:rPr>
          <w:sz w:val="20"/>
          <w:szCs w:val="20"/>
          <w:color w:val="auto"/>
        </w:rPr>
      </w:pPr>
    </w:p>
    <w:p>
      <w:pPr>
        <w:ind w:left="660" w:right="440" w:hanging="328"/>
        <w:spacing w:after="0" w:line="28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2025 (the "Report") fully complies with the requirements of Section 13(a) or 15(d), as applicable, of the Securities Exchange Act of 1934; and</w:t>
      </w:r>
    </w:p>
    <w:p>
      <w:pPr>
        <w:spacing w:after="0" w:line="4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2026</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17780</wp:posOffset>
            </wp:positionV>
            <wp:extent cx="36601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Jose-Miguel Tejada</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184150</wp:posOffset>
            </wp:positionV>
            <wp:extent cx="69265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1)"/>
      <w:numFmt w:val="lowerRoman"/>
      <w:start w:val="2"/>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1)"/>
      <w:numFmt w:val="lowerRoman"/>
      <w:start w:val="1"/>
    </w:lvl>
  </w:abstractNum>
  <w:abstractNum w:abstractNumId="16">
    <w:nsid w:val="32FFF902"/>
    <w:multiLevelType w:val="hybridMultilevel"/>
    <w:lvl w:ilvl="0">
      <w:lvlJc w:val="left"/>
      <w:lvlText w:val="(%1)"/>
      <w:numFmt w:val="lowerLetter"/>
      <w:start w:val="2"/>
    </w:lvl>
  </w:abstractNum>
  <w:abstractNum w:abstractNumId="17">
    <w:nsid w:val="684A481A"/>
    <w:multiLevelType w:val="hybridMultilevel"/>
    <w:lvl w:ilvl="0">
      <w:lvlJc w:val="left"/>
      <w:lvlText w:val="%1"/>
      <w:numFmt w:val="decimal"/>
      <w:start w:val="10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decimal"/>
      <w:start w:val="2"/>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1)"/>
      <w:numFmt w:val="decimal"/>
      <w:start w:val="3"/>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lowerRoman"/>
      <w:start w:val="2"/>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lvl w:ilvl="1">
      <w:lvlJc w:val="left"/>
      <w:lvlText w:val="(%2)"/>
      <w:numFmt w:val="lowerLetter"/>
      <w:start w:val="1"/>
    </w:lvl>
  </w:abstractNum>
  <w:abstractNum w:abstractNumId="42">
    <w:nsid w:val="3F6AB60F"/>
    <w:multiLevelType w:val="hybridMultilevel"/>
    <w:lvl w:ilvl="0">
      <w:lvlJc w:val="left"/>
      <w:lvlText w:val="(%1)"/>
      <w:numFmt w:val="lowerLetter"/>
      <w:start w:val="5"/>
    </w:lvl>
    <w:lvl w:ilvl="1">
      <w:lvlJc w:val="left"/>
      <w:lvlText w:val="(%2)"/>
      <w:numFmt w:val="lowerRoman"/>
      <w:start w:val="1"/>
    </w:lvl>
  </w:abstractNum>
  <w:abstractNum w:abstractNumId="43">
    <w:nsid w:val="61574095"/>
    <w:multiLevelType w:val="hybridMultilevel"/>
    <w:lvl w:ilvl="0">
      <w:lvlJc w:val="left"/>
      <w:lvlText w:val="%1"/>
      <w:numFmt w:val="lowerLetter"/>
      <w:start w:val="1"/>
    </w:lvl>
    <w:lvl w:ilvl="1">
      <w:lvlJc w:val="left"/>
      <w:lvlText w:val="(%2)"/>
      <w:numFmt w:val="lowerRoman"/>
      <w:start w:val="1"/>
    </w:lvl>
  </w:abstractNum>
  <w:abstractNum w:abstractNumId="44">
    <w:nsid w:val="7E0C57B1"/>
    <w:multiLevelType w:val="hybridMultilevel"/>
    <w:lvl w:ilvl="0">
      <w:lvlJc w:val="left"/>
      <w:lvlText w:val="(%1)"/>
      <w:numFmt w:val="lowerLetter"/>
      <w:start w:val="10"/>
    </w:lvl>
    <w:lvl w:ilvl="1">
      <w:lvlJc w:val="left"/>
      <w:lvlText w:val="%2"/>
      <w:numFmt w:val="lowerRoman"/>
      <w:start w:val="1"/>
    </w:lvl>
  </w:abstractNum>
  <w:abstractNum w:abstractNumId="45">
    <w:nsid w:val="77AE35EB"/>
    <w:multiLevelType w:val="hybridMultilevel"/>
    <w:lvl w:ilvl="0">
      <w:lvlJc w:val="left"/>
      <w:lvlText w:val="(%1)"/>
      <w:numFmt w:val="lowerLetter"/>
      <w:start w:val="12"/>
    </w:lvl>
  </w:abstractNum>
  <w:abstractNum w:abstractNumId="46">
    <w:nsid w:val="579BE4F1"/>
    <w:multiLevelType w:val="hybridMultilevel"/>
    <w:lvl w:ilvl="0">
      <w:lvlJc w:val="left"/>
      <w:lvlText w:val="(%1)"/>
      <w:numFmt w:val="lowerLetter"/>
      <w:start w:val="19"/>
    </w:lvl>
    <w:lvl w:ilvl="1">
      <w:lvlJc w:val="left"/>
      <w:lvlText w:val="(%2)"/>
      <w:numFmt w:val="lowerRoman"/>
      <w:start w:val="1"/>
    </w:lvl>
  </w:abstractNum>
  <w:abstractNum w:abstractNumId="47">
    <w:nsid w:val="310C50B3"/>
    <w:multiLevelType w:val="hybridMultilevel"/>
    <w:lvl w:ilvl="0">
      <w:lvlJc w:val="left"/>
      <w:lvlText w:val="(%1)"/>
      <w:numFmt w:val="lowerLetter"/>
      <w:start w:val="22"/>
    </w:lvl>
  </w:abstractNum>
  <w:abstractNum w:abstractNumId="48">
    <w:nsid w:val="5FF87E05"/>
    <w:multiLevelType w:val="hybridMultilevel"/>
    <w:lvl w:ilvl="0">
      <w:lvlJc w:val="left"/>
      <w:lvlText w:val="%1"/>
      <w:numFmt w:val="decimal"/>
      <w:start w:val="1"/>
    </w:lvl>
    <w:lvl w:ilvl="1">
      <w:lvlJc w:val="left"/>
      <w:lvlText w:val="(%2)"/>
      <w:numFmt w:val="lowerLetter"/>
      <w:start w:val="27"/>
    </w:lvl>
  </w:abstractNum>
  <w:abstractNum w:abstractNumId="49">
    <w:nsid w:val="2F305DEF"/>
    <w:multiLevelType w:val="hybridMultilevel"/>
    <w:lvl w:ilvl="0">
      <w:lvlJc w:val="left"/>
      <w:lvlText w:val="%1."/>
      <w:numFmt w:val="decimal"/>
      <w:start w:val="3"/>
    </w:lvl>
    <w:lvl w:ilvl="1">
      <w:lvlJc w:val="left"/>
      <w:lvlText w:val="%2"/>
      <w:numFmt w:val="lowerLetter"/>
      <w:start w:val="1"/>
    </w:lvl>
  </w:abstractNum>
  <w:abstractNum w:abstractNumId="50">
    <w:nsid w:val="25A70BF7"/>
    <w:multiLevelType w:val="hybridMultilevel"/>
    <w:lvl w:ilvl="0">
      <w:lvlJc w:val="left"/>
      <w:lvlText w:val="%1."/>
      <w:numFmt w:val="decimal"/>
      <w:start w:val="4"/>
    </w:lvl>
    <w:lvl w:ilvl="1">
      <w:lvlJc w:val="left"/>
      <w:lvlText w:val="(%2)"/>
      <w:numFmt w:val="lowerLetter"/>
      <w:start w:val="1"/>
    </w:lvl>
  </w:abstractNum>
  <w:abstractNum w:abstractNumId="51">
    <w:nsid w:val="1DBABF00"/>
    <w:multiLevelType w:val="hybridMultilevel"/>
    <w:lvl w:ilvl="0">
      <w:lvlJc w:val="left"/>
      <w:lvlText w:val="(%1)"/>
      <w:numFmt w:val="lowerLetter"/>
      <w:start w:val="2"/>
    </w:lvl>
  </w:abstractNum>
  <w:abstractNum w:abstractNumId="52">
    <w:nsid w:val="4AD084E9"/>
    <w:multiLevelType w:val="hybridMultilevel"/>
    <w:lvl w:ilvl="0">
      <w:lvlJc w:val="left"/>
      <w:lvlText w:val="%1."/>
      <w:numFmt w:val="decimal"/>
      <w:start w:val="6"/>
    </w:lvl>
    <w:lvl w:ilvl="1">
      <w:lvlJc w:val="left"/>
      <w:lvlText w:val="(%2)"/>
      <w:numFmt w:val="lowerLetter"/>
      <w:start w:val="1"/>
    </w:lvl>
  </w:abstractNum>
  <w:abstractNum w:abstractNumId="53">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1381823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5">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6">
    <w:nsid w:val="100F8FC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5F5E7FD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
    <w:nsid w:val="98A314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1">
    <w:nsid w:val="799D0247"/>
    <w:multiLevelType w:val="hybridMultilevel"/>
    <w:lvl w:ilvl="0">
      <w:lvlJc w:val="left"/>
      <w:lvlText w:val="(%1)"/>
      <w:numFmt w:val="lowerRoman"/>
      <w:start w:val="2"/>
    </w:lvl>
  </w:abstractNum>
  <w:abstractNum w:abstractNumId="62">
    <w:nsid w:val="6B94764"/>
    <w:multiLevelType w:val="hybridMultilevel"/>
    <w:lvl w:ilvl="0">
      <w:lvlJc w:val="left"/>
      <w:lvlText w:val="(%1)"/>
      <w:numFmt w:val="lowerLetter"/>
      <w:start w:val="2"/>
    </w:lvl>
    <w:lvl w:ilvl="1">
      <w:lvlJc w:val="left"/>
      <w:lvlText w:val="(%2)"/>
      <w:numFmt w:val="lowerLetter"/>
      <w:start w:val="9"/>
    </w:lvl>
  </w:abstractNum>
  <w:abstractNum w:abstractNumId="63">
    <w:nsid w:val="42C296BD"/>
    <w:multiLevelType w:val="hybridMultilevel"/>
    <w:lvl w:ilvl="0">
      <w:lvlJc w:val="left"/>
      <w:lvlText w:val="%1"/>
      <w:numFmt w:val="lowerLetter"/>
      <w:start w:val="1"/>
    </w:lvl>
    <w:lvl w:ilvl="1">
      <w:lvlJc w:val="left"/>
      <w:lvlText w:val="(%2)"/>
      <w:numFmt w:val="lowerRoman"/>
      <w:start w:val="2"/>
    </w:lvl>
  </w:abstractNum>
  <w:abstractNum w:abstractNumId="64">
    <w:nsid w:val="168E121F"/>
    <w:multiLevelType w:val="hybridMultilevel"/>
    <w:lvl w:ilvl="0">
      <w:lvlJc w:val="left"/>
      <w:lvlText w:val="(%1)"/>
      <w:numFmt w:val="lowerLetter"/>
      <w:start w:val="3"/>
    </w:lvl>
    <w:lvl w:ilvl="1">
      <w:lvlJc w:val="left"/>
      <w:lvlText w:val="(%2)"/>
      <w:numFmt w:val="lowerRoman"/>
      <w:start w:val="1"/>
    </w:lvl>
  </w:abstractNum>
  <w:abstractNum w:abstractNumId="65">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6">
    <w:nsid w:val="661E3F1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7">
    <w:nsid w:val="5DC79EA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68">
    <w:nsid w:val="540A471C"/>
    <w:multiLevelType w:val="hybridMultilevel"/>
    <w:lvl w:ilvl="0">
      <w:lvlJc w:val="left"/>
      <w:lvlText w:val="%1."/>
      <w:numFmt w:val="decimal"/>
      <w:start w:val="12"/>
    </w:lvl>
    <w:lvl w:ilvl="1">
      <w:lvlJc w:val="left"/>
      <w:lvlText w:val="(%2)"/>
      <w:numFmt w:val="lowerLetter"/>
      <w:start w:val="1"/>
    </w:lvl>
  </w:abstractNum>
  <w:abstractNum w:abstractNumId="69">
    <w:nsid w:val="7BD3EE7B"/>
    <w:multiLevelType w:val="hybridMultilevel"/>
    <w:lvl w:ilvl="0">
      <w:lvlJc w:val="left"/>
      <w:lvlText w:val="(%1)"/>
      <w:numFmt w:val="lowerLetter"/>
      <w:start w:val="3"/>
    </w:lvl>
  </w:abstractNum>
  <w:abstractNum w:abstractNumId="70">
    <w:nsid w:val="51D9C564"/>
    <w:multiLevelType w:val="hybridMultilevel"/>
    <w:lvl w:ilvl="0">
      <w:lvlJc w:val="left"/>
      <w:lvlText w:val="%1."/>
      <w:numFmt w:val="decimal"/>
      <w:start w:val="14"/>
    </w:lvl>
    <w:lvl w:ilvl="1">
      <w:lvlJc w:val="left"/>
      <w:lvlText w:val="(%2)"/>
      <w:numFmt w:val="lowerLetter"/>
      <w:start w:val="1"/>
    </w:lvl>
  </w:abstractNum>
  <w:abstractNum w:abstractNumId="71">
    <w:nsid w:val="613EFDC5"/>
    <w:multiLevelType w:val="hybridMultilevel"/>
    <w:lvl w:ilvl="0">
      <w:lvlJc w:val="left"/>
      <w:lvlText w:val="(%1)"/>
      <w:numFmt w:val="lowerLetter"/>
      <w:start w:val="6"/>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2" Type="http://schemas.openxmlformats.org/officeDocument/2006/relationships/image" Target="media/image50.png"/><Relationship Id="rId90" Type="http://schemas.openxmlformats.org/officeDocument/2006/relationships/image" Target="media/image51.png"/><Relationship Id="rId96"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jpe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57" Type="http://schemas.openxmlformats.org/officeDocument/2006/relationships/hyperlink" Target="https://www.sec.gov/Archives/edgar/data/789460/000162828023026035/ex32-articlesofincorporati.htm" TargetMode="External"/><Relationship Id="rId58" Type="http://schemas.openxmlformats.org/officeDocument/2006/relationships/hyperlink" Target="https://www.sec.gov/Archives/edgar/data/789460/000119312525253809/d23429dex31.htm" TargetMode="External"/><Relationship Id="rId59" Type="http://schemas.openxmlformats.org/officeDocument/2006/relationships/hyperlink" Target="https://www.sec.gov/Archives/edgar/data/789460/000162828020002590/a2019q410kex41.htm" TargetMode="External"/><Relationship Id="rId60" Type="http://schemas.openxmlformats.org/officeDocument/2006/relationships/hyperlink" Target="https://www.sec.gov/Archives/edgar/data/789460/000162828023023518/exhibit41indenture.htm" TargetMode="External"/><Relationship Id="rId61" Type="http://schemas.openxmlformats.org/officeDocument/2006/relationships/hyperlink" Target="https://www.sec.gov/Archives/edgar/data/789460/000110465916125102/a16-12742_1ex10d1.htm" TargetMode="External"/><Relationship Id="rId62" Type="http://schemas.openxmlformats.org/officeDocument/2006/relationships/hyperlink" Target="https://www.sec.gov/Archives/edgar/data/789460/000162828021011056/a2021-omnibusplanexhibit101.htm" TargetMode="External"/><Relationship Id="rId63" Type="http://schemas.openxmlformats.org/officeDocument/2006/relationships/hyperlink" Target="https://www.sec.gov/ix?doc=/Archives/edgar/data/0000789460/000095017025058752/wkc-20250425.htm#annexa" TargetMode="External"/><Relationship Id="rId64" Type="http://schemas.openxmlformats.org/officeDocument/2006/relationships/hyperlink" Target="https://www.sec.gov/Archives/edgar/data/789460/000119312525094775/d800450dex992.htm" TargetMode="External"/><Relationship Id="rId65" Type="http://schemas.openxmlformats.org/officeDocument/2006/relationships/hyperlink" Target="https://www.sec.gov/Archives/edgar/data/789460/000115752322001611/a52968266ex10_1.htm" TargetMode="External"/><Relationship Id="rId66" Type="http://schemas.openxmlformats.org/officeDocument/2006/relationships/hyperlink" Target="https://www.sec.gov/Archives/edgar/data/789460/000162828023005058/ex107-formofperformancexba.htm" TargetMode="External"/><Relationship Id="rId67" Type="http://schemas.openxmlformats.org/officeDocument/2006/relationships/hyperlink" Target="https://www.sec.gov/Archives/edgar/data/789460/000162828023005058/ex108-formofservicexbasedr.htm" TargetMode="External"/><Relationship Id="rId68" Type="http://schemas.openxmlformats.org/officeDocument/2006/relationships/hyperlink" Target="https://www.sec.gov/Archives/edgar/data/789460/000155837016003246/int-20151231ex1024bff55.htm" TargetMode="External"/><Relationship Id="rId69" Type="http://schemas.openxmlformats.org/officeDocument/2006/relationships/hyperlink" Target="https://www.sec.gov/Archives/edgar/data/789460/000162828019002382/a2018q4ex1010.htm" TargetMode="External"/><Relationship Id="rId70" Type="http://schemas.openxmlformats.org/officeDocument/2006/relationships/hyperlink" Target="https://www.sec.gov/Archives/edgar/data/789460/000162828018002457/a2017q4ex1010.htm" TargetMode="External"/><Relationship Id="rId71" Type="http://schemas.openxmlformats.org/officeDocument/2006/relationships/hyperlink" Target="https://www.sec.gov/Archives/edgar/data/789460/000162828018002457/a2017q4ex1014.htm" TargetMode="External"/><Relationship Id="rId73" Type="http://schemas.openxmlformats.org/officeDocument/2006/relationships/hyperlink" Target="https://www.sec.gov/Archives/edgar/data/789460/000162828018002457/a2017q4ex1017.htm" TargetMode="External"/><Relationship Id="rId74" Type="http://schemas.openxmlformats.org/officeDocument/2006/relationships/hyperlink" Target="https://www.sec.gov/Archives/edgar/data/789460/000110465914054975/a14-13976_1ex10d2.htm" TargetMode="External"/><Relationship Id="rId75" Type="http://schemas.openxmlformats.org/officeDocument/2006/relationships/hyperlink" Target="https://www.sec.gov/Archives/edgar/data/789460/000162828018002457/a2017q4ex1021.htm" TargetMode="External"/><Relationship Id="rId76" Type="http://schemas.openxmlformats.org/officeDocument/2006/relationships/hyperlink" Target="https://www.sec.gov/Archives/edgar/data/789460/000162828017007371/a2017q2ex104.htm" TargetMode="External"/><Relationship Id="rId77" Type="http://schemas.openxmlformats.org/officeDocument/2006/relationships/hyperlink" Target="https://www.sec.gov/Archives/edgar/data/789460/000162828018002457/a2017q4ex1024.htm" TargetMode="External"/><Relationship Id="rId78" Type="http://schemas.openxmlformats.org/officeDocument/2006/relationships/hyperlink" Target="https://www.sec.gov/Archives/edgar/data/789460/000115752322001610/a52968264ex10_1.htm" TargetMode="External"/><Relationship Id="rId79" Type="http://schemas.openxmlformats.org/officeDocument/2006/relationships/hyperlink" Target="https://www.sec.gov/Archives/edgar/data/789460/000110465913075419/a13-22173_1ex10d1.htm" TargetMode="External"/><Relationship Id="rId80" Type="http://schemas.openxmlformats.org/officeDocument/2006/relationships/hyperlink" Target="https://www.sec.gov/Archives/edgar/data/789460/000155837015000030/int-20150130ex10147ad65.htm" TargetMode="External"/><Relationship Id="rId81" Type="http://schemas.openxmlformats.org/officeDocument/2006/relationships/hyperlink" Target="https://www.sec.gov/Archives/edgar/data/789460/000162828016020385/amendmentno2.htm" TargetMode="External"/><Relationship Id="rId82" Type="http://schemas.openxmlformats.org/officeDocument/2006/relationships/hyperlink" Target="https://www.sec.gov/Archives/edgar/data/789460/000162828017007371/a2017q2ex102.htm" TargetMode="External"/><Relationship Id="rId83" Type="http://schemas.openxmlformats.org/officeDocument/2006/relationships/hyperlink" Target="https://www.sec.gov/Archives/edgar/data/789460/000162828018002457/a2017q4ex1030.htm" TargetMode="External"/><Relationship Id="rId84" Type="http://schemas.openxmlformats.org/officeDocument/2006/relationships/hyperlink" Target="https://www.sec.gov/Archives/edgar/data/789460/000162828019008923/annexitoamendmentno5.htm" TargetMode="External"/><Relationship Id="rId85" Type="http://schemas.openxmlformats.org/officeDocument/2006/relationships/hyperlink" Target="https://www.sec.gov/Archives/edgar/data/789460/000162828022004028/cfamend6boa.htm" TargetMode="External"/><Relationship Id="rId86" Type="http://schemas.openxmlformats.org/officeDocument/2006/relationships/hyperlink" Target="https://www.sec.gov/Archives/edgar/data/789460/000162828022004028/ex1033_boacreditfacilityam.htm" TargetMode="External"/><Relationship Id="rId87" Type="http://schemas.openxmlformats.org/officeDocument/2006/relationships/hyperlink" Target="https://www.sec.gov/Archives/edgar/data/789460/000162828022008268/exhibit101_creditfacilitya.htm" TargetMode="External"/><Relationship Id="rId88" Type="http://schemas.openxmlformats.org/officeDocument/2006/relationships/hyperlink" Target="https://www.sec.gov/Archives/edgar/data/789460/000162828022019810/ex101_2022q2cfamendment9xw.htm" TargetMode="External"/><Relationship Id="rId89" Type="http://schemas.openxmlformats.org/officeDocument/2006/relationships/hyperlink" Target="https://www.sec.gov/Archives/edgar/data/789460/000162828024006634/ex1034_wkccfamendment10.htm" TargetMode="External"/><Relationship Id="rId91" Type="http://schemas.openxmlformats.org/officeDocument/2006/relationships/hyperlink" Target="https://www.sec.gov/Archives/edgar/data/789460/000119312525280505/d809353dex101.htm" TargetMode="External"/><Relationship Id="rId92" Type="http://schemas.openxmlformats.org/officeDocument/2006/relationships/hyperlink" Target="https://www.sec.gov/Archives/edgar/data/789460/000162828023023518/exhibit101purchaseagreement.htm" TargetMode="External"/><Relationship Id="rId93" Type="http://schemas.openxmlformats.org/officeDocument/2006/relationships/hyperlink" Target="https://www.sec.gov/Archives/edgar/data/789460/000162828023023518/exhibit102formofconvertibl.htm" TargetMode="External"/><Relationship Id="rId94" Type="http://schemas.openxmlformats.org/officeDocument/2006/relationships/hyperlink" Target="https://www.sec.gov/Archives/edgar/data/789460/000162828023023518/exhibit103formofwarrant.htm" TargetMode="External"/><Relationship Id="rId95" Type="http://schemas.openxmlformats.org/officeDocument/2006/relationships/hyperlink" Target="https://www.sec.gov/Archives/edgar/data/789460/000162828024006634/ex971_wkcclawbackpolicyse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2026-02-24T05:21:01Z</dcterms:created>
  <dcterms:modified xsi:type="dcterms:W3CDTF">2026-02-24T05:21:01Z</dcterms:modified>
</cp:coreProperties>
</file>