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1" w:lineRule="exact"/>
        <w:rPr>
          <w:sz w:val="24"/>
          <w:szCs w:val="24"/>
          <w:color w:val="auto"/>
        </w:rPr>
      </w:pPr>
    </w:p>
    <w:p>
      <w:pPr>
        <w:ind w:left="3780" w:right="2380" w:hanging="3772"/>
        <w:spacing w:after="0" w:line="407" w:lineRule="auto"/>
        <w:tabs>
          <w:tab w:leader="none" w:pos="4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MARCH 31, 2002</w:t>
      </w:r>
    </w:p>
    <w:p>
      <w:pPr>
        <w:spacing w:after="0" w:line="2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360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TO</w:t>
            </w:r>
          </w:p>
        </w:tc>
      </w:tr>
      <w:tr>
        <w:trPr>
          <w:trHeight w:val="365"/>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98"/>
              </w:rPr>
              <w:t>COMMISSION FILE NUMBER 1-9533</w:t>
            </w:r>
          </w:p>
        </w:tc>
      </w:tr>
      <w:tr>
        <w:trPr>
          <w:trHeight w:val="502"/>
        </w:trPr>
        <w:tc>
          <w:tcPr>
            <w:tcW w:w="1580" w:type="dxa"/>
            <w:vAlign w:val="bottom"/>
          </w:tcPr>
          <w:p>
            <w:pPr>
              <w:spacing w:after="0"/>
              <w:rPr>
                <w:sz w:val="24"/>
                <w:szCs w:val="24"/>
                <w:color w:val="auto"/>
              </w:rPr>
            </w:pPr>
          </w:p>
        </w:tc>
        <w:tc>
          <w:tcPr>
            <w:tcW w:w="7560" w:type="dxa"/>
            <w:vAlign w:val="bottom"/>
            <w:gridSpan w:val="5"/>
          </w:tcPr>
          <w:p>
            <w:pPr>
              <w:jc w:val="center"/>
              <w:ind w:right="220"/>
              <w:spacing w:after="0"/>
              <w:rPr>
                <w:sz w:val="20"/>
                <w:szCs w:val="20"/>
                <w:color w:val="auto"/>
              </w:rPr>
            </w:pPr>
            <w:r>
              <w:rPr>
                <w:rFonts w:ascii="Arial" w:cs="Arial" w:eastAsia="Arial" w:hAnsi="Arial"/>
                <w:sz w:val="32"/>
                <w:szCs w:val="32"/>
                <w:b w:val="1"/>
                <w:bCs w:val="1"/>
                <w:color w:val="auto"/>
              </w:rPr>
              <w:t>WORLD FUEL SERVICES CORPORATION</w:t>
            </w:r>
          </w:p>
        </w:tc>
      </w:tr>
      <w:tr>
        <w:trPr>
          <w:trHeight w:val="174"/>
        </w:trPr>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540" w:type="dxa"/>
            <w:vAlign w:val="bottom"/>
            <w:gridSpan w:val="3"/>
          </w:tcPr>
          <w:p>
            <w:pPr>
              <w:jc w:val="center"/>
              <w:ind w:right="224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39"/>
        </w:trPr>
        <w:tc>
          <w:tcPr>
            <w:tcW w:w="1580" w:type="dxa"/>
            <w:vAlign w:val="bottom"/>
          </w:tcPr>
          <w:p>
            <w:pPr>
              <w:spacing w:after="0"/>
              <w:rPr>
                <w:sz w:val="24"/>
                <w:szCs w:val="2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Florida</w:t>
            </w:r>
          </w:p>
        </w:tc>
        <w:tc>
          <w:tcPr>
            <w:tcW w:w="538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59-2459427</w:t>
            </w:r>
          </w:p>
        </w:tc>
        <w:tc>
          <w:tcPr>
            <w:tcW w:w="160" w:type="dxa"/>
            <w:vAlign w:val="bottom"/>
          </w:tcPr>
          <w:p>
            <w:pPr>
              <w:spacing w:after="0"/>
              <w:rPr>
                <w:sz w:val="24"/>
                <w:szCs w:val="24"/>
                <w:color w:val="auto"/>
              </w:rPr>
            </w:pPr>
          </w:p>
        </w:tc>
      </w:tr>
      <w:tr>
        <w:trPr>
          <w:trHeight w:val="149"/>
        </w:trPr>
        <w:tc>
          <w:tcPr>
            <w:tcW w:w="3600" w:type="dxa"/>
            <w:vAlign w:val="bottom"/>
            <w:gridSpan w:val="3"/>
          </w:tcPr>
          <w:p>
            <w:pPr>
              <w:jc w:val="center"/>
              <w:ind w:left="9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00" w:type="dxa"/>
            <w:vAlign w:val="bottom"/>
          </w:tcPr>
          <w:p>
            <w:pPr>
              <w:spacing w:after="0"/>
              <w:rPr>
                <w:sz w:val="12"/>
                <w:szCs w:val="12"/>
                <w:color w:val="auto"/>
              </w:rPr>
            </w:pP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600" w:type="dxa"/>
            <w:vAlign w:val="bottom"/>
            <w:gridSpan w:val="3"/>
          </w:tcPr>
          <w:p>
            <w:pPr>
              <w:jc w:val="center"/>
              <w:ind w:left="940"/>
              <w:spacing w:after="0"/>
              <w:rPr>
                <w:sz w:val="20"/>
                <w:szCs w:val="20"/>
                <w:color w:val="auto"/>
              </w:rPr>
            </w:pPr>
            <w:r>
              <w:rPr>
                <w:rFonts w:ascii="Arial" w:cs="Arial" w:eastAsia="Arial" w:hAnsi="Arial"/>
                <w:sz w:val="14"/>
                <w:szCs w:val="14"/>
                <w:b w:val="1"/>
                <w:bCs w:val="1"/>
                <w:color w:val="auto"/>
                <w:w w:val="89"/>
              </w:rPr>
              <w:t>incorporation or organization)</w:t>
            </w:r>
          </w:p>
        </w:tc>
        <w:tc>
          <w:tcPr>
            <w:tcW w:w="380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9140" w:type="dxa"/>
            <w:vAlign w:val="bottom"/>
            <w:gridSpan w:val="6"/>
          </w:tcPr>
          <w:p>
            <w:pPr>
              <w:jc w:val="center"/>
              <w:ind w:right="4520"/>
              <w:spacing w:after="0"/>
              <w:rPr>
                <w:sz w:val="20"/>
                <w:szCs w:val="20"/>
                <w:color w:val="auto"/>
              </w:rPr>
            </w:pPr>
            <w:r>
              <w:rPr>
                <w:rFonts w:ascii="Arial" w:cs="Arial" w:eastAsia="Arial" w:hAnsi="Arial"/>
                <w:sz w:val="18"/>
                <w:szCs w:val="18"/>
                <w:b w:val="1"/>
                <w:bCs w:val="1"/>
                <w:color w:val="auto"/>
                <w:w w:val="87"/>
              </w:rPr>
              <w:t>700 South Royal Poinciana Blvd., Suite 800</w:t>
            </w:r>
          </w:p>
        </w:tc>
      </w:tr>
      <w:tr>
        <w:trPr>
          <w:trHeight w:val="218"/>
        </w:trPr>
        <w:tc>
          <w:tcPr>
            <w:tcW w:w="3600" w:type="dxa"/>
            <w:vAlign w:val="bottom"/>
            <w:gridSpan w:val="3"/>
          </w:tcPr>
          <w:p>
            <w:pPr>
              <w:jc w:val="center"/>
              <w:ind w:left="940"/>
              <w:spacing w:after="0"/>
              <w:rPr>
                <w:sz w:val="20"/>
                <w:szCs w:val="20"/>
                <w:color w:val="auto"/>
              </w:rPr>
            </w:pPr>
            <w:r>
              <w:rPr>
                <w:rFonts w:ascii="Arial" w:cs="Arial" w:eastAsia="Arial" w:hAnsi="Arial"/>
                <w:sz w:val="18"/>
                <w:szCs w:val="18"/>
                <w:b w:val="1"/>
                <w:bCs w:val="1"/>
                <w:color w:val="auto"/>
                <w:w w:val="92"/>
              </w:rPr>
              <w:t>Miami Springs, Florida</w:t>
            </w:r>
          </w:p>
        </w:tc>
        <w:tc>
          <w:tcPr>
            <w:tcW w:w="53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33166</w:t>
            </w:r>
          </w:p>
        </w:tc>
        <w:tc>
          <w:tcPr>
            <w:tcW w:w="160" w:type="dxa"/>
            <w:vAlign w:val="bottom"/>
          </w:tcPr>
          <w:p>
            <w:pPr>
              <w:spacing w:after="0"/>
              <w:rPr>
                <w:sz w:val="18"/>
                <w:szCs w:val="18"/>
                <w:color w:val="auto"/>
              </w:rPr>
            </w:pPr>
          </w:p>
        </w:tc>
      </w:tr>
      <w:tr>
        <w:trPr>
          <w:trHeight w:val="174"/>
        </w:trPr>
        <w:tc>
          <w:tcPr>
            <w:tcW w:w="3600" w:type="dxa"/>
            <w:vAlign w:val="bottom"/>
            <w:gridSpan w:val="3"/>
          </w:tcPr>
          <w:p>
            <w:pPr>
              <w:jc w:val="center"/>
              <w:ind w:left="9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1580" w:type="dxa"/>
            <w:vAlign w:val="bottom"/>
          </w:tcPr>
          <w:p>
            <w:pPr>
              <w:spacing w:after="0"/>
              <w:rPr>
                <w:sz w:val="24"/>
                <w:szCs w:val="24"/>
                <w:color w:val="auto"/>
              </w:rPr>
            </w:pPr>
          </w:p>
        </w:tc>
        <w:tc>
          <w:tcPr>
            <w:tcW w:w="7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Registrant’s Telephone Number, including area code: (305) 884-2001</w:t>
            </w:r>
          </w:p>
        </w:tc>
      </w:tr>
      <w:tr>
        <w:trPr>
          <w:trHeight w:val="365"/>
        </w:trPr>
        <w:tc>
          <w:tcPr>
            <w:tcW w:w="914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286"/>
        </w:trPr>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Name of each exchange</w:t>
            </w:r>
          </w:p>
        </w:tc>
      </w:tr>
      <w:tr>
        <w:trPr>
          <w:trHeight w:val="174"/>
        </w:trPr>
        <w:tc>
          <w:tcPr>
            <w:tcW w:w="1580" w:type="dxa"/>
            <w:vAlign w:val="bottom"/>
          </w:tcPr>
          <w:p>
            <w:pPr>
              <w:spacing w:after="0"/>
              <w:rPr>
                <w:sz w:val="15"/>
                <w:szCs w:val="15"/>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Title of each class:</w:t>
            </w:r>
          </w:p>
        </w:tc>
        <w:tc>
          <w:tcPr>
            <w:tcW w:w="380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on which registered:</w:t>
            </w:r>
          </w:p>
        </w:tc>
      </w:tr>
      <w:tr>
        <w:trPr>
          <w:trHeight w:val="105"/>
        </w:trPr>
        <w:tc>
          <w:tcPr>
            <w:tcW w:w="158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313"/>
        </w:trPr>
        <w:tc>
          <w:tcPr>
            <w:tcW w:w="1580" w:type="dxa"/>
            <w:vAlign w:val="bottom"/>
          </w:tcPr>
          <w:p>
            <w:pPr>
              <w:spacing w:after="0"/>
              <w:rPr>
                <w:sz w:val="24"/>
                <w:szCs w:val="2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Common Stock,</w:t>
            </w:r>
          </w:p>
        </w:tc>
        <w:tc>
          <w:tcPr>
            <w:tcW w:w="5540" w:type="dxa"/>
            <w:vAlign w:val="bottom"/>
            <w:gridSpan w:val="3"/>
          </w:tcPr>
          <w:p>
            <w:pPr>
              <w:jc w:val="center"/>
              <w:ind w:left="3555"/>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3600" w:type="dxa"/>
            <w:vAlign w:val="bottom"/>
            <w:gridSpan w:val="3"/>
          </w:tcPr>
          <w:p>
            <w:pPr>
              <w:jc w:val="center"/>
              <w:ind w:left="940"/>
              <w:spacing w:after="0"/>
              <w:rPr>
                <w:sz w:val="20"/>
                <w:szCs w:val="20"/>
                <w:color w:val="auto"/>
              </w:rPr>
            </w:pPr>
            <w:r>
              <w:rPr>
                <w:rFonts w:ascii="Arial" w:cs="Arial" w:eastAsia="Arial" w:hAnsi="Arial"/>
                <w:sz w:val="18"/>
                <w:szCs w:val="18"/>
                <w:color w:val="auto"/>
                <w:w w:val="86"/>
              </w:rPr>
              <w:t>par value $0.01 per share</w:t>
            </w:r>
          </w:p>
        </w:tc>
        <w:tc>
          <w:tcPr>
            <w:tcW w:w="5540" w:type="dxa"/>
            <w:vAlign w:val="bottom"/>
            <w:gridSpan w:val="3"/>
          </w:tcPr>
          <w:p>
            <w:pPr>
              <w:jc w:val="center"/>
              <w:ind w:left="3555"/>
              <w:spacing w:after="0"/>
              <w:rPr>
                <w:sz w:val="20"/>
                <w:szCs w:val="20"/>
                <w:color w:val="auto"/>
              </w:rPr>
            </w:pPr>
            <w:r>
              <w:rPr>
                <w:rFonts w:ascii="Arial" w:cs="Arial" w:eastAsia="Arial" w:hAnsi="Arial"/>
                <w:sz w:val="18"/>
                <w:szCs w:val="18"/>
                <w:color w:val="auto"/>
                <w:w w:val="88"/>
              </w:rPr>
              <w:t>Pacific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2207260</wp:posOffset>
            </wp:positionH>
            <wp:positionV relativeFrom="paragraph">
              <wp:posOffset>-353695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-353695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-353695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64"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definite proxy or information statements incorporated by reference in Part III of this Form 10-K or any amendment to the Form 10-K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aggregate market value of the voting stock (which consists solely of shares of common stock) held by nonaffiliates of the registrant was $189.1 million (computed by reference to the closing sale price as of June 5, 2002).</w:t>
      </w:r>
    </w:p>
    <w:p>
      <w:pPr>
        <w:spacing w:after="0" w:line="118" w:lineRule="exact"/>
        <w:rPr>
          <w:sz w:val="24"/>
          <w:szCs w:val="24"/>
          <w:color w:val="auto"/>
        </w:rPr>
      </w:pPr>
    </w:p>
    <w:p>
      <w:pPr>
        <w:jc w:val="center"/>
        <w:ind w:right="220"/>
        <w:spacing w:after="0" w:line="422" w:lineRule="auto"/>
        <w:rPr>
          <w:sz w:val="20"/>
          <w:szCs w:val="20"/>
          <w:color w:val="auto"/>
        </w:rPr>
      </w:pPr>
      <w:r>
        <w:rPr>
          <w:rFonts w:ascii="Arial" w:cs="Arial" w:eastAsia="Arial" w:hAnsi="Arial"/>
          <w:sz w:val="18"/>
          <w:szCs w:val="18"/>
          <w:color w:val="auto"/>
        </w:rPr>
        <w:t xml:space="preserve">The registrant had 10.4 million shares of common stock, par value $.01 per share, net of treasury stock, issued and outstanding as of June 5, 2002.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Part III-Definitive Proxy Statement for the 2002 Annual Meeting of Shareholders.</w:t>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80" w:type="dxa"/>
            <w:vAlign w:val="bottom"/>
            <w:gridSpan w:val="12"/>
          </w:tcPr>
          <w:p>
            <w:pPr>
              <w:ind w:left="3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05"/>
        </w:trPr>
        <w:tc>
          <w:tcPr>
            <w:tcW w:w="136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660" w:type="dxa"/>
            <w:vAlign w:val="bottom"/>
            <w:gridSpan w:val="5"/>
            <w:vMerge w:val="restart"/>
          </w:tcPr>
          <w:p>
            <w:pPr>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Business</w:t>
              </w:r>
            </w:hyperlink>
          </w:p>
        </w:tc>
        <w:tc>
          <w:tcPr>
            <w:tcW w:w="9120" w:type="dxa"/>
            <w:vAlign w:val="bottom"/>
            <w:gridSpan w:val="25"/>
            <w:vMerge w:val="restart"/>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1360" w:type="dxa"/>
            <w:vAlign w:val="bottom"/>
            <w:vMerge w:val="continue"/>
          </w:tcPr>
          <w:p>
            <w:pPr>
              <w:spacing w:after="0"/>
              <w:rPr>
                <w:sz w:val="24"/>
                <w:szCs w:val="24"/>
                <w:color w:val="auto"/>
              </w:rPr>
            </w:pPr>
          </w:p>
        </w:tc>
        <w:tc>
          <w:tcPr>
            <w:tcW w:w="660" w:type="dxa"/>
            <w:vAlign w:val="bottom"/>
            <w:tcBorders>
              <w:bottom w:val="single" w:sz="8" w:color="0000EE"/>
            </w:tcBorders>
            <w:gridSpan w:val="5"/>
            <w:vMerge w:val="continue"/>
          </w:tcPr>
          <w:p>
            <w:pPr>
              <w:spacing w:after="0"/>
              <w:rPr>
                <w:sz w:val="24"/>
                <w:szCs w:val="24"/>
                <w:color w:val="auto"/>
              </w:rPr>
            </w:pPr>
          </w:p>
        </w:tc>
        <w:tc>
          <w:tcPr>
            <w:tcW w:w="9120" w:type="dxa"/>
            <w:vAlign w:val="bottom"/>
            <w:gridSpan w:val="25"/>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General</w:t>
              </w:r>
            </w:hyperlink>
          </w:p>
        </w:tc>
        <w:tc>
          <w:tcPr>
            <w:tcW w:w="91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History</w:t>
              </w:r>
            </w:hyperlink>
          </w:p>
        </w:tc>
        <w:tc>
          <w:tcPr>
            <w:tcW w:w="764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Description of Business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Marine Fuel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Aviation Fuel Services</w:t>
              </w:r>
            </w:hyperlink>
          </w:p>
        </w:tc>
        <w:tc>
          <w:tcPr>
            <w:tcW w:w="78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Regulation</w:t>
              </w:r>
            </w:hyperlink>
          </w:p>
        </w:tc>
        <w:tc>
          <w:tcPr>
            <w:tcW w:w="100" w:type="dxa"/>
            <w:vAlign w:val="bottom"/>
            <w:tcBorders>
              <w:top w:val="single" w:sz="8" w:color="0000EE"/>
            </w:tcBorders>
          </w:tcPr>
          <w:p>
            <w:pPr>
              <w:spacing w:after="0"/>
              <w:rPr>
                <w:sz w:val="24"/>
                <w:szCs w:val="24"/>
                <w:color w:val="auto"/>
              </w:rPr>
            </w:pPr>
          </w:p>
        </w:tc>
        <w:tc>
          <w:tcPr>
            <w:tcW w:w="86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80" w:type="dxa"/>
            <w:vAlign w:val="bottom"/>
            <w:tcBorders>
              <w:bottom w:val="single" w:sz="8" w:color="0000EE"/>
            </w:tcBorders>
            <w:gridSpan w:val="6"/>
          </w:tcPr>
          <w:p>
            <w:pPr>
              <w:spacing w:after="0"/>
              <w:rPr>
                <w:rFonts w:ascii="Arial" w:cs="Arial" w:eastAsia="Arial" w:hAnsi="Arial"/>
                <w:sz w:val="18"/>
                <w:szCs w:val="18"/>
                <w:b w:val="1"/>
                <w:bCs w:val="1"/>
                <w:color w:val="0000EE"/>
                <w:w w:val="85"/>
              </w:rPr>
            </w:pPr>
            <w:hyperlink w:anchor="page9">
              <w:r>
                <w:rPr>
                  <w:rFonts w:ascii="Arial" w:cs="Arial" w:eastAsia="Arial" w:hAnsi="Arial"/>
                  <w:sz w:val="18"/>
                  <w:szCs w:val="18"/>
                  <w:b w:val="1"/>
                  <w:bCs w:val="1"/>
                  <w:color w:val="0000EE"/>
                  <w:w w:val="85"/>
                </w:rPr>
                <w:t>Properties</w:t>
              </w:r>
            </w:hyperlink>
          </w:p>
        </w:tc>
        <w:tc>
          <w:tcPr>
            <w:tcW w:w="900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780" w:type="dxa"/>
            <w:vAlign w:val="bottom"/>
            <w:gridSpan w:val="30"/>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780" w:type="dxa"/>
            <w:vAlign w:val="bottom"/>
            <w:gridSpan w:val="30"/>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780" w:type="dxa"/>
            <w:vAlign w:val="bottom"/>
            <w:gridSpan w:val="30"/>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Market for Registrant’s Common Equity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tcBorders>
              <w:top w:val="single" w:sz="8" w:color="0000EE"/>
            </w:tcBorders>
            <w:gridSpan w:val="2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Selected Financial Data</w:t>
              </w:r>
            </w:hyperlink>
          </w:p>
        </w:tc>
        <w:tc>
          <w:tcPr>
            <w:tcW w:w="41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780" w:type="dxa"/>
            <w:vAlign w:val="bottom"/>
            <w:gridSpan w:val="30"/>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 Operations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80" w:type="dxa"/>
            <w:vAlign w:val="bottom"/>
            <w:tcBorders>
              <w:top w:val="single" w:sz="8" w:color="0000EE"/>
            </w:tcBorders>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Reportable Segments</w:t>
              </w:r>
            </w:hyperlink>
          </w:p>
        </w:tc>
        <w:tc>
          <w:tcPr>
            <w:tcW w:w="31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Critical Accounting Policies and Estimates</w:t>
              </w:r>
            </w:hyperlink>
          </w:p>
        </w:tc>
        <w:tc>
          <w:tcPr>
            <w:tcW w:w="66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10"/>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Liquidity and Capital Resources</w:t>
              </w:r>
            </w:hyperlink>
          </w:p>
        </w:tc>
        <w:tc>
          <w:tcPr>
            <w:tcW w:w="74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Contractual Obligations, Commercial Commitments, and Off-Balance Sheet Arrangements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tcBorders>
              <w:top w:val="single" w:sz="8" w:color="0000EE"/>
            </w:tcBorders>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Recent Accounting Pronouncements</w:t>
              </w:r>
            </w:hyperlink>
          </w:p>
        </w:tc>
        <w:tc>
          <w:tcPr>
            <w:tcW w:w="33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1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7A.</w:t>
            </w:r>
          </w:p>
        </w:tc>
        <w:tc>
          <w:tcPr>
            <w:tcW w:w="4560" w:type="dxa"/>
            <w:vAlign w:val="bottom"/>
            <w:tcBorders>
              <w:bottom w:val="single" w:sz="8" w:color="0000EE"/>
            </w:tcBorders>
            <w:gridSpan w:val="23"/>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Quantitative and Qualitative Disclosures About Market Risk</w:t>
              </w:r>
            </w:hyperlink>
          </w:p>
        </w:tc>
        <w:tc>
          <w:tcPr>
            <w:tcW w:w="52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gridSpan w:val="3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Financial Statements and Supplementary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860" w:type="dxa"/>
            <w:vAlign w:val="bottom"/>
            <w:gridSpan w:val="13"/>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780" w:type="dxa"/>
            <w:vAlign w:val="bottom"/>
            <w:gridSpan w:val="3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6680" w:type="dxa"/>
            <w:vAlign w:val="bottom"/>
            <w:tcBorders>
              <w:top w:val="single" w:sz="8" w:color="0000EE"/>
            </w:tcBorders>
            <w:gridSpan w:val="2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Directors and Executive Officers of the Registrant</w:t>
              </w:r>
            </w:hyperlink>
          </w:p>
        </w:tc>
        <w:tc>
          <w:tcPr>
            <w:tcW w:w="3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186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Executive Compensation</w:t>
              </w:r>
            </w:hyperlink>
          </w:p>
        </w:tc>
        <w:tc>
          <w:tcPr>
            <w:tcW w:w="1880" w:type="dxa"/>
            <w:vAlign w:val="bottom"/>
            <w:tcBorders>
              <w:top w:val="single" w:sz="8" w:color="0000EE"/>
            </w:tcBorders>
            <w:gridSpan w:val="8"/>
          </w:tcPr>
          <w:p>
            <w:pPr>
              <w:spacing w:after="0"/>
              <w:rPr>
                <w:sz w:val="24"/>
                <w:szCs w:val="24"/>
                <w:color w:val="auto"/>
              </w:rPr>
            </w:pPr>
          </w:p>
        </w:tc>
        <w:tc>
          <w:tcPr>
            <w:tcW w:w="604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5080" w:type="dxa"/>
            <w:vAlign w:val="bottom"/>
            <w:tcBorders>
              <w:bottom w:val="single" w:sz="8" w:color="0000EE"/>
            </w:tcBorders>
            <w:gridSpan w:val="25"/>
          </w:tcPr>
          <w:p>
            <w:pPr>
              <w:spacing w:after="0"/>
              <w:rPr>
                <w:rFonts w:ascii="Arial" w:cs="Arial" w:eastAsia="Arial" w:hAnsi="Arial"/>
                <w:sz w:val="18"/>
                <w:szCs w:val="18"/>
                <w:b w:val="1"/>
                <w:bCs w:val="1"/>
                <w:color w:val="0000EE"/>
                <w:w w:val="88"/>
              </w:rPr>
            </w:pPr>
            <w:hyperlink w:anchor="page29">
              <w:r>
                <w:rPr>
                  <w:rFonts w:ascii="Arial" w:cs="Arial" w:eastAsia="Arial" w:hAnsi="Arial"/>
                  <w:sz w:val="18"/>
                  <w:szCs w:val="18"/>
                  <w:b w:val="1"/>
                  <w:bCs w:val="1"/>
                  <w:color w:val="0000EE"/>
                  <w:w w:val="88"/>
                </w:rPr>
                <w:t>Security Ownership of Certain Beneficial Owners and Management</w:t>
              </w:r>
            </w:hyperlink>
          </w:p>
        </w:tc>
        <w:tc>
          <w:tcPr>
            <w:tcW w:w="47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9780" w:type="dxa"/>
            <w:vAlign w:val="bottom"/>
            <w:gridSpan w:val="3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Certain Relationships and Related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580" w:type="dxa"/>
            <w:vAlign w:val="bottom"/>
            <w:gridSpan w:val="20"/>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780" w:type="dxa"/>
            <w:vAlign w:val="bottom"/>
            <w:gridSpan w:val="3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Exhibits, Financial Statement Schedules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-6684010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-6684010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World Fuel Services Corporation was incorporated in Florida in July 1984 and along with its consolidated subsidiaries is referred to collectively in this Annual Report on Form 10-K as “we,” “our” and “us”. Our principal business is the marketing of marine and aviation fuel services. In our marine fuel services business, we market marine fuel and related services to a broad base of international shipping companies and to the United States and foreign militaries. We offer 24-hour around-the-world service, credit terms, and competitively priced fuel. In our aviation fuel services business, we extend credit and provide around-the-world single-supplier convenience, 24-hour service, and competitively priced aviation fuel and other aviation related services, including fuel management services, to passenger, cargo and charter airlines, as well as to the United States and foreign militaries. We also offer flight plans and weather reports to our corporate customers.</w:t>
      </w:r>
    </w:p>
    <w:p>
      <w:pPr>
        <w:spacing w:after="0" w:line="134"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Financial information with respect to our business segments and the geographic areas of our business is provided in Note 8 to the accompanying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report and the information incorporated by reference in it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 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report and in our other Securities and Exchange Commission filings. A more detailed description of the principal risks in our business is set forth in “Risk Factors”. We undertake no obligation to update or revise publicly any forward-looking statements, whether as a result of new information, future events, or otherwise.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executive offices are located at 700 South Royal Poinciana Boulevard, Suite 800, Miami Springs, Florida 33166 and our telephone number at this address is (305) 884-2001. Our aviation fuel services business is conducted through ten subsidiaries, with principal offices in the United States, United Kingdom, Singapore, Mexico, and Costa Rica. Our marine fuel services business is conducted through thirteen subsidiaries with principal offices in the United States, United Kingdom, Denmark, Norway, Costa Rica, South Africa, South Korea, Singapore, Japan, Hong Kong, the Netherlands, and the United Arab Emirates. See “Item 2—Properties” for a list of principal offices by business segment and “Exhibit 21—Subsidiaries of the Registrant” included in Item 14 of this Annual Report on Form 10-K for a list of our subsidiaries.</w:t>
      </w:r>
    </w:p>
    <w:p>
      <w:pPr>
        <w:spacing w:after="0" w:line="1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1984, we began our operations as a used oil-recycler in the southeast United States. This segment of our business was exited in February 2000 through the sale of the stock of our International Petroleum Corporation subsidiaries, to Dallas-based EarthCare Company (“EarthCare”). For additional information regarding this transaction, refer to Note 2 to the consolidated financial statements, included herein, and “Item 3—Legal Proceedings.”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1986, we diversified our operations by entering, through an acquisition, the aviation fuel services business. This segment of our business expanded from a business primarily concentrated in Florida to an international sales company covering airports throughout most of the world. This expansion resulted from acquisitions and the establishment of new offices. In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December 2000, we acquired a 50% interest in PAFCO L.L.C. (“PAFCO”) from Signature Flight Support Services Corporation. PAFCO markets aviation fuel and related services. For additional information on the PAFCO transaction, refer to Notes 1 and 7 to the consolidated financial statements included in this report.</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1995, we further diversified our fuel services operations and entered the marine fuel business by acquiring the Trans-Tec Services group of companies. In 1999, we expanded our marine fuel business and our share of the world’s marine fuel market with the acquisition of the Bunkerfuels group of companies. Since 1999, we have continued our expansion of the marine business through the acquisitions of Norse Bunkers, based in Oslo, Norway; Marine Energy, located in Dubai, United Arab Emirates; and the Oil Shipping group of companies, with operations in Singapore, the Netherlands and Hong Kong. Since our entry into the marine fuel services business, we have opened various new offices in key strategic markets, such as South Africa, Japan, Denmark, Greece, and Seattle, Washington. For additional information regarding our acquisitions since 1999, refer to Note 1 to the consolidated financial statements, included in this report.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principal business is the marketing of marine fuel services to a broad base of international shipping companies and to the United States and foreign militaries, and of aviation fuel services to passenger, cargo and charter airlines, as well as to United States and foreign militaries. We currently employ a total 362 people worldwide, of which 122 people are employed in our marine fuel business and 188 people are employed in our aviation fuel business.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Marine Fuel Services</w:t>
      </w:r>
    </w:p>
    <w:p>
      <w:pPr>
        <w:spacing w:after="0" w:line="15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market marine fuel and services to a broad base of customers, including international container and tanker fleets, time charter operators, as well as to United States and foreign military vessels. Marine fuel and related services are provided throughout most of the world.</w:t>
      </w:r>
    </w:p>
    <w:p>
      <w:pPr>
        <w:spacing w:after="0" w:line="7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Through our vast network of strategically located sales offices, we provide our customers global market intelligence and rapid access to quality and competitively priced marine fuel, 24-hours a day, every day of the year. Our marine related services include management services for the procurement of fuel, cost control through the use of hedging instruments, quality control and claims management. Our customers need cost effective and professional fuel services because the cost of fuel is a major component of a vessel’s operating overhead.</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an increasing number of ship owners, time charter operators, and suppliers continue to outsource their marine fuel purchasing and/or marketing needs, our value added services have become an integral part of the oil and transportation industries’ push to shed non-core functions and reduce costs. Suppliers use our global sales, marketing and financial infrastructure to sell a spot or ratable volume of product to a diverse, international purchasing community. End customers use our real time analysis of the availability, quality, and price of marine fuels in ports worldwide to maximize their competitive position.</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our marine operations, we act as a broker and as a source of market information for the end user, negotiate the transaction by arranging the fuel purchase contract between the supplier and the end user, and expedite the arrangements for the delivery of fuel. For this service, we are paid a commission from the supplier. We also act as a reseller, when we purchase the fuel from a supplier, mark it up, and resell the fuel to a customer.</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purchase our marine fuel from suppliers worldwide. Our cost of fuel is generally tied to spot pricing,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or as required to transact business in certain countries.</w:t>
      </w:r>
    </w:p>
    <w:p>
      <w:pPr>
        <w:spacing w:after="0" w:line="9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fueling of vessels in-port and at-sea, and transportation of fuel and fuel products.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2002, 2001 and 2000, none of our marine fuel customers accounted for more than 10% of our consolidated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Aviation Fuel Services</w:t>
      </w:r>
    </w:p>
    <w:p>
      <w:pPr>
        <w:spacing w:after="0" w:line="15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market aviation fuel and services to passenger, cargo and charter airlines, as well as corporate customers and the United States and foreign militaries. We have developed an extensive network that enables us to provide aviation fuel and related services to customers at airports throughout most of the world. Our aviation related services include fuel management, flight plans, weather reports, ground handling, and flight permits.</w:t>
      </w:r>
    </w:p>
    <w:p>
      <w:pPr>
        <w:spacing w:after="0" w:line="9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We recognize that the extension of credit is a risk, but also a significant area of opportunity. Accordingly, we extend unsecured credit to most of our customers.</w:t>
      </w:r>
    </w:p>
    <w:p>
      <w:pPr>
        <w:spacing w:after="0" w:line="9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purchase our aviation fuel from suppliers worldwide. Our cost of fuel is generally tied to market-based formulas or is governmentally controlled. We are usually extended unsecured trade credit from our suppliers for our fuel purchases. However, certain suppliers require us to provide a letter of credit. We may prepay our fuel purchases to take advantage of financial discounts, or as required to transact business in certain countries.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Outside of the United States, we do not maintain fuel inventory since we arrange to have the fuel delivered into our customers’ aircraft directly from our suppliers. In the United States, fuel is delivered into our customers’ aircraft or designated storage directly from our suppliers or from our fuel inventory. Inventory is held at multiple locations in the United States for competitive reasons and inventory levels are kept at an operating minimum. We have arrangements with our suppliers and other third parties for the storage and delivery of fuel, and related aviation services.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utilize subcontractors to provide various services to customers, including into-plane fueling at airports, and transportation and storage of fuel and fuel products.</w:t>
      </w:r>
    </w:p>
    <w:p>
      <w:pPr>
        <w:spacing w:after="0" w:line="118" w:lineRule="exact"/>
        <w:rPr>
          <w:sz w:val="20"/>
          <w:szCs w:val="20"/>
          <w:color w:val="auto"/>
        </w:rPr>
      </w:pPr>
    </w:p>
    <w:p>
      <w:pPr>
        <w:ind w:left="240" w:right="1760" w:firstLine="228"/>
        <w:spacing w:after="0" w:line="422" w:lineRule="auto"/>
        <w:rPr>
          <w:sz w:val="20"/>
          <w:szCs w:val="20"/>
          <w:color w:val="auto"/>
        </w:rPr>
      </w:pPr>
      <w:r>
        <w:rPr>
          <w:rFonts w:ascii="Arial" w:cs="Arial" w:eastAsia="Arial" w:hAnsi="Arial"/>
          <w:sz w:val="18"/>
          <w:szCs w:val="18"/>
          <w:color w:val="auto"/>
        </w:rPr>
        <w:t xml:space="preserve">During fiscal 2002, 2001 and 2000, none of our aviation fuel customers accounted for more than 10% of our consolidated revenue. </w:t>
      </w:r>
      <w:r>
        <w:rPr>
          <w:rFonts w:ascii="Arial" w:cs="Arial" w:eastAsia="Arial" w:hAnsi="Arial"/>
          <w:sz w:val="18"/>
          <w:szCs w:val="18"/>
          <w:i w:val="1"/>
          <w:iCs w:val="1"/>
          <w:color w:val="auto"/>
        </w:rPr>
        <w:t>Risk Factors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Credit Losses</w:t>
      </w:r>
      <w:r>
        <w:rPr>
          <w:rFonts w:ascii="Arial" w:cs="Arial" w:eastAsia="Arial" w:hAnsi="Arial"/>
          <w:sz w:val="16"/>
          <w:szCs w:val="16"/>
          <w:color w:val="auto"/>
        </w:rPr>
        <w:t>. Our marine and aviation fueling businesses extend unsecured credit to most of their customers. Our success in attracting business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Although we generally do not insure our receivables, we are exploring the possibility of using credit insurance on a more widespread basis within our marine segment. Diversification of credit risk is difficult since we sell primarily within the 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ensuring the overall quality of the credit portfolio. The level of credit granted to a customer is influenced by a customer’s credit history with us, including claims experience and payment patterns. In our marine fuel services segment, we have extended lines of credit of at least $5.0 million to seven customers, and two of these customers have outstanding balances ranging from $9.0 to $10.0 million. In our aviation fuel services segment, our largest credit exposure to a single customer is $3.0 million.</w:t>
      </w:r>
    </w:p>
    <w:p>
      <w:pPr>
        <w:spacing w:after="0" w:line="11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fiscal 2002, world oil prices continued to exhibit volatility. Fuel costs represent a significant part of a vessel’s and airline’s operating expenses; accordingly, the volatility in fuel prices has adversely affected our customers in the past, and we expect this to continue in the future. Our credit losses are generally higher during times of rapidly increasing oil prices.</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foreign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will in turn result in higher credit losses for 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also incur credit losses due to other causes, including deteriorating conditions in the world economy, or in the shipping or aviation industries. Any credit losses, if significant, will have a material adverse effect on our financial position and results of operations.</w:t>
      </w:r>
    </w:p>
    <w:p>
      <w:pPr>
        <w:spacing w:after="0" w:line="118"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i w:val="1"/>
          <w:iCs w:val="1"/>
          <w:color w:val="auto"/>
        </w:rPr>
        <w:t>Senior Management</w:t>
      </w:r>
      <w:r>
        <w:rPr>
          <w:rFonts w:ascii="Arial" w:cs="Arial" w:eastAsia="Arial" w:hAnsi="Arial"/>
          <w:sz w:val="15"/>
          <w:szCs w:val="15"/>
          <w:color w:val="auto"/>
        </w:rPr>
        <w:t>. Our ability to maintain our competitive position is dependent largely on the services of our senior management team. If we are</w:t>
      </w:r>
      <w:r>
        <w:rPr>
          <w:rFonts w:ascii="Arial" w:cs="Arial" w:eastAsia="Arial" w:hAnsi="Arial"/>
          <w:sz w:val="15"/>
          <w:szCs w:val="15"/>
          <w:i w:val="1"/>
          <w:iCs w:val="1"/>
          <w:color w:val="auto"/>
        </w:rPr>
        <w:t xml:space="preserve"> </w:t>
      </w:r>
      <w:r>
        <w:rPr>
          <w:rFonts w:ascii="Arial" w:cs="Arial" w:eastAsia="Arial" w:hAnsi="Arial"/>
          <w:sz w:val="15"/>
          <w:szCs w:val="15"/>
          <w:color w:val="auto"/>
        </w:rPr>
        <w:t>unable to retain the existing senior management personnel, or to attract other qualified senior management personnel, our businesses will be adversely affected.</w:t>
      </w:r>
    </w:p>
    <w:p>
      <w:pPr>
        <w:spacing w:after="0" w:line="49"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i w:val="1"/>
          <w:iCs w:val="1"/>
          <w:color w:val="auto"/>
        </w:rPr>
        <w:t>Revolving Line of Credit</w:t>
      </w:r>
      <w:r>
        <w:rPr>
          <w:rFonts w:ascii="Arial" w:cs="Arial" w:eastAsia="Arial" w:hAnsi="Arial"/>
          <w:sz w:val="16"/>
          <w:szCs w:val="16"/>
          <w:color w:val="auto"/>
        </w:rPr>
        <w:t>. Our revolving credit agreement imposes certain operating and financial restrictions, including limitations on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may be paid. Our failure to comply with the obligations under the revolving credit agreement, including meeting certain financial ratios, could result in an event of default. Such an event of default, if not cured or waived, would permit acceleration of any outstanding indebtedness under the revolving credit facility, or impair our ability to receive advances, and issue letters of credit, and may have a material adverse effect on us.</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Market Risks</w:t>
      </w:r>
      <w:r>
        <w:rPr>
          <w:rFonts w:ascii="Arial" w:cs="Arial" w:eastAsia="Arial" w:hAnsi="Arial"/>
          <w:sz w:val="16"/>
          <w:szCs w:val="16"/>
          <w:color w:val="auto"/>
        </w:rPr>
        <w:t>. We are a provider of marine fuel and related services to international container and tanker fleets, time charter operators, and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foreign militaries. We also provide aviation fuel and related services primarily to secondary passenger and cargo airlines, as well as corporate customers and United States and foreign militaries. Our fuel services are provided through relationships with the large independent oil suppliers, as well as government owned oil companies. We could be adversely affected by industry consolidation, on the customer side, because of increased merger activity in the airline and shipping industries. On the supply side, we could be adversely affected because of increased competition from the larger oil companies who may choose to directly market to smaller airlines and shipping companies or to provide less advantageous credit and price terms to us. Moreover, a rapid and sustained increase in fuel prices could affect the credit limits extended to us by our suppliers, potentially impacting our liquidity and profitability. Conversely, a rapid decline in fuel prices could adversely affect our profitability because of the inventory held by us in the United States.</w:t>
      </w:r>
    </w:p>
    <w:p>
      <w:pPr>
        <w:spacing w:after="0" w:line="10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We are subject to aggressive competition in all areas of our business. Our competitors are numerous, ranging from large multinational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to relatively small and specialized firms. We compete primarily on the basis of credit, price, reliability, customer service and support.</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Environmental and Other Liabilities; Uninsured Risks</w:t>
      </w:r>
      <w:r>
        <w:rPr>
          <w:rFonts w:ascii="Arial" w:cs="Arial" w:eastAsia="Arial" w:hAnsi="Arial"/>
          <w:sz w:val="16"/>
          <w:szCs w:val="16"/>
          <w:color w:val="auto"/>
        </w:rPr>
        <w:t>. In the marine and aviation fuel segments, we utilize subcontractors to provide various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insurances cover acts of war and terrorism. If we are held responsible for any acts of war or terrorism, accident or other event, and the liability is not adequately covered by insurance and is of sufficient magnitude, our financial position and results of operations will be adversely affected.</w:t>
      </w:r>
    </w:p>
    <w:p>
      <w:pPr>
        <w:spacing w:after="0" w:line="10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be required to clean-up facilities previously operated by us, pursuant to current U.S. federal and state laws and regulations. See “Regulation” and “Item 3—Legal Proceedings.”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Regulation</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activities, including discontinued operations, are subject to substantial regulation by federal, state and local government agencies, both in and outside the United States, which enforce laws and regulations governing the transportation, sale, storage and disposal of fuel and the collection, transportation, processing, storage, use and disposal of hazardous substances and wastes, including waste oil.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laws and regulations affecting our businesses and the markets it serves are as follows: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The Comprehensive Environmental Response, Compensation and Liability Act of 1980 (“Superfund” or “CERCLA”) </w:t>
      </w:r>
      <w:r>
        <w:rPr>
          <w:rFonts w:ascii="Arial" w:cs="Arial" w:eastAsia="Arial" w:hAnsi="Arial"/>
          <w:sz w:val="16"/>
          <w:szCs w:val="16"/>
          <w:color w:val="auto"/>
        </w:rPr>
        <w:t>establishes a program for federally</w:t>
      </w:r>
      <w:r>
        <w:rPr>
          <w:rFonts w:ascii="Arial" w:cs="Arial" w:eastAsia="Arial" w:hAnsi="Arial"/>
          <w:sz w:val="16"/>
          <w:szCs w:val="16"/>
          <w:i w:val="1"/>
          <w:iCs w:val="1"/>
          <w:color w:val="auto"/>
        </w:rPr>
        <w:t xml:space="preserve"> </w:t>
      </w:r>
      <w:r>
        <w:rPr>
          <w:rFonts w:ascii="Arial" w:cs="Arial" w:eastAsia="Arial" w:hAnsi="Arial"/>
          <w:sz w:val="16"/>
          <w:szCs w:val="16"/>
          <w:color w:val="auto"/>
        </w:rPr>
        <w:t>directed response or remedial actions with respect to the uncontrolled discharge of hazardous substances, pollutants or contaminants, including waste oil, into the environment. The law authorizes the United States federal government either to seek a binding order directing responsible parties to undertake such actions or authorizes the United States federal government to undertake such actions and then to seek compensation for the cost of clean-up and other damages from potentially responsible parties. The United States Congress established a federally managed trust fund, commonly known as the Superfund, to fund response and remedial actions undertaken by the United States federal government. The trust fund is used to fund federally conducted actions when no financially able or willing responsible party has been found.</w:t>
      </w:r>
    </w:p>
    <w:p>
      <w:pPr>
        <w:spacing w:after="0" w:line="10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The Superfund Amendments and Re-authorization Act of 1986 (“SARA”) </w:t>
      </w:r>
      <w:r>
        <w:rPr>
          <w:rFonts w:ascii="Arial" w:cs="Arial" w:eastAsia="Arial" w:hAnsi="Arial"/>
          <w:sz w:val="18"/>
          <w:szCs w:val="18"/>
          <w:color w:val="auto"/>
        </w:rPr>
        <w:t>adopted more detailed and stringent standards for remedial action at Superfund</w:t>
      </w:r>
      <w:r>
        <w:rPr>
          <w:rFonts w:ascii="Arial" w:cs="Arial" w:eastAsia="Arial" w:hAnsi="Arial"/>
          <w:sz w:val="18"/>
          <w:szCs w:val="18"/>
          <w:i w:val="1"/>
          <w:iCs w:val="1"/>
          <w:color w:val="auto"/>
        </w:rPr>
        <w:t xml:space="preserve"> </w:t>
      </w:r>
      <w:r>
        <w:rPr>
          <w:rFonts w:ascii="Arial" w:cs="Arial" w:eastAsia="Arial" w:hAnsi="Arial"/>
          <w:sz w:val="18"/>
          <w:szCs w:val="18"/>
          <w:color w:val="auto"/>
        </w:rPr>
        <w:t>sites, and clarified provisions requiring damage assessments to determine the extent and monetary value of injury to the environment. SARA also provides a separate funding mechanism for the clean-up of underground storage tanks.</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The Resource Conservation and Recovery Act of 1976 (“RCRA”) </w:t>
      </w:r>
      <w:r>
        <w:rPr>
          <w:rFonts w:ascii="Arial" w:cs="Arial" w:eastAsia="Arial" w:hAnsi="Arial"/>
          <w:sz w:val="16"/>
          <w:szCs w:val="16"/>
          <w:color w:val="auto"/>
        </w:rPr>
        <w:t>established a comprehensive regulatory framework for the management of hazardous</w:t>
      </w:r>
      <w:r>
        <w:rPr>
          <w:rFonts w:ascii="Arial" w:cs="Arial" w:eastAsia="Arial" w:hAnsi="Arial"/>
          <w:sz w:val="16"/>
          <w:szCs w:val="16"/>
          <w:i w:val="1"/>
          <w:iCs w:val="1"/>
          <w:color w:val="auto"/>
        </w:rPr>
        <w:t xml:space="preserve"> </w:t>
      </w:r>
      <w:r>
        <w:rPr>
          <w:rFonts w:ascii="Arial" w:cs="Arial" w:eastAsia="Arial" w:hAnsi="Arial"/>
          <w:sz w:val="16"/>
          <w:szCs w:val="16"/>
          <w:color w:val="auto"/>
        </w:rPr>
        <w:t>waste at active facilities. RCRA sets up a “cradle-to-grave” system for the management of hazardous waste, imposing upon all parties who generate, transport, treat, store or dispose of waste, above certain minimum quantities, requirements for performance, testing and record keeping. RCRA also requires permits for construction, operation and closure of facilities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disposal of hazardous waste; and require the identification and regulation of underground storage tanks containing petroleum and certain chemicals.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The Clean Water Act of 1972</w:t>
      </w:r>
      <w:r>
        <w:rPr>
          <w:rFonts w:ascii="Arial" w:cs="Arial" w:eastAsia="Arial" w:hAnsi="Arial"/>
          <w:sz w:val="16"/>
          <w:szCs w:val="16"/>
          <w:color w:val="auto"/>
        </w:rPr>
        <w:t>, as amended in 1987, establishes water pollutant discharge standards applicable to many basic types of manufacturing plants</w:t>
      </w:r>
      <w:r>
        <w:rPr>
          <w:rFonts w:ascii="Arial" w:cs="Arial" w:eastAsia="Arial" w:hAnsi="Arial"/>
          <w:sz w:val="16"/>
          <w:szCs w:val="16"/>
          <w:i w:val="1"/>
          <w:iCs w:val="1"/>
          <w:color w:val="auto"/>
        </w:rPr>
        <w:t xml:space="preserve"> </w:t>
      </w:r>
      <w:r>
        <w:rPr>
          <w:rFonts w:ascii="Arial" w:cs="Arial" w:eastAsia="Arial" w:hAnsi="Arial"/>
          <w:sz w:val="16"/>
          <w:szCs w:val="16"/>
          <w:color w:val="auto"/>
        </w:rPr>
        <w:t>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Safe Drinking Water Act</w:t>
      </w:r>
      <w:r>
        <w:rPr>
          <w:rFonts w:ascii="Arial" w:cs="Arial" w:eastAsia="Arial" w:hAnsi="Arial"/>
          <w:sz w:val="18"/>
          <w:szCs w:val="18"/>
          <w:color w:val="auto"/>
        </w:rPr>
        <w:t>, as amended in 1986, regulates public water supplies by requiring the EPA to establish primary drinking water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The International Convention for the Prevention of Pollution from Ships (“MARPOL”) </w:t>
      </w:r>
      <w:r>
        <w:rPr>
          <w:rFonts w:ascii="Arial" w:cs="Arial" w:eastAsia="Arial" w:hAnsi="Arial"/>
          <w:sz w:val="18"/>
          <w:szCs w:val="18"/>
          <w:color w:val="auto"/>
        </w:rPr>
        <w:t>places strict limitations on the discharge of oil at sea and in 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ships to transfer oily waste to certified reception facilities. The United States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129"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The National Pollutant Discharge Elimination System (“NPDES”)</w:t>
      </w:r>
      <w:r>
        <w:rPr>
          <w:rFonts w:ascii="Arial" w:cs="Arial" w:eastAsia="Arial" w:hAnsi="Arial"/>
          <w:sz w:val="15"/>
          <w:szCs w:val="15"/>
          <w:color w:val="auto"/>
        </w:rPr>
        <w:t>, a program promulgated under the Clean Water Act, permits states to issue permits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discharge of pollutants into the waters of the United States in lieu of federal EPA regulation. State programs must be consistent with minimum United States federal requirements, although they may be more stringent. NPDES permits are required for, among other things, certain industrial discharges of storm water.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The Oil Pollution Act of 1990 </w:t>
      </w:r>
      <w:r>
        <w:rPr>
          <w:rFonts w:ascii="Arial" w:cs="Arial" w:eastAsia="Arial" w:hAnsi="Arial"/>
          <w:sz w:val="16"/>
          <w:szCs w:val="16"/>
          <w:color w:val="auto"/>
        </w:rPr>
        <w:t>imposes liability for oil discharges, or threats of discharge, into the navigable waters of the United States on the owner 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discharge or a substantial threat of an actual discharge of oil. In addition, the responsible party may be held liable for damages for injury to natural resources, loss of use of natural resources and loss of revenues from the use of such resources.</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State and Local Government Regulations. </w:t>
      </w:r>
      <w:r>
        <w:rPr>
          <w:rFonts w:ascii="Arial" w:cs="Arial" w:eastAsia="Arial" w:hAnsi="Arial"/>
          <w:sz w:val="16"/>
          <w:szCs w:val="16"/>
          <w:color w:val="auto"/>
        </w:rPr>
        <w:t>Many states have been authorized by the EPA to enforce regulations promulgated under RCRA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federal programs. In addition, there are numerous state and local authorities that regulate the environment, some of which impose stricter environmental standards than United States federal laws and regulations. Some states, including Florida, have enacted legislation which generally provides for registration, record 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105" w:lineRule="exact"/>
        <w:rPr>
          <w:sz w:val="20"/>
          <w:szCs w:val="20"/>
          <w:color w:val="auto"/>
        </w:rPr>
      </w:pPr>
    </w:p>
    <w:p>
      <w:pPr>
        <w:jc w:val="both"/>
        <w:ind w:right="500" w:firstLine="456"/>
        <w:spacing w:after="0" w:line="298" w:lineRule="auto"/>
        <w:rPr>
          <w:sz w:val="20"/>
          <w:szCs w:val="20"/>
          <w:color w:val="auto"/>
        </w:rPr>
      </w:pPr>
      <w:r>
        <w:rPr>
          <w:rFonts w:ascii="Arial" w:cs="Arial" w:eastAsia="Arial" w:hAnsi="Arial"/>
          <w:sz w:val="16"/>
          <w:szCs w:val="16"/>
          <w:i w:val="1"/>
          <w:iCs w:val="1"/>
          <w:color w:val="auto"/>
        </w:rPr>
        <w:t>Non U.S. Government Regulations</w:t>
      </w:r>
      <w:r>
        <w:rPr>
          <w:rFonts w:ascii="Arial" w:cs="Arial" w:eastAsia="Arial" w:hAnsi="Arial"/>
          <w:sz w:val="16"/>
          <w:szCs w:val="16"/>
          <w:color w:val="auto"/>
        </w:rPr>
        <w:t>. Many non-U.S. governments impose laws and regulations relating to the protection of the environment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discharge of pollutants in the environment. Such laws and regulations could impose significant liability on us for damages, clean-up costs and penalties for discharges of pollutants in the environment, as well as injunctive relief. In addition, some non-U.S. government agencies have established pollution control programs, which include environmental permitting, monitoring and surveillance, data collection and environmental impact assessments.</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U.S. Federal, State, and Non-U.S. Taxes on Fuel. </w:t>
      </w:r>
      <w:r>
        <w:rPr>
          <w:rFonts w:ascii="Arial" w:cs="Arial" w:eastAsia="Arial" w:hAnsi="Arial"/>
          <w:sz w:val="16"/>
          <w:szCs w:val="16"/>
          <w:color w:val="auto"/>
        </w:rPr>
        <w:t>Our marine and aviation fueling operations are affected by various U.S. federal and state taxes imposed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purchase and sale of marine and aviation fuel products. In the United States, federal law imposes a manufacturer’s excise tax on sales of marine and aviation fuel. Sales to aircraft and vessels engaged in non-U.S.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we sell marine and aviation fuel, impose excise and sales taxes on fuel sales; certain sales of fuel by us qualify for full or partial exemptions from these state taxes. Non-U.S. jurisdictions also impose certain taxes on fuel, such as VAT and excise taxes. We continuously review our compliance with U.S. and non-U.S. laws which impose taxes on our operations. Sales and excise taxes on fuel are generally added to the sales price and passed on to our customers. However, in certain cases, we may be responsible for these taxes, including cases where the customer fails to reimburse us, or where the customer or we do not qualify for an exemption believed to be available at the time of the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pages set forth by segment and subsidiary the principal properties leased by us as of June 5, 2002. We consider our properties and facilities to be suitable and adequate for our present needs. Refer to the accompanying consolidated financial statements for additional information.</w:t>
      </w:r>
    </w:p>
    <w:p>
      <w:pPr>
        <w:spacing w:after="0" w:line="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PROPERTIES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Lessee and Location</w:t>
            </w:r>
          </w:p>
        </w:tc>
        <w:tc>
          <w:tcPr>
            <w:tcW w:w="1720" w:type="dxa"/>
            <w:vAlign w:val="bottom"/>
          </w:tcPr>
          <w:p>
            <w:pPr>
              <w:spacing w:after="0"/>
              <w:rPr>
                <w:sz w:val="15"/>
                <w:szCs w:val="15"/>
                <w:color w:val="auto"/>
              </w:rPr>
            </w:pPr>
          </w:p>
        </w:tc>
        <w:tc>
          <w:tcPr>
            <w:tcW w:w="2780" w:type="dxa"/>
            <w:vAlign w:val="bottom"/>
          </w:tcPr>
          <w:p>
            <w:pPr>
              <w:ind w:left="1000"/>
              <w:spacing w:after="0"/>
              <w:rPr>
                <w:sz w:val="20"/>
                <w:szCs w:val="20"/>
                <w:color w:val="auto"/>
              </w:rPr>
            </w:pPr>
            <w:r>
              <w:rPr>
                <w:rFonts w:ascii="Arial" w:cs="Arial" w:eastAsia="Arial" w:hAnsi="Arial"/>
                <w:sz w:val="14"/>
                <w:szCs w:val="14"/>
                <w:b w:val="1"/>
                <w:bCs w:val="1"/>
                <w:color w:val="auto"/>
              </w:rPr>
              <w:t>Principal Use</w:t>
            </w:r>
          </w:p>
        </w:tc>
        <w:tc>
          <w:tcPr>
            <w:tcW w:w="300" w:type="dxa"/>
            <w:vAlign w:val="bottom"/>
          </w:tcPr>
          <w:p>
            <w:pPr>
              <w:spacing w:after="0"/>
              <w:rPr>
                <w:sz w:val="15"/>
                <w:szCs w:val="15"/>
                <w:color w:val="auto"/>
              </w:rPr>
            </w:pP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Lease Term</w:t>
            </w:r>
          </w:p>
        </w:tc>
      </w:tr>
      <w:tr>
        <w:trPr>
          <w:trHeight w:val="105"/>
        </w:trPr>
        <w:tc>
          <w:tcPr>
            <w:tcW w:w="162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313"/>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Corporate</w:t>
            </w:r>
          </w:p>
        </w:tc>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World Fuel Services Corporation</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Executive and administrative</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January 2003</w:t>
            </w: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700 S. Royal Poinciana Blvd., Suite 800</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offices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Miami Springs, FL 33166</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Marine Fuel Services</w:t>
            </w:r>
          </w:p>
        </w:tc>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Trans-Tec Services, Inc.</w:t>
            </w: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700 S. Royal Poinciana Blvd., Suite 800</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Executive and administrative</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January 2003</w:t>
            </w: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Miami Springs, FL 33166</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offices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2 Greenwich Office Park</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Administrative, operations</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December 2006</w:t>
            </w: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Greenwich, CT 06830</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and sales offices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60 East Sir Francis Drake Blvd., Suite 301</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Administrative, operations</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January 2004</w:t>
            </w: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Larkspur, CA 94939</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and sales offices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Room 403, Anglican Church Building</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Sales office</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June 2003</w:t>
            </w: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3-7, Chung-dong, Chung-ku</w:t>
            </w: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Seoul 100-120 South Korea</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129 Beach Road, Mouille Point</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Sales office</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March 2005</w:t>
            </w: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Capetown, South Africa 8001</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spacing w:after="0"/>
              <w:rPr>
                <w:sz w:val="20"/>
                <w:szCs w:val="20"/>
                <w:color w:val="auto"/>
              </w:rPr>
            </w:pPr>
            <w:r>
              <w:rPr>
                <w:rFonts w:ascii="Arial" w:cs="Arial" w:eastAsia="Arial" w:hAnsi="Arial"/>
                <w:sz w:val="18"/>
                <w:szCs w:val="18"/>
                <w:color w:val="auto"/>
              </w:rPr>
              <w:t>Trans-Tec Services (UK) Ltd.</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Administrative, operations</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November 2002</w:t>
            </w: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Millbank Tower, 21/24 Millbank</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and sales offices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London SW1P 4QP United Kingdom</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Gammelbyved 2</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Sales office</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Month-to-month</w:t>
            </w: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Karise, Denmark 4653</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spacing w:after="0"/>
              <w:rPr>
                <w:sz w:val="20"/>
                <w:szCs w:val="20"/>
                <w:color w:val="auto"/>
              </w:rPr>
            </w:pPr>
            <w:r>
              <w:rPr>
                <w:rFonts w:ascii="Arial" w:cs="Arial" w:eastAsia="Arial" w:hAnsi="Arial"/>
                <w:sz w:val="18"/>
                <w:szCs w:val="18"/>
                <w:color w:val="auto"/>
              </w:rPr>
              <w:t>Trans-Tec International S.R.L.</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Administrative, operations</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April 2003</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Casa Petro S.A.</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and sales offices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Oficentro Ejécutivo La Sabana Sur</w:t>
            </w: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Edificio #5, Primer Piso</w:t>
            </w:r>
          </w:p>
        </w:tc>
        <w:tc>
          <w:tcPr>
            <w:tcW w:w="1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San José, Costa Rica</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58"/>
        </w:trPr>
        <w:tc>
          <w:tcPr>
            <w:tcW w:w="4040" w:type="dxa"/>
            <w:vAlign w:val="bottom"/>
            <w:gridSpan w:val="2"/>
          </w:tcPr>
          <w:p>
            <w:pPr>
              <w:spacing w:after="0"/>
              <w:rPr>
                <w:sz w:val="20"/>
                <w:szCs w:val="20"/>
                <w:color w:val="auto"/>
              </w:rPr>
            </w:pPr>
            <w:r>
              <w:rPr>
                <w:rFonts w:ascii="Arial" w:cs="Arial" w:eastAsia="Arial" w:hAnsi="Arial"/>
                <w:sz w:val="18"/>
                <w:szCs w:val="18"/>
                <w:color w:val="auto"/>
              </w:rPr>
              <w:t>Trans-Tec Services (Singapore) Pte., Ltd.</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Administrative, operations</w:t>
            </w: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March 2005</w:t>
            </w:r>
          </w:p>
        </w:tc>
      </w:tr>
      <w:tr>
        <w:trPr>
          <w:trHeight w:val="216"/>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101 Thomson Road #13-03/04, United Square</w:t>
            </w:r>
          </w:p>
        </w:tc>
        <w:tc>
          <w:tcPr>
            <w:tcW w:w="4500" w:type="dxa"/>
            <w:vAlign w:val="bottom"/>
            <w:gridSpan w:val="2"/>
          </w:tcPr>
          <w:p>
            <w:pPr>
              <w:ind w:left="1720"/>
              <w:spacing w:after="0"/>
              <w:rPr>
                <w:sz w:val="20"/>
                <w:szCs w:val="20"/>
                <w:color w:val="auto"/>
              </w:rPr>
            </w:pPr>
            <w:r>
              <w:rPr>
                <w:rFonts w:ascii="Arial" w:cs="Arial" w:eastAsia="Arial" w:hAnsi="Arial"/>
                <w:sz w:val="18"/>
                <w:szCs w:val="18"/>
                <w:color w:val="auto"/>
              </w:rPr>
              <w:t>and sales offices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Singapore 307591</w:t>
            </w:r>
          </w:p>
        </w:tc>
        <w:tc>
          <w:tcPr>
            <w:tcW w:w="17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65"/>
        </w:trPr>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00" w:type="dxa"/>
            <w:vAlign w:val="bottom"/>
            <w:gridSpan w:val="2"/>
          </w:tcPr>
          <w:p>
            <w:pPr>
              <w:ind w:left="660"/>
              <w:spacing w:after="0"/>
              <w:rPr>
                <w:sz w:val="20"/>
                <w:szCs w:val="20"/>
                <w:color w:val="auto"/>
              </w:rPr>
            </w:pPr>
            <w:r>
              <w:rPr>
                <w:rFonts w:ascii="Arial" w:cs="Arial" w:eastAsia="Arial" w:hAnsi="Arial"/>
                <w:sz w:val="18"/>
                <w:szCs w:val="18"/>
                <w:color w:val="auto"/>
              </w:rPr>
              <w:t>(Continued)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8"/>
                <w:szCs w:val="18"/>
                <w:color w:val="auto"/>
              </w:rPr>
              <w:t>7</w:t>
            </w: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-5551170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-5551170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-5551170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-5551170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-5551170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-5551170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PROPERTIES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Lessee and Location</w:t>
            </w:r>
          </w:p>
        </w:tc>
        <w:tc>
          <w:tcPr>
            <w:tcW w:w="2160" w:type="dxa"/>
            <w:vAlign w:val="bottom"/>
          </w:tcPr>
          <w:p>
            <w:pPr>
              <w:spacing w:after="0"/>
              <w:rPr>
                <w:sz w:val="15"/>
                <w:szCs w:val="15"/>
                <w:color w:val="auto"/>
              </w:rPr>
            </w:pPr>
          </w:p>
        </w:tc>
        <w:tc>
          <w:tcPr>
            <w:tcW w:w="2700" w:type="dxa"/>
            <w:vAlign w:val="bottom"/>
          </w:tcPr>
          <w:p>
            <w:pPr>
              <w:ind w:left="960"/>
              <w:spacing w:after="0"/>
              <w:rPr>
                <w:sz w:val="20"/>
                <w:szCs w:val="20"/>
                <w:color w:val="auto"/>
              </w:rPr>
            </w:pPr>
            <w:r>
              <w:rPr>
                <w:rFonts w:ascii="Arial" w:cs="Arial" w:eastAsia="Arial" w:hAnsi="Arial"/>
                <w:sz w:val="14"/>
                <w:szCs w:val="14"/>
                <w:b w:val="1"/>
                <w:bCs w:val="1"/>
                <w:color w:val="auto"/>
              </w:rPr>
              <w:t>Principal Use</w:t>
            </w:r>
          </w:p>
        </w:tc>
        <w:tc>
          <w:tcPr>
            <w:tcW w:w="320" w:type="dxa"/>
            <w:vAlign w:val="bottom"/>
          </w:tcPr>
          <w:p>
            <w:pPr>
              <w:spacing w:after="0"/>
              <w:rPr>
                <w:sz w:val="15"/>
                <w:szCs w:val="15"/>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Lease Term</w:t>
            </w:r>
          </w:p>
        </w:tc>
      </w:tr>
      <w:tr>
        <w:trPr>
          <w:trHeight w:val="105"/>
        </w:trPr>
        <w:tc>
          <w:tcPr>
            <w:tcW w:w="162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r>
      <w:tr>
        <w:trPr>
          <w:trHeight w:val="313"/>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Marine Fuel Services, Continued</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Sales office</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Month-to-month</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Trans-Tec Services (Japan) Co. K.K.</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6th floor, Tozan Building, 4-4-2</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Nihonbashi Hon-Cho, Chuo-Ku</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Tokyo 103-0023, Japan</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Pacific Horizon Petroleum Services, Inc.</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December 2005</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2025 First Ave., Suite 1110</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Seattle, WA 98121</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Bunkerfuels Corporation</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January 2010</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Raritan Plaza III</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101 Fieldcrest Avenue Suite 2B</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Edison, NJ 08837</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Room 2504, Jangkyo Bldg., 1 Jangkyo-Dong</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Sales office</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Month-to-month</w:t>
            </w: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Seoul, Korea</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Bunkerfuels UK Limited</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November 2002</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Millbank Tower, 21/24 Millbank</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London SW1P 4QP United Kingdom</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Norse Bunkers AS</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February 2003</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Niels Juels gate 11 B</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0272 Oslo, Norway</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Marine Energy Arabia Co. LLC</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Sales office</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September 2003</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City Tower 1</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Dubai, United Arab Emirates</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Month-to-month</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Vasteland 6</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3011 BK Rotterdam, Netherlands</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Oil Shipping (Hong Kong) Ltd.</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Administrative, operations</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March 2004</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Unit A, 7th Floor</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and sales offices</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Yam Tze Commercial Building</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23 Thompson Road, Wanchai, Hong Kong</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8"/>
        </w:trPr>
        <w:tc>
          <w:tcPr>
            <w:tcW w:w="4140" w:type="dxa"/>
            <w:vAlign w:val="bottom"/>
            <w:gridSpan w:val="2"/>
          </w:tcPr>
          <w:p>
            <w:pPr>
              <w:spacing w:after="0"/>
              <w:rPr>
                <w:sz w:val="20"/>
                <w:szCs w:val="20"/>
                <w:color w:val="auto"/>
              </w:rPr>
            </w:pPr>
            <w:r>
              <w:rPr>
                <w:rFonts w:ascii="Arial" w:cs="Arial" w:eastAsia="Arial" w:hAnsi="Arial"/>
                <w:sz w:val="18"/>
                <w:szCs w:val="18"/>
                <w:color w:val="auto"/>
              </w:rPr>
              <w:t>Bunkerfuels Hellas, a branch of World Fuel</w:t>
            </w:r>
          </w:p>
        </w:tc>
        <w:tc>
          <w:tcPr>
            <w:tcW w:w="4860" w:type="dxa"/>
            <w:vAlign w:val="bottom"/>
            <w:gridSpan w:val="2"/>
          </w:tcPr>
          <w:p>
            <w:pPr>
              <w:ind w:left="2160"/>
              <w:spacing w:after="0"/>
              <w:rPr>
                <w:sz w:val="20"/>
                <w:szCs w:val="20"/>
                <w:color w:val="auto"/>
              </w:rPr>
            </w:pPr>
            <w:r>
              <w:rPr>
                <w:rFonts w:ascii="Arial" w:cs="Arial" w:eastAsia="Arial" w:hAnsi="Arial"/>
                <w:sz w:val="18"/>
                <w:szCs w:val="18"/>
                <w:color w:val="auto"/>
              </w:rPr>
              <w:t>Sales office</w:t>
            </w: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February 2005</w:t>
            </w: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Services (Singapore) Pte., Ltd.</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Poseidonos 60 Av., Third Floor</w:t>
            </w: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40" w:type="dxa"/>
            <w:vAlign w:val="bottom"/>
            <w:gridSpan w:val="2"/>
          </w:tcPr>
          <w:p>
            <w:pPr>
              <w:ind w:left="120"/>
              <w:spacing w:after="0"/>
              <w:rPr>
                <w:sz w:val="20"/>
                <w:szCs w:val="20"/>
                <w:color w:val="auto"/>
              </w:rPr>
            </w:pPr>
            <w:r>
              <w:rPr>
                <w:rFonts w:ascii="Arial" w:cs="Arial" w:eastAsia="Arial" w:hAnsi="Arial"/>
                <w:sz w:val="18"/>
                <w:szCs w:val="18"/>
                <w:color w:val="auto"/>
              </w:rPr>
              <w:t>Glyfada 166-75 Athens, Greece</w:t>
            </w: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5"/>
        </w:trPr>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60" w:type="dxa"/>
            <w:vAlign w:val="bottom"/>
            <w:gridSpan w:val="2"/>
          </w:tcPr>
          <w:p>
            <w:pPr>
              <w:ind w:left="840"/>
              <w:spacing w:after="0"/>
              <w:rPr>
                <w:sz w:val="20"/>
                <w:szCs w:val="20"/>
                <w:color w:val="auto"/>
              </w:rPr>
            </w:pPr>
            <w:r>
              <w:rPr>
                <w:rFonts w:ascii="Arial" w:cs="Arial" w:eastAsia="Arial" w:hAnsi="Arial"/>
                <w:sz w:val="18"/>
                <w:szCs w:val="18"/>
                <w:color w:val="auto"/>
              </w:rPr>
              <w:t>(Continued)</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60" w:type="dxa"/>
            <w:vAlign w:val="bottom"/>
          </w:tcPr>
          <w:p>
            <w:pPr>
              <w:ind w:left="1240"/>
              <w:spacing w:after="0"/>
              <w:rPr>
                <w:sz w:val="20"/>
                <w:szCs w:val="20"/>
                <w:color w:val="auto"/>
              </w:rPr>
            </w:pPr>
            <w:r>
              <w:rPr>
                <w:rFonts w:ascii="Arial" w:cs="Arial" w:eastAsia="Arial" w:hAnsi="Arial"/>
                <w:sz w:val="18"/>
                <w:szCs w:val="18"/>
                <w:color w:val="auto"/>
              </w:rPr>
              <w:t>8</w:t>
            </w:r>
          </w:p>
        </w:tc>
        <w:tc>
          <w:tcPr>
            <w:tcW w:w="2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-6005195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-6005195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-6005195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-6005195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-6005195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-6005195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Lessee and Location</w:t>
            </w:r>
          </w:p>
        </w:tc>
        <w:tc>
          <w:tcPr>
            <w:tcW w:w="2960" w:type="dxa"/>
            <w:vAlign w:val="bottom"/>
          </w:tcPr>
          <w:p>
            <w:pPr>
              <w:ind w:left="1100"/>
              <w:spacing w:after="0"/>
              <w:rPr>
                <w:sz w:val="20"/>
                <w:szCs w:val="20"/>
                <w:color w:val="auto"/>
              </w:rPr>
            </w:pPr>
            <w:r>
              <w:rPr>
                <w:rFonts w:ascii="Arial" w:cs="Arial" w:eastAsia="Arial" w:hAnsi="Arial"/>
                <w:sz w:val="14"/>
                <w:szCs w:val="14"/>
                <w:b w:val="1"/>
                <w:bCs w:val="1"/>
                <w:color w:val="auto"/>
              </w:rPr>
              <w:t>Principal Use</w:t>
            </w:r>
          </w:p>
        </w:tc>
        <w:tc>
          <w:tcPr>
            <w:tcW w:w="340" w:type="dxa"/>
            <w:vAlign w:val="bottom"/>
          </w:tcPr>
          <w:p>
            <w:pPr>
              <w:spacing w:after="0"/>
              <w:rPr>
                <w:sz w:val="15"/>
                <w:szCs w:val="15"/>
                <w:color w:val="auto"/>
              </w:rPr>
            </w:pPr>
          </w:p>
        </w:tc>
        <w:tc>
          <w:tcPr>
            <w:tcW w:w="1380" w:type="dxa"/>
            <w:vAlign w:val="bottom"/>
          </w:tcPr>
          <w:p>
            <w:pPr>
              <w:ind w:left="360"/>
              <w:spacing w:after="0"/>
              <w:rPr>
                <w:sz w:val="20"/>
                <w:szCs w:val="20"/>
                <w:color w:val="auto"/>
              </w:rPr>
            </w:pPr>
            <w:r>
              <w:rPr>
                <w:rFonts w:ascii="Arial" w:cs="Arial" w:eastAsia="Arial" w:hAnsi="Arial"/>
                <w:sz w:val="14"/>
                <w:szCs w:val="14"/>
                <w:b w:val="1"/>
                <w:bCs w:val="1"/>
                <w:color w:val="auto"/>
              </w:rPr>
              <w:t>Lease Term</w:t>
            </w:r>
          </w:p>
        </w:tc>
      </w:tr>
      <w:tr>
        <w:trPr>
          <w:trHeight w:val="105"/>
        </w:trPr>
        <w:tc>
          <w:tcPr>
            <w:tcW w:w="1620" w:type="dxa"/>
            <w:vAlign w:val="bottom"/>
            <w:tcBorders>
              <w:bottom w:val="single" w:sz="8" w:color="auto"/>
            </w:tcBorders>
          </w:tcPr>
          <w:p>
            <w:pPr>
              <w:spacing w:after="0"/>
              <w:rPr>
                <w:sz w:val="9"/>
                <w:szCs w:val="9"/>
                <w:color w:val="auto"/>
              </w:rPr>
            </w:pPr>
          </w:p>
        </w:tc>
        <w:tc>
          <w:tcPr>
            <w:tcW w:w="5120" w:type="dxa"/>
            <w:vAlign w:val="bottom"/>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r>
      <w:tr>
        <w:trPr>
          <w:trHeight w:val="313"/>
        </w:trPr>
        <w:tc>
          <w:tcPr>
            <w:tcW w:w="6740" w:type="dxa"/>
            <w:vAlign w:val="bottom"/>
            <w:gridSpan w:val="2"/>
          </w:tcPr>
          <w:p>
            <w:pPr>
              <w:ind w:left="20"/>
              <w:spacing w:after="0"/>
              <w:rPr>
                <w:sz w:val="20"/>
                <w:szCs w:val="20"/>
                <w:color w:val="auto"/>
              </w:rPr>
            </w:pPr>
            <w:r>
              <w:rPr>
                <w:rFonts w:ascii="Arial" w:cs="Arial" w:eastAsia="Arial" w:hAnsi="Arial"/>
                <w:sz w:val="18"/>
                <w:szCs w:val="18"/>
                <w:i w:val="1"/>
                <w:iCs w:val="1"/>
                <w:color w:val="auto"/>
              </w:rPr>
              <w:t>Aviation Fuel Services</w:t>
            </w: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World Fuel Services of FL</w:t>
            </w:r>
          </w:p>
        </w:tc>
        <w:tc>
          <w:tcPr>
            <w:tcW w:w="2960" w:type="dxa"/>
            <w:vAlign w:val="bottom"/>
          </w:tcPr>
          <w:p>
            <w:pPr>
              <w:spacing w:after="0"/>
              <w:rPr>
                <w:sz w:val="20"/>
                <w:szCs w:val="20"/>
                <w:color w:val="auto"/>
              </w:rPr>
            </w:pPr>
            <w:r>
              <w:rPr>
                <w:rFonts w:ascii="Arial" w:cs="Arial" w:eastAsia="Arial" w:hAnsi="Arial"/>
                <w:sz w:val="18"/>
                <w:szCs w:val="18"/>
                <w:color w:val="auto"/>
              </w:rPr>
              <w:t>Executive, administrative,</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January 2003</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World Fuel Services, Inc.</w:t>
            </w:r>
          </w:p>
        </w:tc>
        <w:tc>
          <w:tcPr>
            <w:tcW w:w="2960" w:type="dxa"/>
            <w:vAlign w:val="bottom"/>
          </w:tcPr>
          <w:p>
            <w:pPr>
              <w:spacing w:after="0"/>
              <w:rPr>
                <w:sz w:val="20"/>
                <w:szCs w:val="20"/>
                <w:color w:val="auto"/>
              </w:rPr>
            </w:pPr>
            <w:r>
              <w:rPr>
                <w:rFonts w:ascii="Arial" w:cs="Arial" w:eastAsia="Arial" w:hAnsi="Arial"/>
                <w:sz w:val="18"/>
                <w:szCs w:val="18"/>
                <w:color w:val="auto"/>
              </w:rPr>
              <w:t>operations, and sales offices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700 S. Royal Poinciana Blvd., Suite 800</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Miami Springs, FL 33166</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4995 East Anderson Avenue</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Month-to-</w:t>
            </w: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Fresno, CA 93727</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month</w:t>
            </w:r>
          </w:p>
        </w:tc>
      </w:tr>
      <w:tr>
        <w:trPr>
          <w:trHeight w:val="35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World Fuel International S.R.L.</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April 2003</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Petroservicios de Costa Rica S.A.</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Oficentro Ejécutivo La Sabana Sur</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Edificio #5, Primer Piso</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San José, Costa Rica</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5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World Fuel Services Ltd.</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December 2007</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Baseops Europe Ltd.</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AirData Limited</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Kingfisher House, Northwood Park, Gatwick Rd.</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Crawley, West Sussex, RH10 2XN</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United Kingdom</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5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World Fuel Services (Singapore) Pte., Ltd.</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March 2005</w:t>
            </w: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101 Thomson Road #13-03/04, United Square</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Singapore 307591</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5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PetroServicios de México S.A. de C.V.</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Month-to-</w:t>
            </w: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Servicios Auxiliares de México S.A. de C.V.</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month</w:t>
            </w: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Avenida Fuerza Aérea Mexicana No. 465</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Colonia Federal</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15700 México, D.F.</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5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Baseops International, Inc.</w:t>
            </w:r>
          </w:p>
        </w:tc>
        <w:tc>
          <w:tcPr>
            <w:tcW w:w="2960" w:type="dxa"/>
            <w:vAlign w:val="bottom"/>
          </w:tcPr>
          <w:p>
            <w:pPr>
              <w:spacing w:after="0"/>
              <w:rPr>
                <w:sz w:val="20"/>
                <w:szCs w:val="20"/>
                <w:color w:val="auto"/>
              </w:rPr>
            </w:pPr>
            <w:r>
              <w:rPr>
                <w:rFonts w:ascii="Arial" w:cs="Arial" w:eastAsia="Arial" w:hAnsi="Arial"/>
                <w:sz w:val="18"/>
                <w:szCs w:val="18"/>
                <w:color w:val="auto"/>
              </w:rPr>
              <w:t>Administrative, operations</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February 2006</w:t>
            </w:r>
          </w:p>
        </w:tc>
      </w:tr>
      <w:tr>
        <w:trPr>
          <w:trHeight w:val="216"/>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333 Cypress Run #200</w:t>
            </w:r>
          </w:p>
        </w:tc>
        <w:tc>
          <w:tcPr>
            <w:tcW w:w="2960" w:type="dxa"/>
            <w:vAlign w:val="bottom"/>
          </w:tcPr>
          <w:p>
            <w:pPr>
              <w:spacing w:after="0"/>
              <w:rPr>
                <w:sz w:val="20"/>
                <w:szCs w:val="20"/>
                <w:color w:val="auto"/>
              </w:rPr>
            </w:pPr>
            <w:r>
              <w:rPr>
                <w:rFonts w:ascii="Arial" w:cs="Arial" w:eastAsia="Arial" w:hAnsi="Arial"/>
                <w:sz w:val="18"/>
                <w:szCs w:val="18"/>
                <w:color w:val="auto"/>
              </w:rPr>
              <w:t>and sales offices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Houston, Texas 77094</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-4530090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-4530090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-4530090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-4530090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-4530090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-4530090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2001, we settled litigation filed in February 2000 relating to the theft of product off the coast of Nigeria. The settlement resulted in a recovery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in fiscal 2002. In the accompanying Consolidated Statements of Income, the theft was included as a non-recurring charge in Other income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 fiscal 2000 and the recovery is included as a non-recurring credit in Other income (expense), net during fiscal 2002.</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2001, we received principal and interest payments totaling $700 thousand from Mr. Moorehead. We have been pursuing collection of this judgment and, in May 2002, the court appointed a receiver to take possession and control of all nonexempt assets and property interests of Mr. Moorehead. The receiver is empowered to perform any and all acts necessary and appropriate in order to take possession and control of Mr. Moorehead’s assets and property interests, and to collect, sell or otherwise liquidate those assets and property interests to satisfy our judgment. Because the receivership has just started, the receiver is still assessing the situation, and based upon his analysis and experience, is expected to develop a plan of action to liquidate Mr. Moorehead’s assets. Although we believe that we will recover the remaining amount of the debt, our ability to recover the full amount remains subject to customary collection risks, including the risk that Mr. Moorehead may file for personal bankruptcy, and that his saleable assets will not produce sufficient proceeds to satisfy the debt. Most of Mr. Moorehead’s assets are subject to liens in favor of other creditors, which will make it more difficult to sell the assets and realize sufficient proceeds to satisfy our judgment. Subsequent to the court’s appointment of a receiver, we received another interest payment of $100 thousand from Mr. Moorehead.</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from such parties for the cost of remediating environmental contamination at Miami International Airport (the “Airport”). One of those defendants is Page Avjet Fuel Corporation, now known as PAFCO L.L.C. (“PAFCO”). In December 2000, we acquired a 50% interest in PAFCO from Signature Flight Support Corporation (“Signature”). Pursuant to the PAFCO acquisition agreement, Signature agreed to indemnify us for all liabilities of PAFCO arising prior to the closing (“Closing”) of the purchase of our interest in PAFCO.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which are the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vigorously defend all claims asserted by the County relating to environmental contamination at the Airport. We believe our liability in these matters (if any) should be adequately covered by the indemnification obligations of Signature as to PAFCO, and the County as to World Fuel Services Corporation and our other subsidiaries.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can be no assurance that we will prevail on the above legal proceedings and management cannot estimate the exposure or recovery to ourselves if we do not prevail. A ruling against us in any of the proceedings described above may have a material adverse effect on our financial condition and results of operation.</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will not materially affect our financial condition or results of operations.</w:t>
      </w:r>
    </w:p>
    <w:p>
      <w:pPr>
        <w:spacing w:after="0" w:line="1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 was submitted to a vote of shareholders, through the solicitation of proxies or otherwise, during the fourth quarter of fiscal 2002.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MARKET FOR REGISTRANT’S COMMON EQUITY AND RELATED STOCKHOLDER MATTERS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common stock is traded on the New York Stock Exchange (“NYSE”) and the Pacific Stock Exchange under the symbol INT. In May 2001, our Board of Directors approved a resolution to delist our stock from the Pacific Stock Exchange. Currently, we are working to remove our stock listing from the Pacific Stock Exchange.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for each quarter within fiscal 2002 and 2001, the closing sales prices of our common stock as reported by the NYSE and the quarterly cash dividends per share of common stock declared during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Price</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3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Cash Dividends</w:t>
            </w:r>
          </w:p>
        </w:tc>
        <w:tc>
          <w:tcPr>
            <w:tcW w:w="0" w:type="dxa"/>
            <w:vAlign w:val="bottom"/>
          </w:tcPr>
          <w:p>
            <w:pPr>
              <w:spacing w:after="0"/>
              <w:rPr>
                <w:sz w:val="1"/>
                <w:szCs w:val="1"/>
                <w:color w:val="auto"/>
              </w:rPr>
            </w:pPr>
          </w:p>
        </w:tc>
      </w:tr>
      <w:tr>
        <w:trPr>
          <w:trHeight w:val="92"/>
        </w:trPr>
        <w:tc>
          <w:tcPr>
            <w:tcW w:w="53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High</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Low</w:t>
            </w:r>
          </w:p>
        </w:tc>
        <w:tc>
          <w:tcPr>
            <w:tcW w:w="80" w:type="dxa"/>
            <w:vAlign w:val="bottom"/>
          </w:tcPr>
          <w:p>
            <w:pPr>
              <w:spacing w:after="0"/>
              <w:rPr>
                <w:sz w:val="15"/>
                <w:szCs w:val="15"/>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05"/>
        </w:trPr>
        <w:tc>
          <w:tcPr>
            <w:tcW w:w="5320" w:type="dxa"/>
            <w:vAlign w:val="bottom"/>
            <w:vMerge w:val="restart"/>
          </w:tcPr>
          <w:p>
            <w:pPr>
              <w:ind w:left="20"/>
              <w:spacing w:after="0"/>
              <w:rPr>
                <w:sz w:val="20"/>
                <w:szCs w:val="20"/>
                <w:color w:val="auto"/>
              </w:rPr>
            </w:pPr>
            <w:r>
              <w:rPr>
                <w:rFonts w:ascii="Arial" w:cs="Arial" w:eastAsia="Arial" w:hAnsi="Arial"/>
                <w:sz w:val="18"/>
                <w:szCs w:val="18"/>
                <w:color w:val="auto"/>
              </w:rPr>
              <w:t>Year ended March 31, 2002</w:t>
            </w:r>
          </w:p>
        </w:tc>
        <w:tc>
          <w:tcPr>
            <w:tcW w:w="3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532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18.90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10.05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22"/>
        </w:trPr>
        <w:tc>
          <w:tcPr>
            <w:tcW w:w="53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19.97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16.08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316"/>
        </w:trPr>
        <w:tc>
          <w:tcPr>
            <w:tcW w:w="5320" w:type="dxa"/>
            <w:vAlign w:val="bottom"/>
          </w:tcPr>
          <w:p>
            <w:pPr>
              <w:ind w:left="20"/>
              <w:spacing w:after="0"/>
              <w:rPr>
                <w:sz w:val="20"/>
                <w:szCs w:val="20"/>
                <w:color w:val="auto"/>
              </w:rPr>
            </w:pPr>
            <w:r>
              <w:rPr>
                <w:rFonts w:ascii="Arial" w:cs="Arial" w:eastAsia="Arial" w:hAnsi="Arial"/>
                <w:sz w:val="18"/>
                <w:szCs w:val="18"/>
                <w:color w:val="auto"/>
              </w:rPr>
              <w:t>Year ended March 31, 2001</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r>
        <w:trPr>
          <w:trHeight w:val="222"/>
        </w:trPr>
        <w:tc>
          <w:tcPr>
            <w:tcW w:w="53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-1774190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-1774190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-1525905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-1525905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-1525905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-1525905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-1525905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-1525905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December 2001, we replaced our existing credit facility while maintaining the same credit limit. Our previous credit facility agreement restricted the payment of cash dividends to a maximum of 25% of net income for the preceding four quarters. Our new credit facility agreement restricts the payment of cash dividends to a maximum of 35% of net income for the preceding four quarters. The payments of the above dividends were in compliance with the previous credit facility agreement for fiscal 2001 and the first two quarters of fiscal 2002, and with the new credit facility agreement for the last two quarters of fiscal 2002. For additional information, see Note 3 to the accompanying consolidated financial statements and “Liquidity and Capital Resources” in “Item 7—Management’s Discussion and Analysis of Financial Condition and Results of Operations.”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June 5, 2002, there were 237 shareholders of record of our common stock, and the closing price of our stock on the NYSE was $19.80. On May 29, 2002, our Board of Directors approved the following cash dividend schedule for the 2003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5"/>
                <w:szCs w:val="15"/>
                <w:color w:val="auto"/>
              </w:rPr>
            </w:pPr>
          </w:p>
        </w:tc>
        <w:tc>
          <w:tcPr>
            <w:tcW w:w="1800" w:type="dxa"/>
            <w:vAlign w:val="bottom"/>
          </w:tcPr>
          <w:p>
            <w:pPr>
              <w:ind w:left="500"/>
              <w:spacing w:after="0"/>
              <w:rPr>
                <w:sz w:val="20"/>
                <w:szCs w:val="20"/>
                <w:color w:val="auto"/>
              </w:rPr>
            </w:pPr>
            <w:r>
              <w:rPr>
                <w:rFonts w:ascii="Arial" w:cs="Arial" w:eastAsia="Arial" w:hAnsi="Arial"/>
                <w:sz w:val="14"/>
                <w:szCs w:val="14"/>
                <w:b w:val="1"/>
                <w:bCs w:val="1"/>
                <w:color w:val="auto"/>
              </w:rPr>
              <w:t>Payment Date</w:t>
            </w:r>
          </w:p>
        </w:tc>
      </w:tr>
      <w:tr>
        <w:trPr>
          <w:trHeight w:val="105"/>
        </w:trPr>
        <w:tc>
          <w:tcPr>
            <w:tcW w:w="132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r>
      <w:tr>
        <w:trPr>
          <w:trHeight w:val="105"/>
        </w:trPr>
        <w:tc>
          <w:tcPr>
            <w:tcW w:w="13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31, 2002</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0.075</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June 14, 2002</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July 2, 2002</w:t>
            </w: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August 30, 2002</w:t>
            </w:r>
          </w:p>
        </w:tc>
        <w:tc>
          <w:tcPr>
            <w:tcW w:w="25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0.075</w:t>
            </w:r>
          </w:p>
        </w:tc>
        <w:tc>
          <w:tcPr>
            <w:tcW w:w="2120" w:type="dxa"/>
            <w:vAlign w:val="bottom"/>
          </w:tcPr>
          <w:p>
            <w:pPr>
              <w:spacing w:after="0"/>
              <w:rPr>
                <w:sz w:val="20"/>
                <w:szCs w:val="20"/>
                <w:color w:val="auto"/>
              </w:rPr>
            </w:pPr>
            <w:r>
              <w:rPr>
                <w:rFonts w:ascii="Arial" w:cs="Arial" w:eastAsia="Arial" w:hAnsi="Arial"/>
                <w:sz w:val="18"/>
                <w:szCs w:val="18"/>
                <w:color w:val="auto"/>
              </w:rPr>
              <w:t>September 13, 2002</w:t>
            </w:r>
          </w:p>
        </w:tc>
        <w:tc>
          <w:tcPr>
            <w:tcW w:w="34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October 3, 2002</w:t>
            </w: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29, 2002</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0.075</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December 13, 2002</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January 3, 2003</w:t>
            </w:r>
          </w:p>
        </w:tc>
      </w:tr>
      <w:tr>
        <w:trPr>
          <w:trHeight w:val="222"/>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February 28, 2003</w:t>
            </w:r>
          </w:p>
        </w:tc>
        <w:tc>
          <w:tcPr>
            <w:tcW w:w="25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0.075</w:t>
            </w:r>
          </w:p>
        </w:tc>
        <w:tc>
          <w:tcPr>
            <w:tcW w:w="2120" w:type="dxa"/>
            <w:vAlign w:val="bottom"/>
          </w:tcPr>
          <w:p>
            <w:pPr>
              <w:spacing w:after="0"/>
              <w:rPr>
                <w:sz w:val="20"/>
                <w:szCs w:val="20"/>
                <w:color w:val="auto"/>
              </w:rPr>
            </w:pPr>
            <w:r>
              <w:rPr>
                <w:rFonts w:ascii="Arial" w:cs="Arial" w:eastAsia="Arial" w:hAnsi="Arial"/>
                <w:sz w:val="18"/>
                <w:szCs w:val="18"/>
                <w:color w:val="auto"/>
              </w:rPr>
              <w:t>March 14, 2003</w:t>
            </w:r>
          </w:p>
        </w:tc>
        <w:tc>
          <w:tcPr>
            <w:tcW w:w="34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April 3,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-633730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-633730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-633730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-633730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-633730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-633730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Grants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fiscal 2002, 2001 and 2000, we issued three thousand, twenty-five hundred, and two thousand shares, respectively, of common stock to our non-employee directors pursuant to a stock grant program whereby each non-employee director is given an annual stock grant of five hundred shares of our common stock. In addition, during fiscal 2001, the non-employee Chairman of the Audit and the Compensation Committees of the Board of Directors received an additional stock grant of one thousand shares of our common stock for additional services performed by the individual in his capacity as Chairman of these two committees.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Board of Directors, from time to time, has authorized certain stock repurchase programs whereby we could repurchase our common stock, subject to certain restrictions pursuant to our credit facility. The Board of Directors resolved that the repurchased shares may be reissued for any proper corporate purpose, without limitation and including future acquisitions. In March 2002, we began reissuing our repurchased shares to employees who exercised their stock options instead of issuing new shares of our common stock. The difference between the aggregate cost of the repurchased shares and proceeds from employees’ exercise of stock options is recorded as an addition or deduction to Capital in excess of par value in the accompanying Consolidated Balance Sheets. As of March 31, 2002, we have reissued nine thousand shares of treasury stock with an aggregate cost of $76 thousand. The following summarizes the status of our treasury stock repurchase programs at March 31, 2002: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0"/>
              </w:rPr>
              <w:t>Repurchases</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average price per share data)</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Authorized</w:t>
            </w: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vMerge w:val="restart"/>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92"/>
        </w:trPr>
        <w:tc>
          <w:tcPr>
            <w:tcW w:w="60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Authorized Stock</w:t>
            </w:r>
          </w:p>
        </w:tc>
        <w:tc>
          <w:tcPr>
            <w:tcW w:w="0" w:type="dxa"/>
            <w:vAlign w:val="bottom"/>
          </w:tcPr>
          <w:p>
            <w:pPr>
              <w:spacing w:after="0"/>
              <w:rPr>
                <w:sz w:val="1"/>
                <w:szCs w:val="1"/>
                <w:color w:val="auto"/>
              </w:rPr>
            </w:pPr>
          </w:p>
        </w:tc>
      </w:t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Stock Repurchase Programs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34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Repurchases</w:t>
            </w:r>
          </w:p>
        </w:tc>
        <w:tc>
          <w:tcPr>
            <w:tcW w:w="0" w:type="dxa"/>
            <w:vAlign w:val="bottom"/>
          </w:tcPr>
          <w:p>
            <w:pPr>
              <w:spacing w:after="0"/>
              <w:rPr>
                <w:sz w:val="1"/>
                <w:szCs w:val="1"/>
                <w:color w:val="auto"/>
              </w:rPr>
            </w:pPr>
          </w:p>
        </w:tc>
      </w:tr>
      <w:tr>
        <w:trPr>
          <w:trHeight w:val="105"/>
        </w:trPr>
        <w:tc>
          <w:tcPr>
            <w:tcW w:w="206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-357505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1998</w:t>
            </w:r>
          </w:p>
        </w:tc>
        <w:tc>
          <w:tcPr>
            <w:tcW w:w="2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9.74</w:t>
            </w:r>
          </w:p>
        </w:tc>
        <w:tc>
          <w:tcPr>
            <w:tcW w:w="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w:t>
            </w: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January 2000</w:t>
            </w:r>
          </w:p>
        </w:tc>
        <w:tc>
          <w:tcPr>
            <w:tcW w:w="27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7.19</w:t>
            </w:r>
          </w:p>
        </w:tc>
        <w:tc>
          <w:tcPr>
            <w:tcW w:w="600" w:type="dxa"/>
            <w:vAlign w:val="bottom"/>
          </w:tcPr>
          <w:p>
            <w:pPr>
              <w:spacing w:after="0"/>
              <w:rPr>
                <w:sz w:val="18"/>
                <w:szCs w:val="18"/>
                <w:color w:val="auto"/>
              </w:rPr>
            </w:pPr>
          </w:p>
        </w:tc>
        <w:tc>
          <w:tcPr>
            <w:tcW w:w="74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2000</w:t>
            </w:r>
          </w:p>
        </w:tc>
        <w:tc>
          <w:tcPr>
            <w:tcW w:w="2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4"/>
              </w:rPr>
              <w:t>10.83</w:t>
            </w: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8"/>
              </w:rPr>
              <w:t>6,013</w:t>
            </w:r>
          </w:p>
        </w:tc>
      </w:tr>
      <w:tr>
        <w:trPr>
          <w:trHeight w:val="118"/>
        </w:trPr>
        <w:tc>
          <w:tcPr>
            <w:tcW w:w="36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319"/>
        </w:trPr>
        <w:tc>
          <w:tcPr>
            <w:tcW w:w="3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w:t>
            </w:r>
          </w:p>
        </w:tc>
        <w:tc>
          <w:tcPr>
            <w:tcW w:w="43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10" w:type="dxa"/>
            <w:vAlign w:val="bottom"/>
          </w:tcPr>
          <w:p>
            <w:pPr>
              <w:jc w:val="right"/>
              <w:spacing w:after="0"/>
              <w:rPr>
                <w:sz w:val="20"/>
                <w:szCs w:val="20"/>
                <w:color w:val="auto"/>
              </w:rPr>
            </w:pPr>
            <w:r>
              <w:rPr>
                <w:rFonts w:ascii="Arial" w:cs="Arial" w:eastAsia="Arial" w:hAnsi="Arial"/>
                <w:sz w:val="18"/>
                <w:szCs w:val="18"/>
                <w:color w:val="auto"/>
                <w:w w:val="87"/>
              </w:rPr>
              <w:t>19,987</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07"/>
        </w:trPr>
        <w:tc>
          <w:tcPr>
            <w:tcW w:w="36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36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1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215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Outside of the treasury stock repurchase programs, we acquired approximately 22 thousand shares of our common stock with an aggregate cost of $194 thousand prior to fiscal 2000.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and Non-Employee Directors Stock Option Plans; and Warrants</w:t>
      </w:r>
    </w:p>
    <w:p>
      <w:pPr>
        <w:spacing w:after="0" w:line="15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1986, our shareholders approved the 1986 Employee Stock Option Plan (the “1986 Plan”), as amended by subsequent shareholders’ approvals. The 1986 Plan expired in 1996. Options granted under the 1986 Plan, but not yet exercised, survive the 1986 Plan until the options expire. Outstanding options at March 31, 2002 under the 1986 Plan expire between January 2005 and May 2005.</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1997, our shareholders approved the 1996 Employee Stock Option Plan (the “1996 Plan”), as amended by subsequent shareholders’ approvals. The 1996 Plan was replaced by the 2001 Omnibus Plan (the “2001 Plan”). Options granted under the 1996 Plan, but not yet exercised, survive the 1996 Plan until the options expire. Outstanding options at March 31, 2002 under the 1996 Plan expire between August 2006 and March 2011.</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2001 Plan was approved by our shareholders in August 2001 and provides a total of 500 thousand shares of our common stock for issuance to our employees, as amended by the Compensation Committee of the Board of Directors (the “Compensation Committee”) in May 2002. Additional shares of our common stock that may be granted under the 2001 Plan include any shares of our common stock that are available for future grant under any of our prior stock option plans, and any stock or options granted under the 2001 Plan or any prior plans that are forfeited, expired or canceled without delivery of shares of our common stock or which result in the forfeiture of the shares of our common stock back to us. Furthermore, pursuant to the 2001 Plan and upon our Board of Directors’ authorization in January 2002, any shares of our common stock that are reacquired by us in the open market or in private transactions after the effective date of the 2001 Plan, were added to the limitation on the total shares of our common stock which may be issued under the 2001 Plan. As of March 31, 2002, we have repurchased approximately 259 thousand shares since the 2001 Plan’s effective date, and accordingly increased the total number of shares of our common stock which may be delivered to participants in the 2001 Plan by the same number of shares. As of March 31, 2002, the aggregate limit on the total shares of our common stock which may be issued under the 2001 Plan was approximately 769 thousand shares, of which 71 thousand shares are subject to options already issued and an additional 25 thousand shares have been issued as restricted stock grants.</w:t>
      </w:r>
    </w:p>
    <w:p>
      <w:pPr>
        <w:spacing w:after="0" w:line="11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provisions of the 2001 Plan, the Compensation Committee is authorized to grant common stock, which can be restricted, or stock options which can be “qualified” or “nonqualified” under the Internal Revenue Code of 1986, as amended, or stock appreciation rights, or other stock or non-stock-based awards, including but not limited to stock units, performance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units, or dividend equivalent payments. The 2001 Plan is unlimited in duration and, in the event of its termination, the 2001 Plan will remain in effect as long as any of the above items granted by the Compensation Committee are outstanding; provided, however, that no awards may be granted under the 2001 Plan after August 2006. The vesting period of the above items is established by the Compensation Committee, but in no event shall stock options or stock appreciation rights remain exercisable after the five-year anniversary of the date of grant. Outstanding options at March 31, 2002 under the 2001 Plan expire between September 2006 and December 2006.</w:t>
      </w:r>
    </w:p>
    <w:p>
      <w:pPr>
        <w:spacing w:after="0" w:line="1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as amended by subsequent shareholders’ approvals. The Directors Plan permits the issuance of options to purchase up to an aggregate of 150 thousand shares of our common stock. Additional options to purchase shares of our common stock may be granted under the Directors Plan for any options that are forfeited, expired or canceled without delivery of shares of our common stock or which result in the forfeiture of the shares of our common stock back to us. Under the Directors Plan, members of the Board of Directors who are not our employees receive a non-qualified option to purchase five thousand shares when such person is first elected to the Board of Directors and will receive a non-qualified option to purchase five thousand shares each year that the individual is re-elected. Options granted are fully exercisable one year after the date of grant. All options under the Directors Plan expire five years after the date of grant. Outstanding options at March 31, 2002 under the Directors Plan expire between August 2002 and August 2006.</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the above stock option plans, in 1995, we issued certain non-qualified options to various employees. These options issued in 1995 expire between January 2005 and May 2005.</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July 2000, we granted a warrant to an investment-banking firm in connection with the engagement of such firm to provide advisory services to us. This warrant issued in 2000 expires in July 2003.</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the outstanding stock options which were issued pursuant to the plans described above, the options issued outside the plans in 1995, and the warrants issued in 2000: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4"/>
              </w:rPr>
              <w:t>(In thousands, except</w:t>
            </w:r>
          </w:p>
        </w:tc>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w:t>
            </w:r>
          </w:p>
        </w:tc>
        <w:tc>
          <w:tcPr>
            <w:tcW w:w="3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0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3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Number of securities remaining available for</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0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 to be issued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3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upon exercise of outstanding</w:t>
            </w:r>
          </w:p>
        </w:tc>
        <w:tc>
          <w:tcPr>
            <w:tcW w:w="34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3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 (excluding</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0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7"/>
              </w:rPr>
              <w:t>Plan name or description</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warrants, and rights</w:t>
            </w:r>
          </w:p>
        </w:tc>
        <w:tc>
          <w:tcPr>
            <w:tcW w:w="340" w:type="dxa"/>
            <w:vAlign w:val="bottom"/>
          </w:tcPr>
          <w:p>
            <w:pPr>
              <w:spacing w:after="0"/>
              <w:rPr>
                <w:sz w:val="15"/>
                <w:szCs w:val="15"/>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warrants, and rights</w:t>
            </w:r>
          </w:p>
        </w:tc>
        <w:tc>
          <w:tcPr>
            <w:tcW w:w="3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2001 Plan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ind w:left="2800"/>
              <w:spacing w:after="0"/>
              <w:rPr>
                <w:sz w:val="20"/>
                <w:szCs w:val="20"/>
                <w:color w:val="auto"/>
              </w:rPr>
            </w:pPr>
            <w:r>
              <w:rPr>
                <w:rFonts w:ascii="Arial" w:cs="Arial" w:eastAsia="Arial" w:hAnsi="Arial"/>
                <w:sz w:val="18"/>
                <w:szCs w:val="18"/>
                <w:color w:val="auto"/>
                <w:w w:val="79"/>
              </w:rPr>
              <w:t>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1996 Plan</w:t>
            </w:r>
          </w:p>
        </w:tc>
        <w:tc>
          <w:tcPr>
            <w:tcW w:w="2020" w:type="dxa"/>
            <w:vAlign w:val="bottom"/>
          </w:tcPr>
          <w:p>
            <w:pPr>
              <w:jc w:val="right"/>
              <w:spacing w:after="0"/>
              <w:rPr>
                <w:sz w:val="20"/>
                <w:szCs w:val="20"/>
                <w:color w:val="auto"/>
              </w:rPr>
            </w:pPr>
            <w:r>
              <w:rPr>
                <w:rFonts w:ascii="Arial" w:cs="Arial" w:eastAsia="Arial" w:hAnsi="Arial"/>
                <w:sz w:val="18"/>
                <w:szCs w:val="18"/>
                <w:color w:val="auto"/>
              </w:rPr>
              <w:t>1,104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w:t>
            </w:r>
          </w:p>
        </w:tc>
        <w:tc>
          <w:tcPr>
            <w:tcW w:w="320" w:type="dxa"/>
            <w:vAlign w:val="bottom"/>
          </w:tcPr>
          <w:p>
            <w:pPr>
              <w:spacing w:after="0"/>
              <w:rPr>
                <w:sz w:val="18"/>
                <w:szCs w:val="18"/>
                <w:color w:val="auto"/>
              </w:rPr>
            </w:pPr>
          </w:p>
        </w:tc>
        <w:tc>
          <w:tcPr>
            <w:tcW w:w="3060" w:type="dxa"/>
            <w:vAlign w:val="bottom"/>
          </w:tcPr>
          <w:p>
            <w:pPr>
              <w:ind w:left="2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1986 Plan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Directors Plan</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1995 non-qualified options (1)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options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18"/>
                <w:szCs w:val="18"/>
                <w:color w:val="auto"/>
              </w:rPr>
            </w:pPr>
          </w:p>
        </w:tc>
        <w:tc>
          <w:tcPr>
            <w:tcW w:w="3060" w:type="dxa"/>
            <w:vAlign w:val="bottom"/>
            <w:shd w:val="clear" w:color="auto" w:fill="CCEEFF"/>
          </w:tcPr>
          <w:p>
            <w:pPr>
              <w:ind w:left="2800"/>
              <w:spacing w:after="0"/>
              <w:rPr>
                <w:sz w:val="20"/>
                <w:szCs w:val="20"/>
                <w:color w:val="auto"/>
              </w:rPr>
            </w:pPr>
            <w:r>
              <w:rPr>
                <w:rFonts w:ascii="Arial" w:cs="Arial" w:eastAsia="Arial" w:hAnsi="Arial"/>
                <w:sz w:val="18"/>
                <w:szCs w:val="18"/>
                <w:color w:val="auto"/>
                <w:w w:val="79"/>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gridSpan w:val="4"/>
          </w:tcPr>
          <w:p>
            <w:pPr>
              <w:spacing w:after="0"/>
              <w:rPr>
                <w:sz w:val="20"/>
                <w:szCs w:val="20"/>
                <w:color w:val="auto"/>
              </w:rPr>
            </w:pPr>
            <w:r>
              <w:rPr>
                <w:rFonts w:ascii="Arial" w:cs="Arial" w:eastAsia="Arial" w:hAnsi="Arial"/>
                <w:sz w:val="18"/>
                <w:szCs w:val="18"/>
                <w:color w:val="auto"/>
              </w:rPr>
              <w:t>2000 warrant (1)</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320" w:type="dxa"/>
            <w:vAlign w:val="bottom"/>
          </w:tcPr>
          <w:p>
            <w:pPr>
              <w:spacing w:after="0"/>
              <w:rPr>
                <w:sz w:val="24"/>
                <w:szCs w:val="24"/>
                <w:color w:val="auto"/>
              </w:rPr>
            </w:pPr>
          </w:p>
        </w:tc>
        <w:tc>
          <w:tcPr>
            <w:tcW w:w="3080" w:type="dxa"/>
            <w:vAlign w:val="bottom"/>
            <w:gridSpan w:val="2"/>
          </w:tcPr>
          <w:p>
            <w:pPr>
              <w:ind w:left="2800"/>
              <w:spacing w:after="0"/>
              <w:rPr>
                <w:sz w:val="20"/>
                <w:szCs w:val="20"/>
                <w:color w:val="auto"/>
              </w:rPr>
            </w:pPr>
            <w:r>
              <w:rPr>
                <w:rFonts w:ascii="Arial" w:cs="Arial" w:eastAsia="Arial" w:hAnsi="Arial"/>
                <w:sz w:val="18"/>
                <w:szCs w:val="18"/>
                <w:color w:val="auto"/>
                <w:w w:val="86"/>
              </w:rPr>
              <w:t>714</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-1746885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-1746885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-1746885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-1746885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-1746885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-1746885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-1746885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-1746885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-906145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-906145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-906145</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-906145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-906145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-906145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-477520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-477520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-477520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-477520</wp:posOffset>
            </wp:positionV>
            <wp:extent cx="215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-477520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-477520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options and warrant issued in 1995 and 2000, respectively, were not approved by shareholders. All other plans shown in the table were approved by shareholders.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selected financial data has been summarized from our consolidated financial statements set forth in Item 8 of this report. The selected financial data should be read in conjunction with the notes set forth at the end of these tables, the accompanying consolidated financial statements and the related notes thereto, and “Item 7—Management’s Discussion and Analysis of Financial Condition and Results of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9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77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year ended March 31,</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1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jc w:val="right"/>
              <w:ind w:right="27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jc w:val="right"/>
              <w:ind w:right="275"/>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213"/>
              <w:spacing w:after="0"/>
              <w:rPr>
                <w:sz w:val="20"/>
                <w:szCs w:val="20"/>
                <w:color w:val="auto"/>
              </w:rPr>
            </w:pPr>
            <w:r>
              <w:rPr>
                <w:rFonts w:ascii="Arial" w:cs="Arial" w:eastAsia="Arial" w:hAnsi="Arial"/>
                <w:sz w:val="14"/>
                <w:szCs w:val="14"/>
                <w:b w:val="1"/>
                <w:bCs w:val="1"/>
                <w:color w:val="auto"/>
                <w:w w:val="83"/>
              </w:rPr>
              <w:t>1999</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1998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Income Statement Data</w:t>
            </w:r>
          </w:p>
        </w:tc>
        <w:tc>
          <w:tcPr>
            <w:tcW w:w="110" w:type="dxa"/>
            <w:vAlign w:val="bottom"/>
          </w:tcPr>
          <w:p>
            <w:pPr>
              <w:spacing w:after="0"/>
              <w:rPr>
                <w:sz w:val="23"/>
                <w:szCs w:val="23"/>
                <w:color w:val="auto"/>
              </w:rPr>
            </w:pPr>
          </w:p>
        </w:tc>
        <w:tc>
          <w:tcPr>
            <w:tcW w:w="89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305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(In thousands, except earnings per share data)</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120" w:type="dxa"/>
            <w:vAlign w:val="bottom"/>
            <w:vMerge w:val="continue"/>
          </w:tcPr>
          <w:p>
            <w:pPr>
              <w:spacing w:after="0"/>
              <w:rPr>
                <w:sz w:val="17"/>
                <w:szCs w:val="17"/>
                <w:color w:val="auto"/>
              </w:rPr>
            </w:pPr>
          </w:p>
        </w:tc>
        <w:tc>
          <w:tcPr>
            <w:tcW w:w="11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1,200,297</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720,561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1,288,891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1,457,500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1,136,052</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667,302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64,245</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54,885</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57,590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57,327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38,198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1,937</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2,191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(5,646)</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23,226</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Provisions for income taxes</w:t>
            </w: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5,991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4,557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11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 of oil-recycling segment</w:t>
            </w:r>
          </w:p>
        </w:tc>
        <w:tc>
          <w:tcPr>
            <w:tcW w:w="11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ind w:left="6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00"/>
              <w:spacing w:after="0"/>
              <w:rPr>
                <w:sz w:val="20"/>
                <w:szCs w:val="20"/>
                <w:color w:val="auto"/>
              </w:rPr>
            </w:pPr>
            <w:r>
              <w:rPr>
                <w:rFonts w:ascii="Arial" w:cs="Arial" w:eastAsia="Arial" w:hAnsi="Arial"/>
                <w:sz w:val="18"/>
                <w:szCs w:val="18"/>
                <w:color w:val="auto"/>
              </w:rPr>
              <w:t>(Loss) gain on sale of oil-recycling segment</w:t>
            </w:r>
          </w:p>
        </w:tc>
        <w:tc>
          <w:tcPr>
            <w:tcW w:w="110" w:type="dxa"/>
            <w:vAlign w:val="bottom"/>
          </w:tcPr>
          <w:p>
            <w:pPr>
              <w:spacing w:after="0"/>
              <w:rPr>
                <w:sz w:val="19"/>
                <w:szCs w:val="19"/>
                <w:color w:val="auto"/>
              </w:rPr>
            </w:pPr>
          </w:p>
        </w:tc>
        <w:tc>
          <w:tcPr>
            <w:tcW w:w="1230" w:type="dxa"/>
            <w:vAlign w:val="bottom"/>
            <w:gridSpan w:val="2"/>
          </w:tcPr>
          <w:p>
            <w:pPr>
              <w:ind w:left="6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1310" w:type="dxa"/>
            <w:vAlign w:val="bottom"/>
            <w:gridSpan w:val="2"/>
          </w:tcPr>
          <w:p>
            <w:pPr>
              <w:jc w:val="right"/>
              <w:ind w:right="36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income from discontinued operations</w:t>
            </w:r>
          </w:p>
        </w:tc>
        <w:tc>
          <w:tcPr>
            <w:tcW w:w="11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ind w:left="6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2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10" w:type="dxa"/>
            <w:vAlign w:val="bottom"/>
          </w:tcPr>
          <w:p>
            <w:pPr>
              <w:spacing w:after="0"/>
              <w:rPr>
                <w:sz w:val="18"/>
                <w:szCs w:val="18"/>
                <w:color w:val="auto"/>
              </w:rPr>
            </w:pPr>
          </w:p>
        </w:tc>
        <w:tc>
          <w:tcPr>
            <w:tcW w:w="1230" w:type="dxa"/>
            <w:vAlign w:val="bottom"/>
            <w:gridSpan w:val="2"/>
          </w:tcPr>
          <w:p>
            <w:pPr>
              <w:ind w:left="6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3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sale of discontinued operations</w:t>
            </w:r>
          </w:p>
        </w:tc>
        <w:tc>
          <w:tcPr>
            <w:tcW w:w="11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ind w:left="6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shares—basic</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10" w:type="dxa"/>
            <w:vAlign w:val="bottom"/>
          </w:tcPr>
          <w:p>
            <w:pPr>
              <w:spacing w:after="0"/>
              <w:rPr>
                <w:sz w:val="18"/>
                <w:szCs w:val="18"/>
                <w:color w:val="auto"/>
              </w:rPr>
            </w:pPr>
          </w:p>
        </w:tc>
        <w:tc>
          <w:tcPr>
            <w:tcW w:w="1230" w:type="dxa"/>
            <w:vAlign w:val="bottom"/>
            <w:gridSpan w:val="2"/>
          </w:tcPr>
          <w:p>
            <w:pPr>
              <w:ind w:left="63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3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sale of discontinued operations</w:t>
            </w:r>
          </w:p>
        </w:tc>
        <w:tc>
          <w:tcPr>
            <w:tcW w:w="11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ind w:left="63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shares—diluted</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4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-6154420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-6154420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-5906135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-5906135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-5906135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-5906135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-5906135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-5906135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-5906135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-5906135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-5906135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-5906135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-5245735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-5245735</wp:posOffset>
            </wp:positionV>
            <wp:extent cx="215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-5245735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-5245735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-5245735</wp:posOffset>
            </wp:positionV>
            <wp:extent cx="215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-5252085</wp:posOffset>
            </wp:positionV>
            <wp:extent cx="3873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-5245735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-5245735</wp:posOffset>
            </wp:positionV>
            <wp:extent cx="215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-5252085</wp:posOffset>
            </wp:positionV>
            <wp:extent cx="3873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-5245735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-5245735</wp:posOffset>
            </wp:positionV>
            <wp:extent cx="21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-5245735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-5245735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-5245735</wp:posOffset>
            </wp:positionV>
            <wp:extent cx="21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-5245735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-4816475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-4816475</wp:posOffset>
            </wp:positionV>
            <wp:extent cx="21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-4816475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-4816475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-4816475</wp:posOffset>
            </wp:positionV>
            <wp:extent cx="215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-4822825</wp:posOffset>
            </wp:positionV>
            <wp:extent cx="3873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-4816475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-4816475</wp:posOffset>
            </wp:positionV>
            <wp:extent cx="215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-4822825</wp:posOffset>
            </wp:positionV>
            <wp:extent cx="3873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-4816475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-4816475</wp:posOffset>
            </wp:positionV>
            <wp:extent cx="215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-4816475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-4816475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-4816475</wp:posOffset>
            </wp:positionV>
            <wp:extent cx="215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-4816475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-4387850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-4387850</wp:posOffset>
            </wp:positionV>
            <wp:extent cx="215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-4387850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-4387850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-4387850</wp:posOffset>
            </wp:positionV>
            <wp:extent cx="215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-4394200</wp:posOffset>
            </wp:positionV>
            <wp:extent cx="3873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-4387850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-4387850</wp:posOffset>
            </wp:positionV>
            <wp:extent cx="215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-4394200</wp:posOffset>
            </wp:positionV>
            <wp:extent cx="3873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-4387850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-4387850</wp:posOffset>
            </wp:positionV>
            <wp:extent cx="215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-4387850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-4387850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-4387850</wp:posOffset>
            </wp:positionV>
            <wp:extent cx="215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-4387850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-3959225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-3959225</wp:posOffset>
            </wp:positionV>
            <wp:extent cx="215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-3959225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-3959225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-3959225</wp:posOffset>
            </wp:positionV>
            <wp:extent cx="215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-3965575</wp:posOffset>
            </wp:positionV>
            <wp:extent cx="3873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-3959225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-3959225</wp:posOffset>
            </wp:positionV>
            <wp:extent cx="215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-3965575</wp:posOffset>
            </wp:positionV>
            <wp:extent cx="3873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-3959225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-3959225</wp:posOffset>
            </wp:positionV>
            <wp:extent cx="215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-3959225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-3959225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-3959225</wp:posOffset>
            </wp:positionV>
            <wp:extent cx="21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-3959225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-3255645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-3255645</wp:posOffset>
            </wp:positionV>
            <wp:extent cx="215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-3255645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-3255645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-3255645</wp:posOffset>
            </wp:positionV>
            <wp:extent cx="215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-3261995</wp:posOffset>
            </wp:positionV>
            <wp:extent cx="3873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-3255645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-3255645</wp:posOffset>
            </wp:positionV>
            <wp:extent cx="215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-3261995</wp:posOffset>
            </wp:positionV>
            <wp:extent cx="3873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-3255645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-3255645</wp:posOffset>
            </wp:positionV>
            <wp:extent cx="215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-3255645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-3255645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-3255645</wp:posOffset>
            </wp:positionV>
            <wp:extent cx="215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-3255645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-2964180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-2964180</wp:posOffset>
            </wp:positionV>
            <wp:extent cx="215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-2964180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-2964180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-2964180</wp:posOffset>
            </wp:positionV>
            <wp:extent cx="215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-2970530</wp:posOffset>
            </wp:positionV>
            <wp:extent cx="3873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-2964180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-2964180</wp:posOffset>
            </wp:positionV>
            <wp:extent cx="21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-2970530</wp:posOffset>
            </wp:positionV>
            <wp:extent cx="3873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-2964180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-2964180</wp:posOffset>
            </wp:positionV>
            <wp:extent cx="215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-2964180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-2964180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-2964180</wp:posOffset>
            </wp:positionV>
            <wp:extent cx="215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-2964180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-2679065</wp:posOffset>
            </wp:positionV>
            <wp:extent cx="2984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-2679065</wp:posOffset>
            </wp:positionV>
            <wp:extent cx="2984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-1952625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-1952625</wp:posOffset>
            </wp:positionV>
            <wp:extent cx="215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-1952625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-1952625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-1952625</wp:posOffset>
            </wp:positionV>
            <wp:extent cx="215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-1958975</wp:posOffset>
            </wp:positionV>
            <wp:extent cx="3873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-1952625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-1952625</wp:posOffset>
            </wp:positionV>
            <wp:extent cx="215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-1958975</wp:posOffset>
            </wp:positionV>
            <wp:extent cx="3873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-1952625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-1952625</wp:posOffset>
            </wp:positionV>
            <wp:extent cx="215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-1952625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-1952625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-1952625</wp:posOffset>
            </wp:positionV>
            <wp:extent cx="215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-1667510</wp:posOffset>
            </wp:positionV>
            <wp:extent cx="2984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-1667510</wp:posOffset>
            </wp:positionV>
            <wp:extent cx="2984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-1358265</wp:posOffset>
            </wp:positionV>
            <wp:extent cx="94742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47420" cy="3873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-631825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-631825</wp:posOffset>
            </wp:positionV>
            <wp:extent cx="215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-631825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-631825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-631825</wp:posOffset>
            </wp:positionV>
            <wp:extent cx="215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-638175</wp:posOffset>
            </wp:positionV>
            <wp:extent cx="3873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-631825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-631825</wp:posOffset>
            </wp:positionV>
            <wp:extent cx="215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-638175</wp:posOffset>
            </wp:positionV>
            <wp:extent cx="3873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-631825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-631825</wp:posOffset>
            </wp:positionV>
            <wp:extent cx="215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-631825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-631825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-631825</wp:posOffset>
            </wp:positionV>
            <wp:extent cx="215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-346710</wp:posOffset>
            </wp:positionV>
            <wp:extent cx="2984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-346710</wp:posOffset>
            </wp:positionV>
            <wp:extent cx="2984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-38100</wp:posOffset>
            </wp:positionV>
            <wp:extent cx="2984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-38100</wp:posOffset>
            </wp:positionV>
            <wp:extent cx="2984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-38100</wp:posOffset>
            </wp:positionV>
            <wp:extent cx="5702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0230" cy="387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As of March 31,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320" w:type="dxa"/>
            <w:vAlign w:val="bottom"/>
          </w:tcPr>
          <w:p>
            <w:pPr>
              <w:spacing w:after="0"/>
              <w:rPr>
                <w:sz w:val="23"/>
                <w:szCs w:val="23"/>
                <w:color w:val="auto"/>
              </w:rPr>
            </w:pPr>
          </w:p>
        </w:tc>
        <w:tc>
          <w:tcPr>
            <w:tcW w:w="2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3"/>
                <w:szCs w:val="23"/>
                <w:color w:val="auto"/>
              </w:rPr>
            </w:pPr>
          </w:p>
        </w:tc>
        <w:tc>
          <w:tcPr>
            <w:tcW w:w="104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2000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1998</w:t>
            </w: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3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132,586</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125,863</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142,250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95,436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79,124</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213,139</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188,225</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196,409</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128,012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107,755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identifiable intangible asset</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35,751</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24,598</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23,040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Other assets—investment goodwill</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2,857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257,923</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222,165</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227,915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133,851</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112,439</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122,368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56,741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46,546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7,633</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5,866</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116,439</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103,860</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99,661</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100,797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-1663065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-1663065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-1414145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-1414145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-1414145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-1414145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-1414145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-1414145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-1414145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-1414145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-1414145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-1414145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SELECTED FINANCIAL DATA</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fiscal 1995, we have declared and paid cash dividends. See “Item 5—Market for Registrant’s Common Equity and Related Stockholder Matters.” In October 1997, our Board of Directors approved a 3-for-2 stock split for all shares of common stock outstanding as of November 17, 1997. The shares were distributed on December 1, 1997.</w:t>
      </w:r>
    </w:p>
    <w:p>
      <w:pPr>
        <w:spacing w:after="0" w:line="12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January 1998, April 1999, February 2001, April 2001, and January 2002, we acquired the Baseops group of companies, the Bunkerfuels group of companies, Norse Bunker A.S., the Marine Energy group of companies, and the Oil Shipping group of companies, respectively. These acquisitions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Under the equity method of accounting, we have recorded our share of the results of PAFCO since January 1, 2001. In February 2000, we sold our oil-recycling segment. Accordingly, as of December 31, 1999, we reported our oil-recycling segment as a discontinued operation. Our consolidated financial statements were reclassified to report separately the net assets and operating results of the discontinued operation for all periods presented. Financial results for periods prior to the dates of discontinuance have been reclassified to reflect continuing operations. In October 2000, our aviation joint venture in Ecuador ceased operations.</w:t>
      </w:r>
    </w:p>
    <w:p>
      <w:pPr>
        <w:spacing w:after="0" w:line="10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Pursuant to various treasury stock repurchase programs, during fiscal 2002, 2001, 2000, and 1999, we repurchased approximately 259 thousand, 598 thousand, 1.2 million, and 324 thousand shares, respectively. The aggregate cost paid for these repurchased shares was $3.3 million, $4.4 million, $8.4 million, and $3.9 million in fiscal 2002, 2001, 2000, and 1999, respectively. Outside of the treasury stock repurchase programs, we acquired approximately 22 thousand shares of our common stock with an aggregate cost of $194 thousand prior to fiscal 2000. See “Item 5—Market for Registrant’s Common Equity and Related Stockholder Matters” for additional information.</w:t>
      </w:r>
    </w:p>
    <w:p>
      <w:pPr>
        <w:spacing w:after="0" w:line="129"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Effective April 1, 2001, we elected to early adopt SFAS No. 142, “Goodwill and Other Intangible Assets,” which among other provisions, states that goodwill shall not be amortized prospectively. Accordingly, no goodwill amortization was recorded during fiscal 2002.</w:t>
      </w:r>
    </w:p>
    <w:p>
      <w:pPr>
        <w:spacing w:after="0" w:line="72"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In fiscal 2002, an insurance settlement recovery of $1.0 million related to a theft of product off the coast of Nigeria was included in Other income (expense), net. The theft of product resulted in a non-recurring charge of $3.1 million recorded in fiscal 2000 and included in Other income (expense), net.</w:t>
      </w:r>
    </w:p>
    <w:p>
      <w:pPr>
        <w:spacing w:after="0" w:line="4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fiscal 2001, a $3.5 million executive severance charge incurred in terminating the employment agreement with our former Chairman of the Board of Directors was included in Operating expenses.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fiscal 2000, a non-recurring charge of $2.5 million relating to the write-down of our investment in the aviation joint venture in Ecuador was included in Other income (expense), net.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“Item 6—Selected Financial Data,” and with the consolidated financial statements and related notes thereto appearing elsewhere in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4"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have two reportable operating businesses: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Performance measurement and resource allocation for the reportable operating segments are based on many factors. Two of our primary financial measures used are revenue and income from operations. Our marine fuel business accounted for approximately 72% of our total revenue in fiscal 2002, while our aviation fuel business accounted for the remaining 28%. For fiscal 2001 and 2000, our marine fuel business accounted for approximately 66% and 62%, respectively, of our total revenue. In fiscal 2002, excluding corporate overhead, our marine fuel services and our aviation fuel services contributed 52% and 48%, respectively, of operating income. For fiscal 2001 and 2000, excluding corporate overhead, our marine fuel services contributed 53% and 63%,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deferred tax assets and liabilities,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accounting policies, see Note 1 in the Notes to the Consolidated Financial Statements in Item 14 of this Annual Report on Form 10-K.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 is generally recorded in the period when the sale is made or as the services are performed. We contract with unrelated third parties to provide the fuel and/or deliver most services. This causes delays in receiving the necessary information for invoicing to our customers. Accordingly, revenue may be recognized in a period subsequent to when the actual delivery of fuel or service was performed. This policy does not result in reported results that are materially different than if the revenue were recognized in the period of actual delivery or performance.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March 31, 2002 and 2001, we had accounts and notes receivable of $132.6 million and $125.9 million, net of allowance for bad debts of $11.0 and $11.2 million, respectively. The allowance for bad debts at March 31, 2002 and 2001 included a specific allowance of $3.0 million for one aviation customer representing the entire accounts receivable balance for that customer. Also, as of March 31, 2001, we established additional specific allowances of $90 thousand for two other customers. Our remaining allowance of $8.0 million and $8.1 million at March 31, 2002 and 2001, respectively, are general for all other customers.</w:t>
      </w:r>
    </w:p>
    <w:p>
      <w:pPr>
        <w:spacing w:after="0" w:line="9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the level of our allowance for bad debts is reasonable based on our experience and our analysis of the net realizable value of our trade receivables at March 31, 2002.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Part I of this report.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Assets and Investment Goodwill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assets, of the acquired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companies. Investment goodwill of $2.9 million was included in Other assets in the accompanying Consolidated Balance Sheets at March 31, 2002 and 2001.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for customer relations existing at the date of acquisition was recorded and is being amortized over its useful life of five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April 1, 2001, as permitted, we elected to early adopt Statement of Financial Accounting Standards (“ SFAS”) No. 142, “Goodwill and Other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SFAS No. 142 established accounting and reporting standards for acquired goodwill and other intangible assets, and states that goodwill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prospectively. Accordingly, no goodwill amortization was recorded for fiscal 2002. In fiscal 2001 and 2000, we recorded goodwill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$824 thousand, including investment goodwill amortization of $74 thousand, and $730 thousand, respectively. For fiscal 2002, we amortized $92 thousand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SFAS No. 142, we were required to perform an initial impairment review of our goodwill and will perform an annual impairment review thereafter. We completed the initial step of the transitional goodwill impairment test as of April 1, 2001 during the second quarter of fiscal 2002. This step of the goodwill impairment test compares the fair value of a reporting unit with its carrying amount, including goodwill. Based on results of these comparisons, goodwill in each of our reporting units is not considered impaired.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provision for potential bad debts. Profit from our aviation fuel services business is directly related to the volume and the gross profit achieved on sales, as well as the overall level of operating expenses, which may be significantly affected to the extent that we are required to provision for potential bad debts.</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April 1999, February 2001, April 2001, and January 2002, we acquired the operations of the Bunkerfuels group of companies, Norse Bunker A.S., Marine Energy group of companies, and the Oil Shipping group of companies, respectively. These acquisitions form part of our worldwide marine fuel marketing segment and were accounted for as purchases. Accordingly, the results of operations of these acquisitions were included with our results since their respective dates of acquisition. In December 2000, we entered into a joint venture agreement with Signature Flight Support Corporation through the acquisition of a 50% equity interest in PAFCO. Under the equity method of accounting, we have recorded our share of the results of PAFCO since January 1, 2001. In February 2000, we sold our oil recycling segment to EarthCare Company and we reported this segment as a discontinued operation as of December 31, 1999. In October 2000, our aviation joint venture in Ecuador ceased operations.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comparable fiscal 2002 versus fiscal 2001, our profitability was favored by an increase in metric tons traded and brokered in marine, an improvement in the gross profit per gallon sold in aviation, a lower provision for bad debts for both marine and aviation, and lower corporate overhead expenses. Earnings were adversely affected by a decrease in the gross profit per metric ton traded in marine, a decline in aviation sales volume, and increases in salaries and other operating expenses.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fiscal 2002, our profitability benefited by an insurance settlement recovery of $1.0 million related to a fiscal 2000 theft of product off the coast of Nigeria, a gain on the sale of a leasehold property, and the early adoption of SFAS No. 142, “Goodwill and Other Intangible Assets,” which eliminated the amortization of goodwill effective April 1, 2001. The lower comparable corporate overhead was due to an executive severance charge in fiscal 2001 related to the termination of the employment agreement with our former Chairman of the Board. Also contributing to the variance was a non-recurring credit in fiscal 2001 related to a partial recovery of a previously written-down aviation joint venture investment.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increase in marine volume is primarily due to our marine acquisitions in fiscal 2002 and 2001, while our decline in aviation sales volume reflects management’s decision to reduce our credit exposure and increase margins. The decrease in aviation sales volume during fiscal 2002 is also related to lower demand resulting from the general slowdown in economic activity. In marine, the decrease in the gross profit per metric ton traded is due to competitive pressures stemming from the weakened economic environment, and by our marine acquisitions which resulted in the addition of lower margin trading business. The increase in salaries and operating expenses in fiscal 2002 relates to the recent marine segment acquisitions and various business initiatives.</w:t>
      </w:r>
    </w:p>
    <w:p>
      <w:pPr>
        <w:spacing w:after="0" w:line="10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may experience decreases in future sales volume and margins as a result of weakness in the shipping industry, the continued deterioration in the economy, the continued conflicts in the Middle East, Asia and Latin America, and the military actions in response to terrorist attacks of September 11th, as well as possible future terrorist activity. In addition, since the sharp decline in world oil prices soon after September 11th, world oil prices have been very volatile in the last five months. The volatility in world oil prices can adversely affect our customers’ business, and consequently our results of operations. See “Risk Factors,” above.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2002 Compared to Fiscal 2001</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revenue for fiscal 2002 was $1.37 billion, a decrease of $164.2 million, or 10.7%, as compared to revenue of $1.53 billion for fiscal 2001. Our revenue decrease was primarily due to a decrease in world oil prices in fiscal 2002, partially offset by increases in sales resulting from our fiscal 2002 and 2001 marine segment acquisitions.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revenue during these periods was attributable to the following segments: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317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Fiscal Year Ended March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35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22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1350" w:type="dxa"/>
            <w:vAlign w:val="bottom"/>
          </w:tcPr>
          <w:p>
            <w:pPr>
              <w:jc w:val="right"/>
              <w:ind w:right="5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 w:type="dxa"/>
            <w:vAlign w:val="bottom"/>
            <w:tcBorders>
              <w:bottom w:val="single" w:sz="8" w:color="auto"/>
            </w:tcBorders>
          </w:tcPr>
          <w:p>
            <w:pPr>
              <w:spacing w:after="0"/>
              <w:rPr>
                <w:sz w:val="9"/>
                <w:szCs w:val="9"/>
                <w:color w:val="auto"/>
              </w:rPr>
            </w:pPr>
          </w:p>
        </w:tc>
        <w:tc>
          <w:tcPr>
            <w:tcW w:w="13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20" w:type="dxa"/>
            <w:vAlign w:val="bottom"/>
            <w:vMerge w:val="continue"/>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5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13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983,986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50" w:type="dxa"/>
            <w:vAlign w:val="bottom"/>
          </w:tcPr>
          <w:p>
            <w:pPr>
              <w:spacing w:after="0"/>
              <w:rPr>
                <w:sz w:val="19"/>
                <w:szCs w:val="19"/>
                <w:color w:val="auto"/>
              </w:rPr>
            </w:pPr>
          </w:p>
        </w:tc>
        <w:tc>
          <w:tcPr>
            <w:tcW w:w="1350" w:type="dxa"/>
            <w:vAlign w:val="bottom"/>
          </w:tcPr>
          <w:p>
            <w:pPr>
              <w:jc w:val="right"/>
              <w:spacing w:after="0"/>
              <w:rPr>
                <w:sz w:val="20"/>
                <w:szCs w:val="20"/>
                <w:color w:val="auto"/>
              </w:rPr>
            </w:pPr>
            <w:r>
              <w:rPr>
                <w:rFonts w:ascii="Arial" w:cs="Arial" w:eastAsia="Arial" w:hAnsi="Arial"/>
                <w:sz w:val="18"/>
                <w:szCs w:val="18"/>
                <w:color w:val="auto"/>
              </w:rPr>
              <w:t>381,079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524,670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2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3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13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tcBorders>
              <w:right w:val="single" w:sz="8" w:color="auto"/>
            </w:tcBorders>
          </w:tcPr>
          <w:p>
            <w:pPr>
              <w:spacing w:after="0"/>
              <w:rPr>
                <w:sz w:val="5"/>
                <w:szCs w:val="5"/>
                <w:color w:val="auto"/>
              </w:rPr>
            </w:pPr>
          </w:p>
        </w:tc>
        <w:tc>
          <w:tcPr>
            <w:tcW w:w="150" w:type="dxa"/>
            <w:vAlign w:val="bottom"/>
            <w:shd w:val="clear" w:color="auto" w:fill="000000"/>
          </w:tcPr>
          <w:p>
            <w:pPr>
              <w:spacing w:after="0"/>
              <w:rPr>
                <w:sz w:val="5"/>
                <w:szCs w:val="5"/>
                <w:color w:val="auto"/>
              </w:rPr>
            </w:pPr>
          </w:p>
        </w:tc>
        <w:tc>
          <w:tcPr>
            <w:tcW w:w="135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-1000760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-1000760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-751840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-751840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-751840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-751840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-323215</wp:posOffset>
            </wp:positionV>
            <wp:extent cx="215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215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marine fuel services segment contributed $984.0 million in revenue for fiscal 2002, a decrease of $20.6 million, or 2.0%, over fiscal 2001. The decrease in revenue was due to an 18.7% decline in the average price per metric ton sold, partially offset by a 20.2% increase in the volume of metric tons sold. The increase in marine sales volume is due, in part, to sales from our fiscal 2002 and 2001 acquisitions. Our aviation fuel services segment contributed $381.1 million in revenue for fiscal 2002. This represented a decrease in revenue of $143.6 million or 27.4%, as compared to fiscal 2001. The decrease in revenue was due to a 15.7% decrease in the volume of gallons sold and a 13.8% decrease in the average price per gallon sold. The decrease in aviation sales volume reflects management’ s decision to reduce its credit exposure and increase margins, which began in the third quarter of fiscal 2001. Sales volume also decreased in fiscal 2002 because of a general slowdown in economic activity. During the latter part of the fourth quarter of fiscal 2002 and thus far in the first quarter of fiscal 2003, we have begun to experience increased volumes in aviation.</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gross profit of $76.2 million in fiscal 2002 increased $4.4 million, or 6.2%, as compared to fiscal 2001. Our gross margin also increased from 4.7% for fiscal 2001 to 5.6% for fiscal 2002. Our marine fueling segment achieved a 3.9% gross margin for fiscal 2002, as compared to a 3.7% gross margin for fiscal 2001. This gross margin increase resulted from a drop in the average price per metric ton traded, which offset a lower gross profit per metric ton traded. The narrower gross profit per metric ton traded was caused by competitive pressures, and by the fiscal 2002 and 2001 acquisitions which resulted in the addition of lower margin trading business. By integrating the acquisitions into our existing global network, we expect to gain from synergies in purchasing and value-added services, and thereby maximize the gross profit of our newly acquired companies. Our aviation fueling business achieved a 9.9% gross margin for fiscal 2002, as compared to 6.6% achieved for fiscal 2001. This increase resulted from an overall increase in the gross profit per gallon sold and the decline in the average price per gallon sold. The improvement in gross profit resulted from a revision in our pricing strategy in the third quarter of fiscal 2001 as well as the recovery of certain business taxes previously expensed and the favorable resolution of certain outstanding items with suppliers.</w:t>
      </w:r>
    </w:p>
    <w:p>
      <w:pPr>
        <w:spacing w:after="0" w:line="10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For fiscal 2002, our operating expenses were $54.9 million, a decrease of $2.7 million or 4.7%, as compared to fiscal 2001. This decrease resulted from a $4.0 million reduction in the provision for bad debts, a $3.5 million executive severance charge in fiscal 2001 related to the termination of the employment agreement with our former Chairman of the Board, and the early adoption of SFAS No. 142, “Goodwill and Other Intangible Assets,” which eliminated the amortization of goodwill effective April 1, 2001. Partially offsetting these improvements were operating expenses of the newly acquired companies, staff additions, and various business initiatives implemented over the past year.</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income from operations for fiscal 2002 was $21.3 million, an increase of $7.1 million, or 50.4%, as compared to fiscal 2001. Income from operations during these periods was attributable to the following segments: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277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05"/>
        </w:trPr>
        <w:tc>
          <w:tcPr>
            <w:tcW w:w="56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64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970" w:type="dxa"/>
            <w:vAlign w:val="bottom"/>
          </w:tcPr>
          <w:p>
            <w:pPr>
              <w:jc w:val="right"/>
              <w:ind w:right="339"/>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640" w:type="dxa"/>
            <w:vAlign w:val="bottom"/>
            <w:vMerge w:val="continue"/>
          </w:tcPr>
          <w:p>
            <w:pPr>
              <w:spacing w:after="0"/>
              <w:rPr>
                <w:sz w:val="9"/>
                <w:szCs w:val="9"/>
                <w:color w:val="auto"/>
              </w:rPr>
            </w:pPr>
          </w:p>
        </w:tc>
        <w:tc>
          <w:tcPr>
            <w:tcW w:w="130" w:type="dxa"/>
            <w:vAlign w:val="bottom"/>
          </w:tcPr>
          <w:p>
            <w:pPr>
              <w:spacing w:after="0"/>
              <w:rPr>
                <w:sz w:val="9"/>
                <w:szCs w:val="9"/>
                <w:color w:val="auto"/>
              </w:rPr>
            </w:pPr>
          </w:p>
        </w:tc>
        <w:tc>
          <w:tcPr>
            <w:tcW w:w="97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3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13,709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13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118"/>
        </w:trPr>
        <w:tc>
          <w:tcPr>
            <w:tcW w:w="564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40" w:type="dxa"/>
            <w:vAlign w:val="bottom"/>
          </w:tcPr>
          <w:p>
            <w:pPr>
              <w:spacing w:after="0"/>
              <w:rPr>
                <w:sz w:val="9"/>
                <w:szCs w:val="9"/>
                <w:color w:val="auto"/>
              </w:rPr>
            </w:pPr>
          </w:p>
        </w:tc>
        <w:tc>
          <w:tcPr>
            <w:tcW w:w="130" w:type="dxa"/>
            <w:vAlign w:val="bottom"/>
          </w:tcPr>
          <w:p>
            <w:pPr>
              <w:spacing w:after="0"/>
              <w:rPr>
                <w:sz w:val="9"/>
                <w:szCs w:val="9"/>
                <w:color w:val="auto"/>
              </w:rPr>
            </w:pPr>
          </w:p>
        </w:tc>
        <w:tc>
          <w:tcPr>
            <w:tcW w:w="97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40" w:type="dxa"/>
            <w:vAlign w:val="bottom"/>
          </w:tcPr>
          <w:p>
            <w:pPr>
              <w:spacing w:after="0"/>
              <w:rPr>
                <w:sz w:val="9"/>
                <w:szCs w:val="9"/>
                <w:color w:val="auto"/>
              </w:rPr>
            </w:pPr>
          </w:p>
        </w:tc>
        <w:tc>
          <w:tcPr>
            <w:tcW w:w="130" w:type="dxa"/>
            <w:vAlign w:val="bottom"/>
          </w:tcPr>
          <w:p>
            <w:pPr>
              <w:spacing w:after="0"/>
              <w:rPr>
                <w:sz w:val="9"/>
                <w:szCs w:val="9"/>
                <w:color w:val="auto"/>
              </w:rPr>
            </w:pPr>
          </w:p>
        </w:tc>
        <w:tc>
          <w:tcPr>
            <w:tcW w:w="97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tcBorders>
              <w:right w:val="single" w:sz="8" w:color="auto"/>
            </w:tcBorders>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97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-1137920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-1137920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-889000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-889000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-889000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-889000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-323215</wp:posOffset>
            </wp:positionV>
            <wp:extent cx="215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3873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2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3873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-38100</wp:posOffset>
            </wp:positionV>
            <wp:extent cx="110172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01725" cy="3873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marine fuel segment earned $15.0 million in income from operations for fiscal 2002, an increase of $1.8 million, or 13.7%, as compared to fiscal 2001. This increase resulted from a $2.8 million lower provision for bad debts and a higher gross profit, partially offset by operating expenses of the newly acquired companies and staff additions. The aviation fuel segment’s income from operations was $13.7 million for fiscal 2002, an increase of $1.9 million, or 16.3%, as compared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fiscal 2001. This improvement is due to a higher gross profit and a $1.2 million lower provision for bad debts, partially offset by increased operating expenses related to staff additions and various business initiatives which were implemented over the past year. Corporate overhead costs not charged to the business segments totaled $7.4 million in fiscal 2002, a decrease of $3.4 million, or 31.6%, as compared to fiscal 2001. The improvement in corporate overhead is due to the $3.5 million executive severance charge in fiscal 2001 and lower consulting and telecommunications expenses, partially offset by staff additions and higher compensation.</w:t>
      </w:r>
    </w:p>
    <w:p>
      <w:pPr>
        <w:spacing w:after="0" w:line="1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During fiscal 2002, we reported $1.9 million in other income, net, compared to $2.2 million for fiscal 2001. This decrease is mainly due to foreign exchange losses for fiscal 2002 as opposed to foreign exchange gains in fiscal 2001, a $339 thousand decrease in net interest income, and a $365 thousand non-recurring credit recorded in fiscal 2001 related to a partial recovery of a previously written-down aviation joint venture investment. Largely offsetting these decreases were the equity in earnings of our PAFCO aviation joint venture, a gain on the sale of a leasehold property, and a $1.0 million insurance settlement recovery related to a fiscal 2000 theft of product off the coast of Nigeria.</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fiscal 2002, our effective tax rate was 25.8%, for an income tax provision of $6.0 million, as compared to an effective tax rate of 27.9% and an income tax provision of $4.6 million for fiscal 2001. The decrease in our effective tax rate reflects the non-taxable insurance settlement recovery of $1.0 million in fiscal 2002 related to a fiscal 2000 theft of product off the coast of Nigeria.</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income from continuing operations for fiscal 2002 was $17.2 million, an increase of $5.4 million, as compared to $11.8 million for fiscal 2001. Diluted earnings per share on income from continuing operations was $1.62, an increase of $0.51, or 45.9%, as compared to $1.11 per diluted share for fiscal 2001.</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2001, we recorded additional income taxes of $496 thousand related to the gain on the sale of our oil-recycling segment, and a $656 thousand after-tax write-off against the assets we ultimately realized in connection with the discontinuance of our used oil-recycling business. Accordingly, in fiscal 2001, we incurred a net loss from discontinued operations of $1.2 million, or $0.11 per diluted share. No discontinued operations activities were recorded in fiscal 2002. Including discontinued operations, net income for fiscal 2002 increased by $6.6 million, or 62.1%, as compared to fiscal 2001. Diluted earnings per share increased by $0.62, or 62.0%, as compared to fiscal 2001.</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2001 Compared to Fiscal 2000</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revenue for fiscal 2001 was $1.53 billion, an increase of $328.9 million or 27.4%, as compared to revenue of $1.20 billion for fiscal 2000. Our revenue increase was primarily due to a substantial increase in world oil prices. Our revenue during these periods was attributable to the following segments:</w:t>
      </w:r>
    </w:p>
    <w:tbl>
      <w:tblPr>
        <w:tblLayout w:type="fixed"/>
        <w:tblInd w:w="144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317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Fiscal Year Ended March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35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5220" w:type="dxa"/>
            <w:vAlign w:val="bottom"/>
          </w:tcPr>
          <w:p>
            <w:pPr>
              <w:spacing w:after="0"/>
              <w:rPr>
                <w:sz w:val="23"/>
                <w:szCs w:val="23"/>
                <w:color w:val="auto"/>
              </w:rPr>
            </w:pPr>
          </w:p>
        </w:tc>
        <w:tc>
          <w:tcPr>
            <w:tcW w:w="150" w:type="dxa"/>
            <w:vAlign w:val="bottom"/>
          </w:tcPr>
          <w:p>
            <w:pPr>
              <w:spacing w:after="0"/>
              <w:rPr>
                <w:sz w:val="23"/>
                <w:szCs w:val="23"/>
                <w:color w:val="auto"/>
              </w:rPr>
            </w:pPr>
          </w:p>
        </w:tc>
        <w:tc>
          <w:tcPr>
            <w:tcW w:w="1350" w:type="dxa"/>
            <w:vAlign w:val="bottom"/>
          </w:tcPr>
          <w:p>
            <w:pPr>
              <w:jc w:val="right"/>
              <w:ind w:right="54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55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 w:type="dxa"/>
            <w:vAlign w:val="bottom"/>
            <w:tcBorders>
              <w:bottom w:val="single" w:sz="8" w:color="auto"/>
            </w:tcBorders>
          </w:tcPr>
          <w:p>
            <w:pPr>
              <w:spacing w:after="0"/>
              <w:rPr>
                <w:sz w:val="9"/>
                <w:szCs w:val="9"/>
                <w:color w:val="auto"/>
              </w:rPr>
            </w:pPr>
          </w:p>
        </w:tc>
        <w:tc>
          <w:tcPr>
            <w:tcW w:w="13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20" w:type="dxa"/>
            <w:vAlign w:val="bottom"/>
            <w:vMerge w:val="continue"/>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5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13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50" w:type="dxa"/>
            <w:vAlign w:val="bottom"/>
          </w:tcPr>
          <w:p>
            <w:pPr>
              <w:spacing w:after="0"/>
              <w:rPr>
                <w:sz w:val="19"/>
                <w:szCs w:val="19"/>
                <w:color w:val="auto"/>
              </w:rPr>
            </w:pPr>
          </w:p>
        </w:tc>
        <w:tc>
          <w:tcPr>
            <w:tcW w:w="1350" w:type="dxa"/>
            <w:vAlign w:val="bottom"/>
          </w:tcPr>
          <w:p>
            <w:pPr>
              <w:jc w:val="right"/>
              <w:spacing w:after="0"/>
              <w:rPr>
                <w:sz w:val="20"/>
                <w:szCs w:val="20"/>
                <w:color w:val="auto"/>
              </w:rPr>
            </w:pPr>
            <w:r>
              <w:rPr>
                <w:rFonts w:ascii="Arial" w:cs="Arial" w:eastAsia="Arial" w:hAnsi="Arial"/>
                <w:sz w:val="18"/>
                <w:szCs w:val="18"/>
                <w:color w:val="auto"/>
              </w:rPr>
              <w:t>524,670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52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3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13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150" w:type="dxa"/>
            <w:vAlign w:val="bottom"/>
          </w:tcPr>
          <w:p>
            <w:pPr>
              <w:spacing w:after="0"/>
              <w:rPr>
                <w:sz w:val="9"/>
                <w:szCs w:val="9"/>
                <w:color w:val="auto"/>
              </w:rPr>
            </w:pPr>
          </w:p>
        </w:tc>
        <w:tc>
          <w:tcPr>
            <w:tcW w:w="13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tcBorders>
              <w:right w:val="single" w:sz="8" w:color="auto"/>
            </w:tcBorders>
          </w:tcPr>
          <w:p>
            <w:pPr>
              <w:spacing w:after="0"/>
              <w:rPr>
                <w:sz w:val="5"/>
                <w:szCs w:val="5"/>
                <w:color w:val="auto"/>
              </w:rPr>
            </w:pPr>
          </w:p>
        </w:tc>
        <w:tc>
          <w:tcPr>
            <w:tcW w:w="150" w:type="dxa"/>
            <w:vAlign w:val="bottom"/>
            <w:shd w:val="clear" w:color="auto" w:fill="000000"/>
          </w:tcPr>
          <w:p>
            <w:pPr>
              <w:spacing w:after="0"/>
              <w:rPr>
                <w:sz w:val="5"/>
                <w:szCs w:val="5"/>
                <w:color w:val="auto"/>
              </w:rPr>
            </w:pPr>
          </w:p>
        </w:tc>
        <w:tc>
          <w:tcPr>
            <w:tcW w:w="135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-1000760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-1000760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-751840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-751840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-751840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-751840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-323215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-323215</wp:posOffset>
            </wp:positionV>
            <wp:extent cx="215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215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Our marine fuel services segment contributed $1.0 billion in revenue for fiscal 2001, an increase of $266.0 million, or 36.0%, over fiscal 2000. The increase in revenue for our marine segment was related to 31.5% and 8.0% increases in the average price per metric ton sold and brokered, respectively. Also contributing to the increase in revenue for our marine segment was an increase in the volume of metric tons sold of 3.8%. Our aviation fuel services segment contributed $524.7 million in revenue for fiscal 2001. This represented an increase in revenue of $62.9 million, or 13.6%, as compared to fiscal 2000. The increase in revenue results from a 36.2% increase in the average price per gallon sold, partially offset by a 16.6% decrease in the volume of gallons sold.</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gross profit of $71.7 million for fiscal 2001 increased $7.5 million, or 11.7%, as compared to fiscal 2000. Our gross margin decreased from 5.4% for fiscal 2000 to 4.7% for fiscal 2001. Our marine fuel segment achieved a 3.7% gross margin for fiscal 2001, as compared to a 3.6% gross margin for fiscal 2000. Our marine segment increased its gross margin despite higher fuel prices, due to an increase in the average gross profit per metric ton sold and brokered, the result of better pricing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and a reduction in low margin business activity. Our aviation fuel business achieved a 6.6% gross margin for fiscal 2001, as compared to 8.2% achieved for fiscal 2000. This decrease resulted from an increase in the average price per gallon sold, partially offset by an increase in the average gross profit per gallon sold.</w:t>
      </w:r>
    </w:p>
    <w:p>
      <w:pPr>
        <w:spacing w:after="0" w:line="4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Total operating expenses for fiscal 2001 were $57.6 million, an increase of $263 thousand, or 0.5%, as compared to fiscal 2000. The increase resulted from higher compensation, professional fees, and information technology spending, and a $3.5 million executive severance charge incurred in fiscal 2001. Largely offsetting the increase in operating expenses was an $11.3 million decrease in the provision for bad debts.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income from operations for fiscal 2001 was $14.2 million, an increase of $7.2 million, or 104.6%, as compared to fiscal 2000. Income from operations during fiscal 2001 and 2000 were attributable to the following segments: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center"/>
              <w:ind w:left="519"/>
              <w:spacing w:after="0"/>
              <w:rPr>
                <w:sz w:val="20"/>
                <w:szCs w:val="20"/>
                <w:color w:val="auto"/>
              </w:rPr>
            </w:pPr>
            <w:r>
              <w:rPr>
                <w:rFonts w:ascii="Arial" w:cs="Arial" w:eastAsia="Arial" w:hAnsi="Arial"/>
                <w:sz w:val="18"/>
                <w:szCs w:val="18"/>
                <w:color w:val="auto"/>
                <w:w w:val="87"/>
              </w:rPr>
              <w:t>13,161</w:t>
            </w: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Aviation fuel services</w:t>
            </w:r>
          </w:p>
        </w:tc>
        <w:tc>
          <w:tcPr>
            <w:tcW w:w="160" w:type="dxa"/>
            <w:vAlign w:val="bottom"/>
          </w:tcPr>
          <w:p>
            <w:pPr>
              <w:spacing w:after="0"/>
              <w:rPr>
                <w:sz w:val="18"/>
                <w:szCs w:val="18"/>
                <w:color w:val="auto"/>
              </w:rPr>
            </w:pPr>
          </w:p>
        </w:tc>
        <w:tc>
          <w:tcPr>
            <w:tcW w:w="1120" w:type="dxa"/>
            <w:vAlign w:val="bottom"/>
          </w:tcPr>
          <w:p>
            <w:pPr>
              <w:jc w:val="center"/>
              <w:ind w:left="539"/>
              <w:spacing w:after="0"/>
              <w:rPr>
                <w:sz w:val="20"/>
                <w:szCs w:val="20"/>
                <w:color w:val="auto"/>
              </w:rPr>
            </w:pPr>
            <w:r>
              <w:rPr>
                <w:rFonts w:ascii="Arial" w:cs="Arial" w:eastAsia="Arial" w:hAnsi="Arial"/>
                <w:sz w:val="18"/>
                <w:szCs w:val="18"/>
                <w:color w:val="auto"/>
                <w:w w:val="83"/>
              </w:rPr>
              <w:t>11,790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16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89"/>
              </w:rPr>
              <w:t>(10,799)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18"/>
        </w:trPr>
        <w:tc>
          <w:tcPr>
            <w:tcW w:w="56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center"/>
              <w:ind w:left="519"/>
              <w:spacing w:after="0"/>
              <w:rPr>
                <w:sz w:val="20"/>
                <w:szCs w:val="20"/>
                <w:color w:val="auto"/>
              </w:rPr>
            </w:pPr>
            <w:r>
              <w:rPr>
                <w:rFonts w:ascii="Arial" w:cs="Arial" w:eastAsia="Arial" w:hAnsi="Arial"/>
                <w:sz w:val="18"/>
                <w:szCs w:val="18"/>
                <w:color w:val="auto"/>
                <w:w w:val="87"/>
              </w:rPr>
              <w:t>14,152</w:t>
            </w: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-1137920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-1137920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-889000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-889000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-889000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-889000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-323215</wp:posOffset>
            </wp:positionV>
            <wp:extent cx="215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-329565</wp:posOffset>
            </wp:positionV>
            <wp:extent cx="3873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2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38735"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-38100</wp:posOffset>
            </wp:positionV>
            <wp:extent cx="83629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36295" cy="3873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-38100</wp:posOffset>
            </wp:positionV>
            <wp:extent cx="2984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marine fuel services segment earned $13.2 million in income from operations for fiscal 2001, an increase of $5.6 million, or 75.1%, as compared to fiscal 2000. The increase in the marine segment resulted from an improved gross profit per metric ton on traded and brokered transactions and a volume increase in metric tons sold. Partially offsetting was a volume decrease in metric tons brokered and increases in operating expenses, including the provision for bad debts. Our aviation segment’s income from operations was $11.8 million for fiscal 2001, an increase of $7.4 million, or 165.5%, as compared to fiscal 2000. This increase resulted from a decrease in the provision for bad debts and an improvement in the gross profit per gallon sold; partially offset by a decrease in gallons sold and an increase in compensation and other operating expenses. Corporate overhead costs not charged to the business segments totaled $10.8 million in fiscal 2001, an increase of $5.8 million, or 114.4%, as compared to fiscal 2000. The increase resulted from an executive severance charge, and higher compensation, professional fees, and information technology spending.</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fiscal 2001, we reported $2.2 million in other income, net, compared to other expense, net, of $5.7 million, for fiscal 2000. In fiscal 2000, we recorded a $3.1 million non-recurring charge in the marine segment due to the theft of product off the coast of Nigeria, a $953 thousand non-recurring charge in the aviation segment related to a substantial write-down of our investment in and advances to our previous aviation joint venture in Ecuador, and a $1.6 million special charge to the provision for bad debts in our previous aviation joint venture in Ecuador related to certain customers based in Ecuador. Also contributing to the variance were foreign exchange gains, increases in net interest income of $1.2 million and a partial recovery of $365 thousand related to the fiscal 2000 write-down of our previous aviation joint venture in Ecuador.</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Income taxes for fiscal 2001 reflect the impact of the executive severance and the provision for bad debts, for which we received an income tax benefit. Income taxes for fiscal 2000 reflect the impact of the provision for bad debts and non-recurring losses in marine and aviation, for which we did not receive an income tax benefit. Thus, our effective income tax rate for fiscal 2001 decreased substantially as compared to fiscal 2000.</w:t>
      </w:r>
    </w:p>
    <w:p>
      <w:pPr>
        <w:spacing w:after="0" w:line="9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Net income from continuing operations for fiscal 2001 was $11.8 million, as compared to a net loss of $172 thousand for fiscal 2000. Diluted income per share on income from continuing operations was $1.11 for fiscal 2001, as compared to a loss per share of $0.01 in fiscal 2000.</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2001, we incurred a net loss from discontinued operations of $1.2 million, or $0.11 per diluted share, as compared to net income of $9.8 million, or $0.81 per diluted share, for fiscal 2000. Including discontinued operations, net income for fiscal 2001 was $10.6 million, an increase of $1.0 million or 10.4%, as compared to net income of $9.6 million for fiscal 2000. Diluted earnings per share of $1.00 for fiscal 2001 increased $0.20, or 25.0%, over the $0.80 achieved during fiscal 2000.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March 31, 2002, we had $58.2 million of cash and cash equivalents as compared to $39.0 million at March 31, 2001. We also have a revolving credit facility for $30.0 million with a sublimit of $25.0 million for letters of credit. Our available borrowings under the credit facility are reduced by the amount of outstanding letters of credit. As of March 31, 2002, we had no borrowings under the credit facility. Letters of credit of $15.8 million were outstanding under the credit facility. 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or impair our ability to receive advances. As of March 31, 2002, we were in compliance with the operating and financial requirements under the credit facility.</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cash provided by continuing operating activities totaled $34.2 million for fiscal 2002 as compared to $28.1 million for fiscal 2001. The increase in cash provided by continuing operating activities of $6.1 million was primarily a result of higher operating income from continuing operations which increased from $11.8 million in fiscal 2001 to $17.2 million in fiscal 2002, and a lower Days Sales Outstanding (“DSO”) in our receivables. Cash provided by discontinued operations of $1.75 million during fiscal 2002 was for the settlement payment from EarthCare Company on the remaining discontinued operating assets sold in fiscal 2000. For fiscal 2001, cash used in our discontinued operations of $9.8 million primarily pertains to the payment of income taxes on the operations and on the gain on the sale of our oil-recycling operations.</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Net cash used in investing activities was $9.7 million for fiscal 2002, an increase of $4.2 million as compared to fiscal 2001. We paid $8.6 million in fiscal 2002 versus $1.8 million in fiscal 2001 for the various marine segment acquisitions. Partially offsetting the increase in cash used in investing activities were a decrease in capital expenditures from $2.7 million for fiscal 2001 to $1.4 million for fiscal 2002, cash received of $296 thousand from the sale of leasehold property in fiscal 2002, and cash used of $1.0 million for our fiscal 2001 investment in the PAFCO aviation joint venture.</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fiscal 2002, net cash used in financing activities was $7.1 million as compared to $6.6 million for fiscal 2001. The increase is due to an increase in dividends paid on common stock of $1.8 million and the repayment of debt of $2.1 million. Largely offsetting were cash received of $2.2 million from employees’ exercise of stock options and a decrease in our purchases of treasury shares from $4.4 million in fiscal 2001 to $3.3 million in fiscal 2002.</w:t>
      </w:r>
    </w:p>
    <w:p>
      <w:pPr>
        <w:spacing w:after="0" w:line="9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Working capital at March 31, 2002 was $79.3 million, representing an increase of $3.5 million from working capital at March 31, 2001. Our accounts and notes receivable, at March 31, 2002, excluding the allowance for bad debts, amounted to $143.6 million, an increase of $6.6 million, as compared to the balance at March 31, 2001. This increase is mostly related to the addition of accounts receivable from sales related to our fiscal 2002 acquisitions in the marine segment. The allowance for bad debts at March 31, 2002 amounted to $11.0 million as compared to $11.2 million at March 31, 2001. During fiscal 2002, we charged $3.9 million to the provision for bad debts as compared to $7.9 million for fiscal 2001. We had charge-offs in excess of recoveries of $4.1 million in fiscal 2002 as compared to $11.9 million in fiscal 2001. The decrease in our provision for bad debts and charge-offs primarily reflects the refinement in our credit practices that resulted in an overall DSO improvement to 32 days for the fourth quarter of fiscal 2002 versus 35 days for the fourth quarter of fiscal 2001. In addition, the decrease in our aviation segment reflects management’s effort to reduce our credit exposure and increase margins, which began in the third quarter of fiscal 2001.</w:t>
      </w:r>
    </w:p>
    <w:p>
      <w:pPr>
        <w:spacing w:after="0" w:line="9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Prepaid expenses and other current assets increased $1.8 million due to a higher deferred income tax asset and the equity in earnings of our PAFCO aviation joint venture. Partially offsetting was the receipt of the settlement payment from EarthCare Company related to the sale of the recycling operations. Capital expenditures for fiscal 2002 consisted primarily of computer equipment purchases and computer software development costs. Goodwill, identifiable intangible asset, and investment goodwill increased $11.1 million, to $38.6 million, due to our marine acquisitions consummated in fiscal 2002.</w:t>
      </w:r>
    </w:p>
    <w:p>
      <w:pPr>
        <w:spacing w:after="0" w:line="9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the aggregate, accounts payable, accrued expenses, customer deposits, and accrued salaries and wages increased $15.5 million due to the additions of these current liabilities from operations related to our marine acquisitions. Short-term debt and long-term debt, in the aggregate, increased by $4.6 million as a result of promissory notes issued and debt assumed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our marine acquisitions in fiscal 2002, partially offset by our principal payment of prior years’ promissory notes.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Stockholders’ equity amounted to $116.4 million, or $11.22 in book value per share at March 31, 2002, compared to $103.9 million, or $9.98 in book value per share at March 31, 2001. The increase in stockholders’ equity was due to $17.2 million in earnings and $2.2 million received from the exercise of stock options, partially offset by the declaration of dividends of $4.2 million and $3.3 million for the repurchase of our stock.</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available funds from existing cash and cash equivalents, our credit facility, and cash flows generated by operations will be sufficient to fund our working capital and capital expenditures requirements for fiscal 2003.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6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significant contractual obligations, commercial commitments, and off-balance sheet arrangements are set forth below. For additional information on any of the following and other contractual obligations, commitments, and off-balance sheet arrangements, see Notes 3, 6 and 7 in the Notes to the Consolidated Financial Statements in Item 14 of this report.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Letters of Credit</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2002, we had outstanding letters of credit of $15.8 million. The letters of credit were issued under our revolving credit facility, and count against the $30.0 million limit on total borrowings under this facility. For additional information on our revolving credit facility and letters of credit, see the discussion thereof in “Liquidity and Capital Resources,” above.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Surety Bonds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March 31, 2002, we had $12.1 million in outstanding bonds.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31, 2002, our future minimum lease payments under non-cancelable operating leases for rental properties which have an initial term in excess of one year were as follows:</w:t>
      </w:r>
    </w:p>
    <w:p>
      <w:pPr>
        <w:spacing w:after="0" w:line="11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141922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2004</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2006</w:t>
            </w: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460" w:type="dxa"/>
            <w:vAlign w:val="bottom"/>
          </w:tcPr>
          <w:p>
            <w:pPr>
              <w:spacing w:after="0"/>
              <w:rPr>
                <w:sz w:val="24"/>
                <w:szCs w:val="24"/>
                <w:color w:val="auto"/>
              </w:rPr>
            </w:pPr>
          </w:p>
        </w:tc>
        <w:tc>
          <w:tcPr>
            <w:tcW w:w="4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4100" w:type="dxa"/>
            <w:vAlign w:val="bottom"/>
            <w:vMerge w:val="restart"/>
          </w:tcPr>
          <w:p>
            <w:pPr>
              <w:jc w:val="right"/>
              <w:ind w:right="2112"/>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-662940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-662940</wp:posOffset>
            </wp:positionV>
            <wp:extent cx="215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Under our normal course of business, we may enter into non-cancelable operating leases for office and computer equipment, and service contracts with minimum service fee commitments for telecommunication, and computer data and document storage. As of March 31, 2002, there were no material non-cancelable operating leases for office and computer equipment or service contracts with minimum service fee commitments.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and Sale Commitments and Derivatives</w:t>
      </w:r>
    </w:p>
    <w:p>
      <w:pPr>
        <w:spacing w:after="0" w:line="158"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See “Item 7A—Quantitative and Qualitative Disclosures About Market Risk,” included in this report, for a discussion of our purchase and sale commitments and derivatives.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30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fiscal 2001, the employment agreements for our Chairman of the Board and President were amended and restated. The amended and restated employment agreements provided a higher base salary as well as a bonus structure based on our earnings per share growth along with the granting of additional employee stock options. The amended and restated employment agreements will expire on March 31, 2005. The executives and our Board of Directors may mutually agree to extend the employment agreements for subsequent one-year periods. For the Chairman of the Board, the amended and restated employment agreement provides the following: (1) an annual base salary of $600 thousand; (2) effective fiscal 2002, an annual bonus as a percent of the executive’s base salary which shall be calculated based on basic earnings per share growth, year over year, as adjusted by the Compensation Committee; (3) stock options to purchase 200 thousand shares of our common stock which were awarded in fiscal 2001; and (4) a termination severance payment, as specified in the employment agreement. For the President, the amended and restated employment agreement provides the following: (1) an annual base salary of $500 thousand; (2) effective fiscal 2002, an annual bonus as a percent of the executive’s base salary which shall be calculated on basic earnings per share growth, year over year, as adjusted by the Compensation Committee; (3) stock options to purchase 150 thousand shares of our common stock which were awarded in fiscal 2001; and (4) a termination severance payment, as specified in the employment agreement.</w:t>
      </w:r>
    </w:p>
    <w:p>
      <w:pPr>
        <w:spacing w:after="0" w:line="11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October 2001, the employment agreement for the Chief Executive Officer of our marine fuel services segment was amended and restated. The amended and restated employment agreement will expire on March 31, 2005 and its principal terms are as follows: (1) an annual base salary of approximately $438 thousand; (2) a bonus for the period from January 1, 2001 through December 31, 2001 based on the bonus formula in the executive’s previous employment agreement; (3) effective January 1, 2002, a bonus calculated as a percent of the executive’s base salary based on our earnings per share growth, year over year, as adjusted by the Compensation Committee; (4) the grant of 25 thousand shares of restricted common stock, which shall vest in four equal installments on October 1, 2002, 2003, 2004, and March 31, 2005, subject to certain acceleration provisions, as specified in the employment agreement; (5) an award of stock options to purchase 55 thousand shares of our common stock, with an exercise price of $11.90 per share, of which approximately 30 thousand shares will vest in two years and the remaining shares will vest over three years, subject to certain acceleration provisions, as specified in the employment agreement; and (6) severance benefits payable upon termination for certain reasons specified in the employment agreement.</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payment of any portion of the bonus causing the compensation of any of the three executives named above to exceed $1.0 million during any fiscal year will be deferred and accrue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March 31, 2002 and 2001, $1.6 million and $1.3 million, respectively, in bonuses was deferred under the employment agreements named above, and is included in Long-term liabilities in the accompanying Consolidated Balance Sheets.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to the above executives, we have also entered into employment agreements with certain of our executive officers and employees. These agreements provide for minimum salary levels, and for certain executive officers and employees, bonus formulas which are payable if specified performance goals are attained.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March 31, 2002, the future minimum commitments under employment agreements, excluding discretionary and performance bonuses, are as follows:</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141922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10" w:type="dxa"/>
            <w:vAlign w:val="bottom"/>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1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2004</w:t>
            </w:r>
          </w:p>
        </w:tc>
        <w:tc>
          <w:tcPr>
            <w:tcW w:w="310" w:type="dxa"/>
            <w:vAlign w:val="bottom"/>
          </w:tcPr>
          <w:p>
            <w:pPr>
              <w:spacing w:after="0"/>
              <w:rPr>
                <w:sz w:val="18"/>
                <w:szCs w:val="18"/>
                <w:color w:val="auto"/>
              </w:rPr>
            </w:pPr>
          </w:p>
        </w:tc>
        <w:tc>
          <w:tcPr>
            <w:tcW w:w="1750" w:type="dxa"/>
            <w:vAlign w:val="bottom"/>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10" w:type="dxa"/>
            <w:vAlign w:val="bottom"/>
            <w:shd w:val="clear" w:color="auto" w:fill="CCEEFF"/>
          </w:tcPr>
          <w:p>
            <w:pPr>
              <w:spacing w:after="0"/>
              <w:rPr>
                <w:sz w:val="18"/>
                <w:szCs w:val="18"/>
                <w:color w:val="auto"/>
              </w:rPr>
            </w:pPr>
          </w:p>
        </w:tc>
        <w:tc>
          <w:tcPr>
            <w:tcW w:w="1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2006</w:t>
            </w:r>
          </w:p>
        </w:tc>
        <w:tc>
          <w:tcPr>
            <w:tcW w:w="310" w:type="dxa"/>
            <w:vAlign w:val="bottom"/>
          </w:tcPr>
          <w:p>
            <w:pPr>
              <w:spacing w:after="0"/>
              <w:rPr>
                <w:sz w:val="18"/>
                <w:szCs w:val="18"/>
                <w:color w:val="auto"/>
              </w:rPr>
            </w:pPr>
          </w:p>
        </w:tc>
        <w:tc>
          <w:tcPr>
            <w:tcW w:w="175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10" w:type="dxa"/>
            <w:vAlign w:val="bottom"/>
            <w:shd w:val="clear" w:color="auto" w:fill="CCEEFF"/>
          </w:tcPr>
          <w:p>
            <w:pPr>
              <w:spacing w:after="0"/>
              <w:rPr>
                <w:sz w:val="18"/>
                <w:szCs w:val="18"/>
                <w:color w:val="auto"/>
              </w:rPr>
            </w:pPr>
          </w:p>
        </w:tc>
        <w:tc>
          <w:tcPr>
            <w:tcW w:w="1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Thereafter</w:t>
            </w:r>
          </w:p>
        </w:tc>
        <w:tc>
          <w:tcPr>
            <w:tcW w:w="310" w:type="dxa"/>
            <w:vAlign w:val="bottom"/>
          </w:tcPr>
          <w:p>
            <w:pPr>
              <w:spacing w:after="0"/>
              <w:rPr>
                <w:sz w:val="19"/>
                <w:szCs w:val="19"/>
                <w:color w:val="auto"/>
              </w:rPr>
            </w:pPr>
          </w:p>
        </w:tc>
        <w:tc>
          <w:tcPr>
            <w:tcW w:w="175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r>
      <w:tr>
        <w:trPr>
          <w:trHeight w:val="112"/>
        </w:trPr>
        <w:tc>
          <w:tcPr>
            <w:tcW w:w="6480" w:type="dxa"/>
            <w:vAlign w:val="bottom"/>
          </w:tcPr>
          <w:p>
            <w:pPr>
              <w:spacing w:after="0"/>
              <w:rPr>
                <w:sz w:val="9"/>
                <w:szCs w:val="9"/>
                <w:color w:val="auto"/>
              </w:rPr>
            </w:pPr>
          </w:p>
        </w:tc>
        <w:tc>
          <w:tcPr>
            <w:tcW w:w="310" w:type="dxa"/>
            <w:vAlign w:val="bottom"/>
            <w:tcBorders>
              <w:bottom w:val="single" w:sz="8" w:color="auto"/>
            </w:tcBorders>
          </w:tcPr>
          <w:p>
            <w:pPr>
              <w:spacing w:after="0"/>
              <w:rPr>
                <w:sz w:val="9"/>
                <w:szCs w:val="9"/>
                <w:color w:val="auto"/>
              </w:rPr>
            </w:pPr>
          </w:p>
        </w:tc>
        <w:tc>
          <w:tcPr>
            <w:tcW w:w="17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6480" w:type="dxa"/>
            <w:vAlign w:val="bottom"/>
          </w:tcPr>
          <w:p>
            <w:pPr>
              <w:spacing w:after="0"/>
              <w:rPr>
                <w:sz w:val="24"/>
                <w:szCs w:val="24"/>
                <w:color w:val="auto"/>
              </w:rPr>
            </w:pPr>
          </w:p>
        </w:tc>
        <w:tc>
          <w:tcPr>
            <w:tcW w:w="310" w:type="dxa"/>
            <w:vAlign w:val="bottom"/>
          </w:tcPr>
          <w:p>
            <w:pPr>
              <w:jc w:val="right"/>
              <w:ind w:right="153"/>
              <w:spacing w:after="0"/>
              <w:rPr>
                <w:sz w:val="20"/>
                <w:szCs w:val="20"/>
                <w:color w:val="auto"/>
              </w:rPr>
            </w:pPr>
            <w:r>
              <w:rPr>
                <w:rFonts w:ascii="Arial" w:cs="Arial" w:eastAsia="Arial" w:hAnsi="Arial"/>
                <w:sz w:val="15"/>
                <w:szCs w:val="15"/>
                <w:color w:val="auto"/>
                <w:w w:val="71"/>
              </w:rPr>
              <w:t>$</w:t>
            </w:r>
          </w:p>
        </w:tc>
        <w:tc>
          <w:tcPr>
            <w:tcW w:w="1750" w:type="dxa"/>
            <w:vAlign w:val="bottom"/>
          </w:tcPr>
          <w:p>
            <w:pPr>
              <w:jc w:val="right"/>
              <w:spacing w:after="0"/>
              <w:rPr>
                <w:sz w:val="20"/>
                <w:szCs w:val="20"/>
                <w:color w:val="auto"/>
              </w:rPr>
            </w:pPr>
            <w:r>
              <w:rPr>
                <w:rFonts w:ascii="Arial" w:cs="Arial" w:eastAsia="Arial" w:hAnsi="Arial"/>
                <w:sz w:val="18"/>
                <w:szCs w:val="18"/>
                <w:color w:val="auto"/>
              </w:rPr>
              <w:t>14,741</w:t>
            </w:r>
          </w:p>
        </w:tc>
        <w:tc>
          <w:tcPr>
            <w:tcW w:w="20" w:type="dxa"/>
            <w:vAlign w:val="bottom"/>
          </w:tcPr>
          <w:p>
            <w:pPr>
              <w:spacing w:after="0"/>
              <w:rPr>
                <w:sz w:val="24"/>
                <w:szCs w:val="24"/>
                <w:color w:val="auto"/>
              </w:rPr>
            </w:pPr>
          </w:p>
        </w:tc>
      </w:tr>
      <w:tr>
        <w:trPr>
          <w:trHeight w:val="107"/>
        </w:trPr>
        <w:tc>
          <w:tcPr>
            <w:tcW w:w="6480" w:type="dxa"/>
            <w:vAlign w:val="bottom"/>
          </w:tcPr>
          <w:p>
            <w:pPr>
              <w:spacing w:after="0"/>
              <w:rPr>
                <w:sz w:val="9"/>
                <w:szCs w:val="9"/>
                <w:color w:val="auto"/>
              </w:rPr>
            </w:pPr>
          </w:p>
        </w:tc>
        <w:tc>
          <w:tcPr>
            <w:tcW w:w="310" w:type="dxa"/>
            <w:vAlign w:val="bottom"/>
          </w:tcPr>
          <w:p>
            <w:pPr>
              <w:spacing w:after="0"/>
              <w:rPr>
                <w:sz w:val="9"/>
                <w:szCs w:val="9"/>
                <w:color w:val="auto"/>
              </w:rPr>
            </w:pPr>
          </w:p>
        </w:tc>
        <w:tc>
          <w:tcPr>
            <w:tcW w:w="175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6480" w:type="dxa"/>
            <w:vAlign w:val="bottom"/>
          </w:tcPr>
          <w:p>
            <w:pPr>
              <w:spacing w:after="0"/>
              <w:rPr>
                <w:sz w:val="5"/>
                <w:szCs w:val="5"/>
                <w:color w:val="auto"/>
              </w:rPr>
            </w:pPr>
          </w:p>
        </w:tc>
        <w:tc>
          <w:tcPr>
            <w:tcW w:w="310" w:type="dxa"/>
            <w:vAlign w:val="bottom"/>
            <w:shd w:val="clear" w:color="auto" w:fill="000000"/>
          </w:tcPr>
          <w:p>
            <w:pPr>
              <w:spacing w:after="0"/>
              <w:rPr>
                <w:sz w:val="5"/>
                <w:szCs w:val="5"/>
                <w:color w:val="auto"/>
              </w:rPr>
            </w:pPr>
          </w:p>
        </w:tc>
        <w:tc>
          <w:tcPr>
            <w:tcW w:w="17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215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Aviation Joint Venture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2000, we entered into a joint venture with Signature through the acquisition of a 50% equity interest in PAFCO from Signature. In accordance with the venture’s operating agreement, we are entitled to 80% of the income from PAFCO’s operations. The higher allocation percentage versus the ownership percentage is in consideration of the risks assumed by us with respect to credit losses on PAFCO’s accounts receivable. We are required to purchase, without recourse, PAFCO’s accounts receivable that are 120 days past due, subject to certain requirements. We also have the right to approve all credit sales by PAFCO. Net losses, including infrequent or unusual losses, and interest expense incurred by PAFCO, and any gain resulting from the liquidation of the venture, will be shared equally between Signature and us. We did not purchase any of PAFCO’s accounts receivable in fiscal 2002 and 2001.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July 1, 2001, we adopted SFAS 141, “Business Combinations.” SFAS No. 141 established accounting and reporting standards for business combinations requiring that all business combinations, within the scope of SFAS No. 141, are to be accounted for using only the purchase method of accounting. The adoption of SFAS No. 141 did not have a material effect on our consolidated financial statements.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August 2001, the Financial Accounting Standards Board issued SFAS No. 144, “Accounting for the Impairment or Disposal of Long-Lived Assets.” SFAS No. 144 addresses financial accounting and reporting for the impairment or disposal of long-lived assets, excluding goodwill. SFAS No. 144 will be effective for our fiscal year ending March 31, 2003. We will adopt SFAS No. 144, effective April 1, 2002, as required. We do not believe that the implementation of SFAS No. 144 will have a material effect on our consolidated financial statements.</w:t>
      </w:r>
    </w:p>
    <w:p>
      <w:pPr>
        <w:spacing w:after="0" w:line="12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16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offer to our marine and aviation customers fixed fuel prices on future sales, generally involving the physical delivery of fuel, as part of our fuel management services. Typically, we simultaneously enter into a commodity based derivative instrument with a counterparty to hedge our variable fuel price on related future purchases for the physical delivery of fuel. For non-physical delivery of fuel, we simultaneously enter into commodity based derivative instruments with a counterparty. The counterparties are major oil companies and derivative trading firms. Accordingly, we do not anticipate non-performance by such counterparties. Pursuant to these transactions, we are not affected by market price fluctuations since the contracts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have the same terms and conditions except for the fee or spread earned by us. Performance risk under these contracts is considered a credit risk. This risk is minimized by dealing with customers meeting stricter credit criteria.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2002, we had 22 outstanding swaps contracts totaling 83 thousand metric tons of marine fuel and 14 outstanding swaps contracts totaling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4.8 million gallons of aviation fuel; and these swaps contracts mature as follows: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118"/>
              <w:spacing w:after="0"/>
              <w:rPr>
                <w:sz w:val="20"/>
                <w:szCs w:val="20"/>
                <w:color w:val="auto"/>
              </w:rPr>
            </w:pPr>
            <w:r>
              <w:rPr>
                <w:rFonts w:ascii="Arial" w:cs="Arial" w:eastAsia="Arial" w:hAnsi="Arial"/>
                <w:sz w:val="14"/>
                <w:szCs w:val="14"/>
                <w:b w:val="1"/>
                <w:bCs w:val="1"/>
                <w:color w:val="auto"/>
              </w:rPr>
              <w:t>Marine Fuel</w:t>
            </w:r>
          </w:p>
        </w:tc>
        <w:tc>
          <w:tcPr>
            <w:tcW w:w="280" w:type="dxa"/>
            <w:vAlign w:val="bottom"/>
          </w:tcPr>
          <w:p>
            <w:pPr>
              <w:spacing w:after="0"/>
              <w:rPr>
                <w:sz w:val="14"/>
                <w:szCs w:val="1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rPr>
              <w:t>Aviation Fuel</w:t>
            </w:r>
          </w:p>
        </w:tc>
        <w:tc>
          <w:tcPr>
            <w:tcW w:w="20" w:type="dxa"/>
            <w:vAlign w:val="bottom"/>
          </w:tcPr>
          <w:p>
            <w:pPr>
              <w:spacing w:after="0"/>
              <w:rPr>
                <w:sz w:val="14"/>
                <w:szCs w:val="14"/>
                <w:color w:val="auto"/>
              </w:rPr>
            </w:pPr>
          </w:p>
        </w:tc>
      </w:tr>
      <w:tr>
        <w:trPr>
          <w:trHeight w:val="174"/>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Month of Maturity</w:t>
            </w:r>
          </w:p>
        </w:tc>
        <w:tc>
          <w:tcPr>
            <w:tcW w:w="1100" w:type="dxa"/>
            <w:vAlign w:val="bottom"/>
          </w:tcPr>
          <w:p>
            <w:pPr>
              <w:jc w:val="right"/>
              <w:ind w:right="98"/>
              <w:spacing w:after="0"/>
              <w:rPr>
                <w:sz w:val="20"/>
                <w:szCs w:val="20"/>
                <w:color w:val="auto"/>
              </w:rPr>
            </w:pPr>
            <w:r>
              <w:rPr>
                <w:rFonts w:ascii="Arial" w:cs="Arial" w:eastAsia="Arial" w:hAnsi="Arial"/>
                <w:sz w:val="14"/>
                <w:szCs w:val="14"/>
                <w:b w:val="1"/>
                <w:bCs w:val="1"/>
                <w:color w:val="auto"/>
              </w:rPr>
              <w:t>(metric tons)</w:t>
            </w:r>
          </w:p>
        </w:tc>
        <w:tc>
          <w:tcPr>
            <w:tcW w:w="280" w:type="dxa"/>
            <w:vAlign w:val="bottom"/>
          </w:tcPr>
          <w:p>
            <w:pPr>
              <w:spacing w:after="0"/>
              <w:rPr>
                <w:sz w:val="15"/>
                <w:szCs w:val="15"/>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(gallons)</w:t>
            </w:r>
          </w:p>
        </w:tc>
        <w:tc>
          <w:tcPr>
            <w:tcW w:w="20" w:type="dxa"/>
            <w:vAlign w:val="bottom"/>
          </w:tcPr>
          <w:p>
            <w:pPr>
              <w:spacing w:after="0"/>
              <w:rPr>
                <w:sz w:val="15"/>
                <w:szCs w:val="15"/>
                <w:color w:val="auto"/>
              </w:rPr>
            </w:pPr>
          </w:p>
        </w:tc>
      </w:tr>
      <w:tr>
        <w:trPr>
          <w:trHeight w:val="105"/>
        </w:trPr>
        <w:tc>
          <w:tcPr>
            <w:tcW w:w="14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14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2002</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May to June 2002</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to March 2003</w:t>
            </w:r>
          </w:p>
        </w:tc>
        <w:tc>
          <w:tcPr>
            <w:tcW w:w="110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April to June 2003</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r>
      <w:tr>
        <w:trPr>
          <w:trHeight w:val="112"/>
        </w:trPr>
        <w:tc>
          <w:tcPr>
            <w:tcW w:w="14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14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Pr>
          <w:p>
            <w:pPr>
              <w:spacing w:after="0"/>
              <w:rPr>
                <w:sz w:val="24"/>
                <w:szCs w:val="24"/>
                <w:color w:val="auto"/>
              </w:rPr>
            </w:pPr>
          </w:p>
        </w:tc>
      </w:tr>
      <w:tr>
        <w:trPr>
          <w:trHeight w:val="107"/>
        </w:trPr>
        <w:tc>
          <w:tcPr>
            <w:tcW w:w="14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14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-1026160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-1026160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-1026160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-1026160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-1026160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-1026160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Effective April 1, 2001, we adopted SFAS No. 133, “Accounting for Derivative Instruments and Hedging Activities,” as amended by SFAS No. 138, “Accounting for Derivative Instruments and Certain Hedging Activities-an amendment of FASB Statement No. 133.” SFAS No. 133, as amended, establishes accounting and reporting standards for every derivative instrument, including certain derivative instruments embedded in other contracts.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2002, we have recorded our derivatives, which consisted of swaps contracts to hedge fixed fuel prices on future sales to our customers with, or without, physical delivery of fuel at their fair market value of $1.9 million which was included as Prepaid expenses and other current assets and Accrued expenses in the accompanying Consolidated Balance Sheets.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Attached hereto and filed as a part of this Form 10-K are the consolidated financial statements required by Regulation S-X and the supplementary data required by Regulation S-K.</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March 26, 2002, we filed a Current Report on Form 8-K, under Item 4—Changes in Registrant’s Certifying Accountants. We changed our certifying accountants from Arthur Andersen LLP to PricewaterhouseCoopers LLP. There were no disagreements with Arthur Andersen LLP on any matter of accounting principles or practices or financial statement disclosure which have been reported on a Form 8-K within the twenty-four months prior to March 26, 2002, or subsequently with PricewaterhouseCoopers LLP to the date of the most recent financial statement.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DIRECTORS AND EXECUTIVE OFFICERS OF THE REGISTRANT</w:t>
      </w:r>
    </w:p>
    <w:p>
      <w:pPr>
        <w:spacing w:after="0" w:line="1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information concerning our directors and executive officers set forth under the captions “Election of Directors” and “Information Concerning Executive Officers”, respectively, appearing in our definitive Proxy Statement for our 2002 Annual Meeting of Shareholders (the “2002 Proxy Statement”) is incorporated herein by reference.</w:t>
      </w:r>
    </w:p>
    <w:p>
      <w:pPr>
        <w:spacing w:after="0" w:line="1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16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set forth in the 2002 Proxy Statement under the caption “Compensation of Officers” and “Board of Directors—Compensation of Directors” is incorporated herein by reference.</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under the caption “Principal Shareholders and Security Ownership of Management” in the 2002 Proxy Statement is incorporated herein by reference.</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under the caption “Transactions with Management and Others” in the 2002 Proxy Statement is incorporated herein by reference.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20" w:type="dxa"/>
            <w:vAlign w:val="bottom"/>
            <w:gridSpan w:val="3"/>
          </w:tcPr>
          <w:p>
            <w:pPr>
              <w:ind w:left="392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19"/>
                <w:szCs w:val="19"/>
                <w:color w:val="auto"/>
              </w:rPr>
            </w:pPr>
          </w:p>
        </w:tc>
      </w:tr>
      <w:tr>
        <w:trPr>
          <w:trHeight w:val="365"/>
        </w:trPr>
        <w:tc>
          <w:tcPr>
            <w:tcW w:w="1106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EXHIBITS, FINANCIAL STATEMENT SCHEDULES AND REPORTS ON FORM 8-K</w:t>
            </w:r>
          </w:p>
        </w:tc>
        <w:tc>
          <w:tcPr>
            <w:tcW w:w="360" w:type="dxa"/>
            <w:vAlign w:val="bottom"/>
          </w:tcPr>
          <w:p>
            <w:pPr>
              <w:spacing w:after="0"/>
              <w:rPr>
                <w:sz w:val="24"/>
                <w:szCs w:val="24"/>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(a)(1)</w:t>
            </w:r>
          </w:p>
        </w:tc>
        <w:tc>
          <w:tcPr>
            <w:tcW w:w="9980" w:type="dxa"/>
            <w:vAlign w:val="bottom"/>
            <w:gridSpan w:val="5"/>
          </w:tcPr>
          <w:p>
            <w:pPr>
              <w:ind w:left="20"/>
              <w:spacing w:after="0"/>
              <w:rPr>
                <w:sz w:val="20"/>
                <w:szCs w:val="20"/>
                <w:color w:val="auto"/>
              </w:rPr>
            </w:pPr>
            <w:r>
              <w:rPr>
                <w:rFonts w:ascii="Arial" w:cs="Arial" w:eastAsia="Arial" w:hAnsi="Arial"/>
                <w:sz w:val="18"/>
                <w:szCs w:val="18"/>
                <w:color w:val="auto"/>
              </w:rPr>
              <w:t>The following consolidated financial statements are filed as a part of this report:</w:t>
            </w:r>
          </w:p>
        </w:tc>
        <w:tc>
          <w:tcPr>
            <w:tcW w:w="36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(i)</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rPr>
              <w:t>Reports of Independent Certified Public Accountants.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(ii)</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rPr>
              <w:t>Consolidated Balance Sheets as of March 31, 2002 and 2001.</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(iii)</w:t>
            </w:r>
          </w:p>
        </w:tc>
        <w:tc>
          <w:tcPr>
            <w:tcW w:w="9620" w:type="dxa"/>
            <w:vAlign w:val="bottom"/>
            <w:gridSpan w:val="3"/>
          </w:tcPr>
          <w:p>
            <w:pPr>
              <w:ind w:left="80"/>
              <w:spacing w:after="0"/>
              <w:rPr>
                <w:sz w:val="20"/>
                <w:szCs w:val="20"/>
                <w:color w:val="auto"/>
              </w:rPr>
            </w:pPr>
            <w:r>
              <w:rPr>
                <w:rFonts w:ascii="Arial" w:cs="Arial" w:eastAsia="Arial" w:hAnsi="Arial"/>
                <w:sz w:val="18"/>
                <w:szCs w:val="18"/>
                <w:color w:val="auto"/>
              </w:rPr>
              <w:t>Consolidated Statements of Income for the Years Ended March 31, 2002, 2001 and 2000.</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(iv)</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rPr>
              <w:t>Consolidated Statements of Stockholders’ Equity for the Years Ended March 31, 2002, 2001 and 2000.</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(v)</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rPr>
              <w:t>Consolidated Statements of Cash Flows for the Years Ended March 31, 2002, 2001 and 2000.</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(vi)</w:t>
            </w:r>
          </w:p>
        </w:tc>
        <w:tc>
          <w:tcPr>
            <w:tcW w:w="9620" w:type="dxa"/>
            <w:vAlign w:val="bottom"/>
            <w:gridSpan w:val="3"/>
          </w:tcPr>
          <w:p>
            <w:pPr>
              <w:ind w:left="60"/>
              <w:spacing w:after="0"/>
              <w:rPr>
                <w:sz w:val="20"/>
                <w:szCs w:val="20"/>
                <w:color w:val="auto"/>
              </w:rPr>
            </w:pPr>
            <w:r>
              <w:rPr>
                <w:rFonts w:ascii="Arial" w:cs="Arial" w:eastAsia="Arial" w:hAnsi="Arial"/>
                <w:sz w:val="18"/>
                <w:szCs w:val="18"/>
                <w:color w:val="auto"/>
              </w:rPr>
              <w:t>Notes to the Consolidated Financial Statements.</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6"/>
        </w:trPr>
        <w:tc>
          <w:tcPr>
            <w:tcW w:w="1080" w:type="dxa"/>
            <w:vAlign w:val="bottom"/>
            <w:gridSpan w:val="2"/>
          </w:tcPr>
          <w:p>
            <w:pPr>
              <w:spacing w:after="0"/>
              <w:rPr>
                <w:sz w:val="20"/>
                <w:szCs w:val="20"/>
                <w:color w:val="auto"/>
              </w:rPr>
            </w:pPr>
            <w:r>
              <w:rPr>
                <w:rFonts w:ascii="Arial" w:cs="Arial" w:eastAsia="Arial" w:hAnsi="Arial"/>
                <w:sz w:val="18"/>
                <w:szCs w:val="18"/>
                <w:color w:val="auto"/>
              </w:rPr>
              <w:t>(a)(2)</w:t>
            </w:r>
          </w:p>
        </w:tc>
        <w:tc>
          <w:tcPr>
            <w:tcW w:w="9980" w:type="dxa"/>
            <w:vAlign w:val="bottom"/>
            <w:gridSpan w:val="5"/>
          </w:tcPr>
          <w:p>
            <w:pPr>
              <w:ind w:left="20"/>
              <w:spacing w:after="0"/>
              <w:rPr>
                <w:sz w:val="20"/>
                <w:szCs w:val="20"/>
                <w:color w:val="auto"/>
              </w:rPr>
            </w:pPr>
            <w:r>
              <w:rPr>
                <w:rFonts w:ascii="Arial" w:cs="Arial" w:eastAsia="Arial" w:hAnsi="Arial"/>
                <w:sz w:val="18"/>
                <w:szCs w:val="18"/>
                <w:color w:val="auto"/>
                <w:w w:val="89"/>
              </w:rPr>
              <w:t>Consolidated financial statement schedules not set forth herein have been omitted either because the required information is set forth in the</w:t>
            </w:r>
          </w:p>
        </w:tc>
        <w:tc>
          <w:tcPr>
            <w:tcW w:w="36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980" w:type="dxa"/>
            <w:vAlign w:val="bottom"/>
            <w:gridSpan w:val="5"/>
          </w:tcPr>
          <w:p>
            <w:pPr>
              <w:ind w:left="20"/>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60" w:type="dxa"/>
            <w:vAlign w:val="bottom"/>
          </w:tcPr>
          <w:p>
            <w:pPr>
              <w:spacing w:after="0"/>
              <w:rPr>
                <w:sz w:val="19"/>
                <w:szCs w:val="19"/>
                <w:color w:val="auto"/>
              </w:rPr>
            </w:pP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(a)(3)</w:t>
            </w:r>
          </w:p>
        </w:tc>
        <w:tc>
          <w:tcPr>
            <w:tcW w:w="9980" w:type="dxa"/>
            <w:vAlign w:val="bottom"/>
            <w:gridSpan w:val="5"/>
          </w:tcPr>
          <w:p>
            <w:pPr>
              <w:ind w:left="20"/>
              <w:spacing w:after="0"/>
              <w:rPr>
                <w:sz w:val="20"/>
                <w:szCs w:val="20"/>
                <w:color w:val="auto"/>
              </w:rPr>
            </w:pPr>
            <w:r>
              <w:rPr>
                <w:rFonts w:ascii="Arial" w:cs="Arial" w:eastAsia="Arial" w:hAnsi="Arial"/>
                <w:sz w:val="18"/>
                <w:szCs w:val="18"/>
                <w:color w:val="auto"/>
              </w:rPr>
              <w:t>The exhibits set forth in the following index of exhibits are filed as a part of this report:</w:t>
            </w:r>
          </w:p>
        </w:tc>
        <w:tc>
          <w:tcPr>
            <w:tcW w:w="360" w:type="dxa"/>
            <w:vAlign w:val="bottom"/>
          </w:tcPr>
          <w:p>
            <w:pPr>
              <w:spacing w:after="0"/>
              <w:rPr>
                <w:sz w:val="24"/>
                <w:szCs w:val="24"/>
                <w:color w:val="auto"/>
              </w:rPr>
            </w:pPr>
          </w:p>
        </w:tc>
      </w:tr>
      <w:tr>
        <w:trPr>
          <w:trHeight w:val="312"/>
        </w:trPr>
        <w:tc>
          <w:tcPr>
            <w:tcW w:w="12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9"/>
              </w:rPr>
              <w:t>EXHIBIT NO.</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24"/>
                <w:szCs w:val="24"/>
                <w:color w:val="auto"/>
              </w:rPr>
            </w:pPr>
          </w:p>
        </w:tc>
      </w:tr>
      <w:tr>
        <w:trPr>
          <w:trHeight w:val="105"/>
        </w:trPr>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3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1120" w:hanging="54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Articles of Incorporation are incorporated by reference to our Registration Statement on Form S-18 filed February 3, 1986.</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By-laws are incorporated by reference to our Registration Statement on Form S-18 filed February 3, 1986.</w:t>
      </w:r>
    </w:p>
    <w:p>
      <w:pPr>
        <w:spacing w:after="0" w:line="157" w:lineRule="exact"/>
        <w:rPr>
          <w:rFonts w:ascii="Arial" w:cs="Arial" w:eastAsia="Arial" w:hAnsi="Arial"/>
          <w:sz w:val="18"/>
          <w:szCs w:val="18"/>
          <w:color w:val="auto"/>
        </w:rPr>
      </w:pPr>
    </w:p>
    <w:p>
      <w:pPr>
        <w:ind w:left="1120" w:hanging="54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Instruments defining rights of security holders: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4"/>
        </w:numPr>
        <w:rPr>
          <w:rFonts w:ascii="Arial" w:cs="Arial" w:eastAsia="Arial" w:hAnsi="Arial"/>
          <w:sz w:val="16"/>
          <w:szCs w:val="16"/>
          <w:color w:val="auto"/>
        </w:rPr>
      </w:pPr>
      <w:r>
        <w:rPr>
          <w:rFonts w:ascii="Arial" w:cs="Arial" w:eastAsia="Arial" w:hAnsi="Arial"/>
          <w:sz w:val="16"/>
          <w:szCs w:val="16"/>
          <w:color w:val="auto"/>
        </w:rPr>
        <w:t>1986 Employee Stock Option Plan is incorporated by reference to our Registration Statement on Form S-18 filed February 3, 1986.</w:t>
      </w:r>
    </w:p>
    <w:p>
      <w:pPr>
        <w:spacing w:after="0" w:line="180" w:lineRule="exact"/>
        <w:rPr>
          <w:rFonts w:ascii="Arial" w:cs="Arial" w:eastAsia="Arial" w:hAnsi="Arial"/>
          <w:sz w:val="16"/>
          <w:szCs w:val="16"/>
          <w:color w:val="auto"/>
        </w:rPr>
      </w:pPr>
    </w:p>
    <w:p>
      <w:pPr>
        <w:ind w:left="1700" w:hanging="558"/>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1993 Non-Employee Directors Stock Option Plan is incorporated by reference to our Schedule 14A filed June 28, 1994.</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1996 Employee Stock Option Plan is incorporated by reference to our Schedule 14A filed July 18, 1997.</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2001 Omnibus Plan is incorporated by reference to our Schedule 14A filed July 17, 2001.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54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Material contracts incorporated by reference to our Report on Form 10-K filed June 18, 2001:</w:t>
      </w:r>
    </w:p>
    <w:p>
      <w:pPr>
        <w:spacing w:after="0" w:line="157" w:lineRule="exact"/>
        <w:rPr>
          <w:rFonts w:ascii="Arial" w:cs="Arial" w:eastAsia="Arial" w:hAnsi="Arial"/>
          <w:sz w:val="18"/>
          <w:szCs w:val="18"/>
          <w:color w:val="auto"/>
        </w:rPr>
      </w:pPr>
    </w:p>
    <w:p>
      <w:pPr>
        <w:ind w:left="2380" w:right="520" w:hanging="549"/>
        <w:spacing w:after="0" w:line="268" w:lineRule="auto"/>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Amendment to Employment Agreement with Mr. Jerrold Blair, Chairman of the Board of Directors and Chief Executive Officer, dated January 31, 2001, effective as of April 1, 2000.</w:t>
      </w:r>
    </w:p>
    <w:p>
      <w:pPr>
        <w:spacing w:after="0" w:line="118" w:lineRule="exact"/>
        <w:rPr>
          <w:rFonts w:ascii="Arial" w:cs="Arial" w:eastAsia="Arial" w:hAnsi="Arial"/>
          <w:sz w:val="18"/>
          <w:szCs w:val="18"/>
          <w:color w:val="auto"/>
        </w:rPr>
      </w:pPr>
    </w:p>
    <w:p>
      <w:pPr>
        <w:ind w:left="2380" w:right="100" w:hanging="549"/>
        <w:spacing w:after="0" w:line="268" w:lineRule="auto"/>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Amended and Restated Employment Agreement with Mr. Paul Stebbins, President and Chief Operating Officer, dated January 3, 2001, effective as of August 1, 2000.</w:t>
      </w:r>
    </w:p>
    <w:p>
      <w:pPr>
        <w:spacing w:after="0" w:line="118" w:lineRule="exact"/>
        <w:rPr>
          <w:rFonts w:ascii="Arial" w:cs="Arial" w:eastAsia="Arial" w:hAnsi="Arial"/>
          <w:sz w:val="18"/>
          <w:szCs w:val="18"/>
          <w:color w:val="auto"/>
        </w:rPr>
      </w:pPr>
    </w:p>
    <w:p>
      <w:pPr>
        <w:ind w:left="1700" w:hanging="558"/>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Material contracts incorporated by reference to our Report on Form 10-Q filed February 8, 2002:</w:t>
      </w:r>
    </w:p>
    <w:p>
      <w:pPr>
        <w:spacing w:after="0" w:line="157" w:lineRule="exact"/>
        <w:rPr>
          <w:rFonts w:ascii="Arial" w:cs="Arial" w:eastAsia="Arial" w:hAnsi="Arial"/>
          <w:sz w:val="18"/>
          <w:szCs w:val="18"/>
          <w:color w:val="auto"/>
        </w:rPr>
      </w:pPr>
    </w:p>
    <w:p>
      <w:pPr>
        <w:ind w:left="2380" w:hanging="549"/>
        <w:spacing w:after="0" w:line="268" w:lineRule="auto"/>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Amended and Restated Employment Agreement with Mr. Michael Kasbar, Chief Executive Officer of the Marine Fuel Services segment, dated October 11, 2001.</w:t>
      </w:r>
    </w:p>
    <w:p>
      <w:pPr>
        <w:spacing w:after="0" w:line="118" w:lineRule="exact"/>
        <w:rPr>
          <w:rFonts w:ascii="Arial" w:cs="Arial" w:eastAsia="Arial" w:hAnsi="Arial"/>
          <w:sz w:val="18"/>
          <w:szCs w:val="18"/>
          <w:color w:val="auto"/>
        </w:rPr>
      </w:pPr>
    </w:p>
    <w:p>
      <w:pPr>
        <w:ind w:left="2380" w:right="140" w:hanging="549"/>
        <w:spacing w:after="0" w:line="268" w:lineRule="auto"/>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Credit Agreement, excluding schedules and exhibits as listed in the agreement, dated as of December 7, 2001, between World Fuel Services Corporation and LaSalle Bank National Association.</w:t>
      </w:r>
    </w:p>
    <w:p>
      <w:pPr>
        <w:spacing w:after="0" w:line="118" w:lineRule="exact"/>
        <w:rPr>
          <w:rFonts w:ascii="Arial" w:cs="Arial" w:eastAsia="Arial" w:hAnsi="Arial"/>
          <w:sz w:val="18"/>
          <w:szCs w:val="18"/>
          <w:color w:val="auto"/>
        </w:rPr>
      </w:pPr>
    </w:p>
    <w:p>
      <w:pPr>
        <w:ind w:left="1700" w:hanging="558"/>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Material contract filed with this Form 10-K:</w:t>
      </w:r>
    </w:p>
    <w:p>
      <w:pPr>
        <w:spacing w:after="0" w:line="157" w:lineRule="exact"/>
        <w:rPr>
          <w:rFonts w:ascii="Arial" w:cs="Arial" w:eastAsia="Arial" w:hAnsi="Arial"/>
          <w:sz w:val="18"/>
          <w:szCs w:val="18"/>
          <w:color w:val="auto"/>
        </w:rPr>
      </w:pPr>
    </w:p>
    <w:p>
      <w:pPr>
        <w:ind w:left="2380" w:right="60" w:hanging="549"/>
        <w:spacing w:after="0" w:line="268" w:lineRule="auto"/>
        <w:tabs>
          <w:tab w:leader="none" w:pos="238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First Amendment to Credit Agreement, dated as of May 15, 2002, between World Fuel Services Corporation and LaSalle Bank National Association.</w:t>
      </w:r>
    </w:p>
    <w:p>
      <w:pPr>
        <w:spacing w:after="0" w:line="118" w:lineRule="exact"/>
        <w:rPr>
          <w:sz w:val="20"/>
          <w:szCs w:val="20"/>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158" w:lineRule="exact"/>
        <w:rPr>
          <w:sz w:val="20"/>
          <w:szCs w:val="20"/>
          <w:color w:val="auto"/>
        </w:rPr>
      </w:pPr>
    </w:p>
    <w:p>
      <w:pPr>
        <w:ind w:left="1120" w:hanging="545"/>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Consent of Independent Certified Public Accountants.</w:t>
      </w:r>
    </w:p>
    <w:p>
      <w:pPr>
        <w:spacing w:after="0" w:line="157"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Current Report on Form 8-K was filed on March 26, 2002, under Item 4—Changes in Registrant’s Certifying Accountants. We changed our certifying accountants from Arthur Andersen LLP to PricewaterhouseCoopers LLP.</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680" w:type="dxa"/>
            <w:vAlign w:val="bottom"/>
            <w:gridSpan w:val="2"/>
          </w:tcPr>
          <w:p>
            <w:pPr>
              <w:ind w:left="21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F</w:t>
            </w:r>
            <w:r>
              <w:rPr>
                <w:rFonts w:ascii="Arial" w:cs="Arial" w:eastAsia="Arial" w:hAnsi="Arial"/>
                <w:sz w:val="14"/>
                <w:szCs w:val="14"/>
                <w:color w:val="auto"/>
              </w:rPr>
              <w:t>UEL</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C</w:t>
            </w:r>
            <w:r>
              <w:rPr>
                <w:rFonts w:ascii="Arial" w:cs="Arial" w:eastAsia="Arial" w:hAnsi="Arial"/>
                <w:sz w:val="14"/>
                <w:szCs w:val="14"/>
                <w:color w:val="auto"/>
              </w:rPr>
              <w:t>ORPORATION</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AUL</w:t>
            </w:r>
            <w:r>
              <w:rPr>
                <w:rFonts w:ascii="Arial" w:cs="Arial" w:eastAsia="Arial" w:hAnsi="Arial"/>
                <w:sz w:val="18"/>
                <w:szCs w:val="18"/>
                <w:color w:val="auto"/>
              </w:rPr>
              <w:t xml:space="preserve"> H. S</w:t>
            </w:r>
            <w:r>
              <w:rPr>
                <w:rFonts w:ascii="Arial" w:cs="Arial" w:eastAsia="Arial" w:hAnsi="Arial"/>
                <w:sz w:val="14"/>
                <w:szCs w:val="14"/>
                <w:color w:val="auto"/>
              </w:rPr>
              <w:t>TEBBINS</w:t>
            </w:r>
          </w:p>
        </w:tc>
      </w:tr>
      <w:tr>
        <w:trPr>
          <w:trHeight w:val="120"/>
        </w:trPr>
        <w:tc>
          <w:tcPr>
            <w:tcW w:w="37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r>
      <w:tr>
        <w:trPr>
          <w:trHeight w:val="266"/>
        </w:trPr>
        <w:tc>
          <w:tcPr>
            <w:tcW w:w="37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4"/>
                <w:szCs w:val="14"/>
                <w:b w:val="1"/>
                <w:bCs w:val="1"/>
                <w:color w:val="auto"/>
              </w:rPr>
              <w:t>Paul H. Stebbins, Director, President, and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-183515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p>
      <w:pPr>
        <w:ind w:left="20"/>
        <w:spacing w:after="0"/>
        <w:tabs>
          <w:tab w:leader="none" w:pos="640" w:val="left"/>
          <w:tab w:leader="none" w:pos="5820" w:val="left"/>
          <w:tab w:leader="none" w:pos="6500" w:val="left"/>
          <w:tab w:leader="none" w:pos="6860" w:val="left"/>
        </w:tabs>
        <w:rPr>
          <w:sz w:val="20"/>
          <w:szCs w:val="20"/>
          <w:color w:val="auto"/>
        </w:rPr>
      </w:pPr>
      <w:r>
        <w:rPr>
          <w:rFonts w:ascii="Arial" w:cs="Arial" w:eastAsia="Arial" w:hAnsi="Arial"/>
          <w:sz w:val="18"/>
          <w:szCs w:val="18"/>
          <w:color w:val="auto"/>
        </w:rPr>
        <w:t>Dated:</w:t>
        <w:tab/>
        <w:t>June 17,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ERROLD</w:t>
      </w:r>
      <w:r>
        <w:rPr>
          <w:rFonts w:ascii="Arial" w:cs="Arial" w:eastAsia="Arial" w:hAnsi="Arial"/>
          <w:sz w:val="16"/>
          <w:szCs w:val="16"/>
          <w:color w:val="auto"/>
        </w:rPr>
        <w:t xml:space="preserve"> B</w:t>
      </w:r>
      <w:r>
        <w:rPr>
          <w:rFonts w:ascii="Arial" w:cs="Arial" w:eastAsia="Arial" w:hAnsi="Arial"/>
          <w:sz w:val="13"/>
          <w:szCs w:val="13"/>
          <w:color w:val="auto"/>
        </w:rPr>
        <w:t>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28"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Jerrold Blair, Chairman of the Board of Directors and Chief Executive Officer</w:t>
      </w:r>
    </w:p>
    <w:p>
      <w:pPr>
        <w:spacing w:after="0" w:line="231" w:lineRule="exact"/>
        <w:rPr>
          <w:sz w:val="20"/>
          <w:szCs w:val="20"/>
          <w:color w:val="auto"/>
        </w:rPr>
      </w:pPr>
    </w:p>
    <w:p>
      <w:pPr>
        <w:ind w:left="20"/>
        <w:spacing w:after="0"/>
        <w:tabs>
          <w:tab w:leader="none" w:pos="640" w:val="left"/>
          <w:tab w:leader="none" w:pos="5820" w:val="left"/>
          <w:tab w:leader="none" w:pos="6500" w:val="left"/>
          <w:tab w:leader="none" w:pos="6860" w:val="left"/>
        </w:tabs>
        <w:rPr>
          <w:sz w:val="20"/>
          <w:szCs w:val="20"/>
          <w:color w:val="auto"/>
        </w:rPr>
      </w:pPr>
      <w:r>
        <w:rPr>
          <w:rFonts w:ascii="Arial" w:cs="Arial" w:eastAsia="Arial" w:hAnsi="Arial"/>
          <w:sz w:val="18"/>
          <w:szCs w:val="18"/>
          <w:color w:val="auto"/>
        </w:rPr>
        <w:t>Dated:</w:t>
        <w:tab/>
        <w:t>June 17,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xml:space="preserve"> H. S</w:t>
      </w:r>
      <w:r>
        <w:rPr>
          <w:rFonts w:ascii="Arial" w:cs="Arial" w:eastAsia="Arial" w:hAnsi="Arial"/>
          <w:sz w:val="13"/>
          <w:szCs w:val="13"/>
          <w:color w:val="auto"/>
        </w:rPr>
        <w:t>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28"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Paul H. Stebbins, Director, President, and Chief Operating Officer</w:t>
      </w:r>
    </w:p>
    <w:p>
      <w:pPr>
        <w:spacing w:after="0" w:line="208" w:lineRule="exact"/>
        <w:rPr>
          <w:sz w:val="20"/>
          <w:szCs w:val="20"/>
          <w:color w:val="auto"/>
        </w:rPr>
      </w:pPr>
    </w:p>
    <w:p>
      <w:pPr>
        <w:ind w:left="20"/>
        <w:spacing w:after="0"/>
        <w:tabs>
          <w:tab w:leader="none" w:pos="640" w:val="left"/>
          <w:tab w:leader="none" w:pos="5820" w:val="left"/>
          <w:tab w:leader="none" w:pos="6500" w:val="left"/>
          <w:tab w:leader="none" w:pos="6860" w:val="left"/>
        </w:tabs>
        <w:rPr>
          <w:sz w:val="20"/>
          <w:szCs w:val="20"/>
          <w:color w:val="auto"/>
        </w:rPr>
      </w:pPr>
      <w:r>
        <w:rPr>
          <w:rFonts w:ascii="Arial" w:cs="Arial" w:eastAsia="Arial" w:hAnsi="Arial"/>
          <w:sz w:val="18"/>
          <w:szCs w:val="18"/>
          <w:color w:val="auto"/>
        </w:rPr>
        <w:t>Dated:</w:t>
        <w:tab/>
        <w:t>June 17,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ARLOS</w:t>
      </w:r>
      <w:r>
        <w:rPr>
          <w:rFonts w:ascii="Arial" w:cs="Arial" w:eastAsia="Arial" w:hAnsi="Arial"/>
          <w:sz w:val="18"/>
          <w:szCs w:val="18"/>
          <w:color w:val="auto"/>
        </w:rPr>
        <w:t xml:space="preserve"> A. A</w:t>
      </w:r>
      <w:r>
        <w:rPr>
          <w:rFonts w:ascii="Arial" w:cs="Arial" w:eastAsia="Arial" w:hAnsi="Arial"/>
          <w:sz w:val="14"/>
          <w:szCs w:val="14"/>
          <w:color w:val="auto"/>
        </w:rPr>
        <w:t>BAUNZA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28"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Carlos A. Abaunza, Chief Financial Officer and Treasurer (Principal Financial and</w:t>
      </w:r>
    </w:p>
    <w:p>
      <w:pPr>
        <w:spacing w:after="0" w:line="24"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Accounting Officer)</w:t>
      </w:r>
    </w:p>
    <w:p>
      <w:pPr>
        <w:spacing w:after="0" w:line="195" w:lineRule="exact"/>
        <w:rPr>
          <w:sz w:val="20"/>
          <w:szCs w:val="20"/>
          <w:color w:val="auto"/>
        </w:rPr>
      </w:pPr>
    </w:p>
    <w:p>
      <w:pPr>
        <w:ind w:left="20"/>
        <w:spacing w:after="0"/>
        <w:tabs>
          <w:tab w:leader="none" w:pos="640" w:val="left"/>
          <w:tab w:leader="none" w:pos="5820" w:val="left"/>
          <w:tab w:leader="none" w:pos="6500" w:val="left"/>
          <w:tab w:leader="none" w:pos="6860" w:val="left"/>
        </w:tabs>
        <w:rPr>
          <w:sz w:val="20"/>
          <w:szCs w:val="20"/>
          <w:color w:val="auto"/>
        </w:rPr>
      </w:pPr>
      <w:r>
        <w:rPr>
          <w:rFonts w:ascii="Arial" w:cs="Arial" w:eastAsia="Arial" w:hAnsi="Arial"/>
          <w:sz w:val="18"/>
          <w:szCs w:val="18"/>
          <w:color w:val="auto"/>
        </w:rPr>
        <w:t>Dated:</w:t>
        <w:tab/>
        <w:t>June 17,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HILLIP</w:t>
      </w:r>
      <w:r>
        <w:rPr>
          <w:rFonts w:ascii="Arial" w:cs="Arial" w:eastAsia="Arial" w:hAnsi="Arial"/>
          <w:sz w:val="18"/>
          <w:szCs w:val="18"/>
          <w:color w:val="auto"/>
        </w:rPr>
        <w:t xml:space="preserve"> S.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28"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Phillip S. Bradley, Director and Chief Executive Officer of Aviation Fuel Services</w:t>
      </w:r>
    </w:p>
    <w:p>
      <w:pPr>
        <w:spacing w:after="0" w:line="231" w:lineRule="exact"/>
        <w:rPr>
          <w:sz w:val="20"/>
          <w:szCs w:val="20"/>
          <w:color w:val="auto"/>
        </w:rPr>
      </w:pPr>
    </w:p>
    <w:p>
      <w:pPr>
        <w:ind w:left="20"/>
        <w:spacing w:after="0"/>
        <w:tabs>
          <w:tab w:leader="none" w:pos="640" w:val="left"/>
          <w:tab w:leader="none" w:pos="5820" w:val="left"/>
          <w:tab w:leader="none" w:pos="6500" w:val="left"/>
          <w:tab w:leader="none" w:pos="6860" w:val="left"/>
        </w:tabs>
        <w:rPr>
          <w:sz w:val="20"/>
          <w:szCs w:val="20"/>
          <w:color w:val="auto"/>
        </w:rPr>
      </w:pPr>
      <w:r>
        <w:rPr>
          <w:rFonts w:ascii="Arial" w:cs="Arial" w:eastAsia="Arial" w:hAnsi="Arial"/>
          <w:sz w:val="18"/>
          <w:szCs w:val="18"/>
          <w:color w:val="auto"/>
        </w:rPr>
        <w:t>Dated:</w:t>
        <w:tab/>
        <w:t>June 17,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28" w:lineRule="exact"/>
        <w:rPr>
          <w:sz w:val="20"/>
          <w:szCs w:val="20"/>
          <w:color w:val="auto"/>
        </w:rPr>
      </w:pPr>
    </w:p>
    <w:p>
      <w:pPr>
        <w:ind w:left="6520"/>
        <w:spacing w:after="0"/>
        <w:rPr>
          <w:sz w:val="20"/>
          <w:szCs w:val="20"/>
          <w:color w:val="auto"/>
        </w:rPr>
      </w:pPr>
      <w:r>
        <w:rPr>
          <w:rFonts w:ascii="Arial" w:cs="Arial" w:eastAsia="Arial" w:hAnsi="Arial"/>
          <w:sz w:val="12"/>
          <w:szCs w:val="12"/>
          <w:b w:val="1"/>
          <w:bCs w:val="1"/>
          <w:color w:val="auto"/>
        </w:rPr>
        <w:t>Michael J. Kasbar, Director and Chief Executive Officer of Marine Fuel Services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3180" w:type="dxa"/>
            <w:vAlign w:val="bottom"/>
          </w:tcPr>
          <w:p>
            <w:pPr>
              <w:ind w:left="100"/>
              <w:spacing w:after="0"/>
              <w:rPr>
                <w:sz w:val="20"/>
                <w:szCs w:val="20"/>
                <w:color w:val="auto"/>
              </w:rPr>
            </w:pPr>
            <w:r>
              <w:rPr>
                <w:rFonts w:ascii="Arial" w:cs="Arial" w:eastAsia="Arial" w:hAnsi="Arial"/>
                <w:sz w:val="18"/>
                <w:szCs w:val="18"/>
                <w:color w:val="auto"/>
              </w:rPr>
              <w:t>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B</w:t>
            </w:r>
            <w:r>
              <w:rPr>
                <w:rFonts w:ascii="Arial" w:cs="Arial" w:eastAsia="Arial" w:hAnsi="Arial"/>
                <w:sz w:val="14"/>
                <w:szCs w:val="14"/>
                <w:color w:val="auto"/>
              </w:rPr>
              <w:t>ENBOW</w:t>
            </w:r>
          </w:p>
        </w:tc>
      </w:tr>
      <w:tr>
        <w:trPr>
          <w:trHeight w:val="120"/>
        </w:trPr>
        <w:tc>
          <w:tcPr>
            <w:tcW w:w="5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900" w:type="dxa"/>
            <w:vAlign w:val="bottom"/>
            <w:tcBorders>
              <w:bottom w:val="single" w:sz="8" w:color="auto"/>
            </w:tcBorders>
            <w:gridSpan w:val="2"/>
          </w:tcPr>
          <w:p>
            <w:pPr>
              <w:spacing w:after="0"/>
              <w:rPr>
                <w:sz w:val="10"/>
                <w:szCs w:val="10"/>
                <w:color w:val="auto"/>
              </w:rPr>
            </w:pPr>
          </w:p>
        </w:tc>
      </w:tr>
      <w:tr>
        <w:trPr>
          <w:trHeight w:val="266"/>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John R. Benbow, Director</w:t>
            </w:r>
          </w:p>
        </w:tc>
      </w:tr>
      <w:tr>
        <w:trPr>
          <w:trHeight w:val="417"/>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3180" w:type="dxa"/>
            <w:vAlign w:val="bottom"/>
          </w:tcPr>
          <w:p>
            <w:pPr>
              <w:ind w:left="100"/>
              <w:spacing w:after="0"/>
              <w:rPr>
                <w:sz w:val="20"/>
                <w:szCs w:val="20"/>
                <w:color w:val="auto"/>
              </w:rPr>
            </w:pPr>
            <w:r>
              <w:rPr>
                <w:rFonts w:ascii="Arial" w:cs="Arial" w:eastAsia="Arial" w:hAnsi="Arial"/>
                <w:sz w:val="18"/>
                <w:szCs w:val="18"/>
                <w:color w:val="auto"/>
              </w:rPr>
              <w:t>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ALPH</w:t>
            </w:r>
            <w:r>
              <w:rPr>
                <w:rFonts w:ascii="Arial" w:cs="Arial" w:eastAsia="Arial" w:hAnsi="Arial"/>
                <w:sz w:val="18"/>
                <w:szCs w:val="18"/>
                <w:color w:val="auto"/>
              </w:rPr>
              <w:t xml:space="preserve"> F</w:t>
            </w:r>
            <w:r>
              <w:rPr>
                <w:rFonts w:ascii="Arial" w:cs="Arial" w:eastAsia="Arial" w:hAnsi="Arial"/>
                <w:sz w:val="14"/>
                <w:szCs w:val="14"/>
                <w:color w:val="auto"/>
              </w:rPr>
              <w:t>EUERRING</w:t>
            </w:r>
          </w:p>
        </w:tc>
      </w:tr>
      <w:tr>
        <w:trPr>
          <w:trHeight w:val="120"/>
        </w:trPr>
        <w:tc>
          <w:tcPr>
            <w:tcW w:w="5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900" w:type="dxa"/>
            <w:vAlign w:val="bottom"/>
            <w:tcBorders>
              <w:bottom w:val="single" w:sz="8" w:color="auto"/>
            </w:tcBorders>
            <w:gridSpan w:val="2"/>
          </w:tcPr>
          <w:p>
            <w:pPr>
              <w:spacing w:after="0"/>
              <w:rPr>
                <w:sz w:val="10"/>
                <w:szCs w:val="10"/>
                <w:color w:val="auto"/>
              </w:rPr>
            </w:pPr>
          </w:p>
        </w:tc>
      </w:tr>
      <w:tr>
        <w:trPr>
          <w:trHeight w:val="266"/>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Ralph Feuerring, Director</w:t>
            </w:r>
          </w:p>
        </w:tc>
      </w:tr>
      <w:tr>
        <w:trPr>
          <w:trHeight w:val="417"/>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3180" w:type="dxa"/>
            <w:vAlign w:val="bottom"/>
          </w:tcPr>
          <w:p>
            <w:pPr>
              <w:ind w:left="100"/>
              <w:spacing w:after="0"/>
              <w:rPr>
                <w:sz w:val="20"/>
                <w:szCs w:val="20"/>
                <w:color w:val="auto"/>
              </w:rPr>
            </w:pPr>
            <w:r>
              <w:rPr>
                <w:rFonts w:ascii="Arial" w:cs="Arial" w:eastAsia="Arial" w:hAnsi="Arial"/>
                <w:sz w:val="18"/>
                <w:szCs w:val="18"/>
                <w:color w:val="auto"/>
              </w:rPr>
              <w:t>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YLES</w:t>
            </w:r>
            <w:r>
              <w:rPr>
                <w:rFonts w:ascii="Arial" w:cs="Arial" w:eastAsia="Arial" w:hAnsi="Arial"/>
                <w:sz w:val="18"/>
                <w:szCs w:val="18"/>
                <w:color w:val="auto"/>
              </w:rPr>
              <w:t xml:space="preserve"> K</w:t>
            </w:r>
            <w:r>
              <w:rPr>
                <w:rFonts w:ascii="Arial" w:cs="Arial" w:eastAsia="Arial" w:hAnsi="Arial"/>
                <w:sz w:val="14"/>
                <w:szCs w:val="14"/>
                <w:color w:val="auto"/>
              </w:rPr>
              <w:t>LEIN</w:t>
            </w:r>
          </w:p>
        </w:tc>
      </w:tr>
      <w:tr>
        <w:trPr>
          <w:trHeight w:val="120"/>
        </w:trPr>
        <w:tc>
          <w:tcPr>
            <w:tcW w:w="5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900" w:type="dxa"/>
            <w:vAlign w:val="bottom"/>
            <w:tcBorders>
              <w:bottom w:val="single" w:sz="8" w:color="auto"/>
            </w:tcBorders>
            <w:gridSpan w:val="2"/>
          </w:tcPr>
          <w:p>
            <w:pPr>
              <w:spacing w:after="0"/>
              <w:rPr>
                <w:sz w:val="10"/>
                <w:szCs w:val="10"/>
                <w:color w:val="auto"/>
              </w:rPr>
            </w:pPr>
          </w:p>
        </w:tc>
      </w:tr>
      <w:tr>
        <w:trPr>
          <w:trHeight w:val="266"/>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Myles Klein, Director</w:t>
            </w:r>
          </w:p>
        </w:tc>
      </w:tr>
      <w:tr>
        <w:trPr>
          <w:trHeight w:val="417"/>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3180" w:type="dxa"/>
            <w:vAlign w:val="bottom"/>
          </w:tcPr>
          <w:p>
            <w:pPr>
              <w:ind w:left="100"/>
              <w:spacing w:after="0"/>
              <w:rPr>
                <w:sz w:val="20"/>
                <w:szCs w:val="20"/>
                <w:color w:val="auto"/>
              </w:rPr>
            </w:pPr>
            <w:r>
              <w:rPr>
                <w:rFonts w:ascii="Arial" w:cs="Arial" w:eastAsia="Arial" w:hAnsi="Arial"/>
                <w:sz w:val="18"/>
                <w:szCs w:val="18"/>
                <w:color w:val="auto"/>
              </w:rPr>
              <w:t>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EROME</w:t>
            </w:r>
            <w:r>
              <w:rPr>
                <w:rFonts w:ascii="Arial" w:cs="Arial" w:eastAsia="Arial" w:hAnsi="Arial"/>
                <w:sz w:val="18"/>
                <w:szCs w:val="18"/>
                <w:color w:val="auto"/>
              </w:rPr>
              <w:t xml:space="preserve"> S</w:t>
            </w:r>
            <w:r>
              <w:rPr>
                <w:rFonts w:ascii="Arial" w:cs="Arial" w:eastAsia="Arial" w:hAnsi="Arial"/>
                <w:sz w:val="14"/>
                <w:szCs w:val="14"/>
                <w:color w:val="auto"/>
              </w:rPr>
              <w:t>IDEL</w:t>
            </w:r>
          </w:p>
        </w:tc>
      </w:tr>
      <w:tr>
        <w:trPr>
          <w:trHeight w:val="120"/>
        </w:trPr>
        <w:tc>
          <w:tcPr>
            <w:tcW w:w="5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900" w:type="dxa"/>
            <w:vAlign w:val="bottom"/>
            <w:tcBorders>
              <w:bottom w:val="single" w:sz="8" w:color="auto"/>
            </w:tcBorders>
            <w:gridSpan w:val="2"/>
          </w:tcPr>
          <w:p>
            <w:pPr>
              <w:spacing w:after="0"/>
              <w:rPr>
                <w:sz w:val="10"/>
                <w:szCs w:val="10"/>
                <w:color w:val="auto"/>
              </w:rPr>
            </w:pPr>
          </w:p>
        </w:tc>
      </w:tr>
      <w:tr>
        <w:trPr>
          <w:trHeight w:val="266"/>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Jerome Sidel, Director</w:t>
            </w:r>
          </w:p>
        </w:tc>
      </w:tr>
      <w:tr>
        <w:trPr>
          <w:trHeight w:val="417"/>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3180" w:type="dxa"/>
            <w:vAlign w:val="bottom"/>
          </w:tcPr>
          <w:p>
            <w:pPr>
              <w:ind w:left="100"/>
              <w:spacing w:after="0"/>
              <w:rPr>
                <w:sz w:val="20"/>
                <w:szCs w:val="20"/>
                <w:color w:val="auto"/>
              </w:rPr>
            </w:pPr>
            <w:r>
              <w:rPr>
                <w:rFonts w:ascii="Arial" w:cs="Arial" w:eastAsia="Arial" w:hAnsi="Arial"/>
                <w:sz w:val="18"/>
                <w:szCs w:val="18"/>
                <w:color w:val="auto"/>
              </w:rPr>
              <w:t>June 17, 2002</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UIS</w:t>
            </w:r>
            <w:r>
              <w:rPr>
                <w:rFonts w:ascii="Arial" w:cs="Arial" w:eastAsia="Arial" w:hAnsi="Arial"/>
                <w:sz w:val="18"/>
                <w:szCs w:val="18"/>
                <w:color w:val="auto"/>
              </w:rPr>
              <w:t xml:space="preserve"> R. T</w:t>
            </w:r>
            <w:r>
              <w:rPr>
                <w:rFonts w:ascii="Arial" w:cs="Arial" w:eastAsia="Arial" w:hAnsi="Arial"/>
                <w:sz w:val="14"/>
                <w:szCs w:val="14"/>
                <w:color w:val="auto"/>
              </w:rPr>
              <w:t>INOCO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-2017395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-2017395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-1494790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-1494790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-971550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-971550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-448310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-448310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67945</wp:posOffset>
            </wp:positionV>
            <wp:extent cx="311721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12"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Luis R. Tinoco,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World Fuel Services Corporation:</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our opinion, the consolidated financial statements listed in the index appearing under item 14(a)(1) on page 28 present fairly, in all material respects, the financial position of World Fuel Services Corporation and subsidiaries (the “Company”) at March 31, 2002, and the results of their operations and their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05"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21, 2002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World Fuel Services Corporation:</w:t>
      </w:r>
    </w:p>
    <w:p>
      <w:pPr>
        <w:spacing w:after="0" w:line="15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World Fuel Services Corporation (a Florida corporation) and subsidiaries as of March 31, 2001 and 2000, and the related consolidated statements of income, stockholders’ equity and cash flows for each of the three years in the period ended March 31, 2001.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9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World Fuel Services Corporation and subsidiaries as of March 31, 2001 and 2000, and the results of their operations and their cash flows for each of the three years in the period ended March 31, 2001 in conformity with accounting principles generally accepted in the United States.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audits were made for the purpose of forming an opinion on the basic financial statements taken as a whole. Schedule II is presented for purposes of complying with the Securities and Exchange Commission’s rules and is not a required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3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A</w:t>
      </w:r>
      <w:r>
        <w:rPr>
          <w:rFonts w:ascii="Arial" w:cs="Arial" w:eastAsia="Arial" w:hAnsi="Arial"/>
          <w:sz w:val="13"/>
          <w:szCs w:val="13"/>
          <w:color w:val="auto"/>
        </w:rPr>
        <w:t>NDERSEN</w:t>
      </w:r>
      <w:r>
        <w:rPr>
          <w:rFonts w:ascii="Arial" w:cs="Arial" w:eastAsia="Arial" w:hAnsi="Arial"/>
          <w:sz w:val="16"/>
          <w:szCs w:val="16"/>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30, 2001.</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Report of Independent Certified Public Accountants is a copy of a previously issued Arthur Andersen LLP (“Andersen”) report and has not been reissued by Andersen. The inclusion of this previously issued Andersen report is pursuant to the “Temporary Final Rule and Final Rule: Requirements for Arthur Andersen LLP Auditing Clients,” issued by the U.S Securities and Exchange Commission in March 2002. Note that this previously issued Andersen report includes references to certain fiscal years, which are not required to be presented in the accompanying consolidated financial statements as of and for the years ended March 31, 2002. In addition, this previously issued Andersen report includes reference to Schedule II, which was omitted in the current fiscal year since the required information is set forth in Note 1 to the accompanying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31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36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5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9360" w:type="dxa"/>
            <w:vAlign w:val="bottom"/>
            <w:vMerge w:val="restart"/>
          </w:tcPr>
          <w:p>
            <w:pPr>
              <w:jc w:val="center"/>
              <w:ind w:right="252"/>
              <w:spacing w:after="0"/>
              <w:rPr>
                <w:sz w:val="20"/>
                <w:szCs w:val="20"/>
                <w:color w:val="auto"/>
              </w:rPr>
            </w:pPr>
            <w:r>
              <w:rPr>
                <w:rFonts w:ascii="Arial" w:cs="Arial" w:eastAsia="Arial" w:hAnsi="Arial"/>
                <w:sz w:val="18"/>
                <w:szCs w:val="18"/>
                <w:b w:val="1"/>
                <w:bCs w:val="1"/>
                <w:color w:val="auto"/>
                <w:w w:val="91"/>
              </w:rPr>
              <w:t>ASSETS</w:t>
            </w:r>
          </w:p>
        </w:tc>
        <w:tc>
          <w:tcPr>
            <w:tcW w:w="9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0" w:type="dxa"/>
            <w:vAlign w:val="bottom"/>
          </w:tcPr>
          <w:p>
            <w:pPr>
              <w:spacing w:after="0"/>
              <w:rPr>
                <w:sz w:val="19"/>
                <w:szCs w:val="19"/>
                <w:color w:val="auto"/>
              </w:rPr>
            </w:pPr>
          </w:p>
        </w:tc>
        <w:tc>
          <w:tcPr>
            <w:tcW w:w="75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60" w:type="dxa"/>
            <w:vAlign w:val="bottom"/>
          </w:tcPr>
          <w:p>
            <w:pPr>
              <w:ind w:left="380"/>
              <w:spacing w:after="0"/>
              <w:rPr>
                <w:sz w:val="20"/>
                <w:szCs w:val="20"/>
                <w:color w:val="auto"/>
              </w:rPr>
            </w:pPr>
            <w:r>
              <w:rPr>
                <w:rFonts w:ascii="Arial" w:cs="Arial" w:eastAsia="Arial" w:hAnsi="Arial"/>
                <w:sz w:val="18"/>
                <w:szCs w:val="18"/>
                <w:color w:val="auto"/>
              </w:rPr>
              <w:t>Accounts and notes receivable, net allowance for bad debts</w:t>
            </w:r>
          </w:p>
        </w:tc>
        <w:tc>
          <w:tcPr>
            <w:tcW w:w="9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jc w:val="center"/>
              <w:ind w:right="3532"/>
              <w:spacing w:after="0"/>
              <w:rPr>
                <w:sz w:val="20"/>
                <w:szCs w:val="20"/>
                <w:color w:val="auto"/>
              </w:rPr>
            </w:pPr>
            <w:r>
              <w:rPr>
                <w:rFonts w:ascii="Arial" w:cs="Arial" w:eastAsia="Arial" w:hAnsi="Arial"/>
                <w:sz w:val="18"/>
                <w:szCs w:val="18"/>
                <w:color w:val="auto"/>
                <w:w w:val="87"/>
              </w:rPr>
              <w:t>of $11,012 and $11,167 at March 31, 2002 and 2001, respectively</w:t>
            </w:r>
          </w:p>
        </w:tc>
        <w:tc>
          <w:tcPr>
            <w:tcW w:w="9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132,586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125,863</w:t>
            </w: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20,162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90" w:type="dxa"/>
            <w:vAlign w:val="bottom"/>
          </w:tcPr>
          <w:p>
            <w:pPr>
              <w:spacing w:after="0"/>
              <w:rPr>
                <w:sz w:val="9"/>
                <w:szCs w:val="9"/>
                <w:color w:val="auto"/>
              </w:rPr>
            </w:pPr>
          </w:p>
        </w:tc>
        <w:tc>
          <w:tcPr>
            <w:tcW w:w="75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w:t>
            </w: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Leasehold and improvements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60" w:type="dxa"/>
            <w:vAlign w:val="bottom"/>
          </w:tcPr>
          <w:p>
            <w:pPr>
              <w:ind w:left="380"/>
              <w:spacing w:after="0"/>
              <w:rPr>
                <w:sz w:val="20"/>
                <w:szCs w:val="20"/>
                <w:color w:val="auto"/>
              </w:rPr>
            </w:pPr>
            <w:r>
              <w:rPr>
                <w:rFonts w:ascii="Arial" w:cs="Arial" w:eastAsia="Arial" w:hAnsi="Arial"/>
                <w:sz w:val="18"/>
                <w:szCs w:val="18"/>
                <w:color w:val="auto"/>
              </w:rPr>
              <w:t>Office equipment, computer equipment and software, including $1,101</w:t>
            </w:r>
          </w:p>
        </w:tc>
        <w:tc>
          <w:tcPr>
            <w:tcW w:w="9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jc w:val="center"/>
              <w:ind w:right="3552"/>
              <w:spacing w:after="0"/>
              <w:rPr>
                <w:sz w:val="20"/>
                <w:szCs w:val="20"/>
                <w:color w:val="auto"/>
              </w:rPr>
            </w:pPr>
            <w:r>
              <w:rPr>
                <w:rFonts w:ascii="Arial" w:cs="Arial" w:eastAsia="Arial" w:hAnsi="Arial"/>
                <w:sz w:val="18"/>
                <w:szCs w:val="18"/>
                <w:color w:val="auto"/>
                <w:w w:val="88"/>
              </w:rPr>
              <w:t>of computer software development in progress at March 31, 2001</w:t>
            </w:r>
          </w:p>
        </w:tc>
        <w:tc>
          <w:tcPr>
            <w:tcW w:w="9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11,754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120"/>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12,056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11,261</w:t>
            </w: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5,618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120"/>
        </w:trPr>
        <w:tc>
          <w:tcPr>
            <w:tcW w:w="9360" w:type="dxa"/>
            <w:vAlign w:val="bottom"/>
            <w:vMerge w:val="restart"/>
          </w:tcPr>
          <w:p>
            <w:pPr>
              <w:ind w:left="20"/>
              <w:spacing w:after="0"/>
              <w:rPr>
                <w:sz w:val="20"/>
                <w:szCs w:val="20"/>
                <w:color w:val="auto"/>
              </w:rPr>
            </w:pPr>
            <w:r>
              <w:rPr>
                <w:rFonts w:ascii="Arial" w:cs="Arial" w:eastAsia="Arial" w:hAnsi="Arial"/>
                <w:sz w:val="18"/>
                <w:szCs w:val="18"/>
                <w:color w:val="auto"/>
              </w:rPr>
              <w:t>Other assets:</w:t>
            </w: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Goodwill, net of amortization of $3,490</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Identifiable intangible asset, net of amortization of $92</w:t>
            </w:r>
          </w:p>
        </w:tc>
        <w:tc>
          <w:tcPr>
            <w:tcW w:w="9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1,748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50" w:type="dxa"/>
            <w:vAlign w:val="bottom"/>
          </w:tcPr>
          <w:p>
            <w:pPr>
              <w:jc w:val="right"/>
              <w:spacing w:after="0"/>
              <w:rPr>
                <w:sz w:val="20"/>
                <w:szCs w:val="20"/>
                <w:color w:val="auto"/>
              </w:rPr>
            </w:pPr>
            <w:r>
              <w:rPr>
                <w:rFonts w:ascii="Arial" w:cs="Arial" w:eastAsia="Arial" w:hAnsi="Arial"/>
                <w:sz w:val="18"/>
                <w:szCs w:val="18"/>
                <w:color w:val="auto"/>
              </w:rPr>
              <w:t>257,923</w:t>
            </w:r>
          </w:p>
        </w:tc>
        <w:tc>
          <w:tcPr>
            <w:tcW w:w="3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222,165</w:t>
            </w:r>
          </w:p>
        </w:tc>
        <w:tc>
          <w:tcPr>
            <w:tcW w:w="0" w:type="dxa"/>
            <w:vAlign w:val="bottom"/>
          </w:tcPr>
          <w:p>
            <w:pPr>
              <w:spacing w:after="0"/>
              <w:rPr>
                <w:sz w:val="1"/>
                <w:szCs w:val="1"/>
                <w:color w:val="auto"/>
              </w:rPr>
            </w:pPr>
          </w:p>
        </w:tc>
      </w:tr>
      <w:tr>
        <w:trPr>
          <w:trHeight w:val="107"/>
        </w:trPr>
        <w:tc>
          <w:tcPr>
            <w:tcW w:w="9360" w:type="dxa"/>
            <w:vAlign w:val="bottom"/>
            <w:vMerge w:val="restart"/>
          </w:tcPr>
          <w:p>
            <w:pPr>
              <w:jc w:val="center"/>
              <w:ind w:right="232"/>
              <w:spacing w:after="0"/>
              <w:rPr>
                <w:sz w:val="20"/>
                <w:szCs w:val="20"/>
                <w:color w:val="auto"/>
              </w:rPr>
            </w:pPr>
            <w:r>
              <w:rPr>
                <w:rFonts w:ascii="Arial" w:cs="Arial" w:eastAsia="Arial" w:hAnsi="Arial"/>
                <w:sz w:val="18"/>
                <w:szCs w:val="18"/>
                <w:b w:val="1"/>
                <w:bCs w:val="1"/>
                <w:color w:val="auto"/>
              </w:rPr>
              <w:t>LIABILITIES</w:t>
            </w:r>
          </w:p>
        </w:tc>
        <w:tc>
          <w:tcPr>
            <w:tcW w:w="90" w:type="dxa"/>
            <w:vAlign w:val="bottom"/>
          </w:tcPr>
          <w:p>
            <w:pPr>
              <w:spacing w:after="0"/>
              <w:rPr>
                <w:sz w:val="9"/>
                <w:szCs w:val="9"/>
                <w:color w:val="auto"/>
              </w:rPr>
            </w:pPr>
          </w:p>
        </w:tc>
        <w:tc>
          <w:tcPr>
            <w:tcW w:w="75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vMerge w:val="continue"/>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0" w:type="dxa"/>
            <w:vAlign w:val="bottom"/>
          </w:tcPr>
          <w:p>
            <w:pPr>
              <w:spacing w:after="0"/>
              <w:rPr>
                <w:sz w:val="19"/>
                <w:szCs w:val="19"/>
                <w:color w:val="auto"/>
              </w:rPr>
            </w:pPr>
          </w:p>
        </w:tc>
        <w:tc>
          <w:tcPr>
            <w:tcW w:w="75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82,904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9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3,819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salaries and wages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9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4,151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90" w:type="dxa"/>
            <w:vAlign w:val="bottom"/>
          </w:tcPr>
          <w:p>
            <w:pPr>
              <w:spacing w:after="0"/>
              <w:rPr>
                <w:sz w:val="9"/>
                <w:szCs w:val="9"/>
                <w:color w:val="auto"/>
              </w:rPr>
            </w:pPr>
          </w:p>
        </w:tc>
        <w:tc>
          <w:tcPr>
            <w:tcW w:w="75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90" w:type="dxa"/>
            <w:vAlign w:val="bottom"/>
          </w:tcPr>
          <w:p>
            <w:pPr>
              <w:spacing w:after="0"/>
              <w:rPr>
                <w:sz w:val="9"/>
                <w:szCs w:val="9"/>
                <w:color w:val="auto"/>
              </w:rPr>
            </w:pPr>
          </w:p>
        </w:tc>
        <w:tc>
          <w:tcPr>
            <w:tcW w:w="75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141,484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118,305</w:t>
            </w:r>
          </w:p>
        </w:tc>
        <w:tc>
          <w:tcPr>
            <w:tcW w:w="0" w:type="dxa"/>
            <w:vAlign w:val="bottom"/>
          </w:tcPr>
          <w:p>
            <w:pPr>
              <w:spacing w:after="0"/>
              <w:rPr>
                <w:sz w:val="1"/>
                <w:szCs w:val="1"/>
                <w:color w:val="auto"/>
              </w:rPr>
            </w:pPr>
          </w:p>
        </w:tc>
      </w:tr>
      <w:tr>
        <w:trPr>
          <w:trHeight w:val="120"/>
        </w:trPr>
        <w:tc>
          <w:tcPr>
            <w:tcW w:w="9360" w:type="dxa"/>
            <w:vAlign w:val="bottom"/>
            <w:vMerge w:val="restart"/>
          </w:tcPr>
          <w:p>
            <w:pPr>
              <w:ind w:left="20"/>
              <w:spacing w:after="0"/>
              <w:rPr>
                <w:sz w:val="20"/>
                <w:szCs w:val="20"/>
                <w:color w:val="auto"/>
              </w:rPr>
            </w:pPr>
            <w:r>
              <w:rPr>
                <w:rFonts w:ascii="Arial" w:cs="Arial" w:eastAsia="Arial" w:hAnsi="Arial"/>
                <w:sz w:val="18"/>
                <w:szCs w:val="18"/>
                <w:color w:val="auto"/>
              </w:rPr>
              <w:t>Commitments and contingencies</w:t>
            </w: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60" w:type="dxa"/>
            <w:vAlign w:val="bottom"/>
          </w:tcPr>
          <w:p>
            <w:pPr>
              <w:jc w:val="center"/>
              <w:ind w:right="252"/>
              <w:spacing w:after="0"/>
              <w:rPr>
                <w:sz w:val="20"/>
                <w:szCs w:val="20"/>
                <w:color w:val="auto"/>
              </w:rPr>
            </w:pPr>
            <w:r>
              <w:rPr>
                <w:rFonts w:ascii="Arial" w:cs="Arial" w:eastAsia="Arial" w:hAnsi="Arial"/>
                <w:sz w:val="18"/>
                <w:szCs w:val="18"/>
                <w:b w:val="1"/>
                <w:bCs w:val="1"/>
                <w:color w:val="auto"/>
                <w:w w:val="99"/>
              </w:rPr>
              <w:t>STOCKHOLDERS' EQUITY</w:t>
            </w: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$1.00 par value; shares of 100 authorized, none issued</w:t>
            </w:r>
          </w:p>
        </w:tc>
        <w:tc>
          <w:tcPr>
            <w:tcW w:w="9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4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60" w:type="dxa"/>
            <w:vAlign w:val="bottom"/>
          </w:tcPr>
          <w:p>
            <w:pPr>
              <w:ind w:left="20"/>
              <w:spacing w:after="0"/>
              <w:rPr>
                <w:sz w:val="20"/>
                <w:szCs w:val="20"/>
                <w:color w:val="auto"/>
              </w:rPr>
            </w:pPr>
            <w:r>
              <w:rPr>
                <w:rFonts w:ascii="Arial" w:cs="Arial" w:eastAsia="Arial" w:hAnsi="Arial"/>
                <w:sz w:val="18"/>
                <w:szCs w:val="18"/>
                <w:color w:val="auto"/>
              </w:rPr>
              <w:t>Common stock, $0.01 par value; shares of 25,000 authorized, shares of 12,765</w:t>
            </w:r>
          </w:p>
        </w:tc>
        <w:tc>
          <w:tcPr>
            <w:tcW w:w="9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jc w:val="center"/>
              <w:ind w:right="3512"/>
              <w:spacing w:after="0"/>
              <w:rPr>
                <w:sz w:val="20"/>
                <w:szCs w:val="20"/>
                <w:color w:val="auto"/>
              </w:rPr>
            </w:pPr>
            <w:r>
              <w:rPr>
                <w:rFonts w:ascii="Arial" w:cs="Arial" w:eastAsia="Arial" w:hAnsi="Arial"/>
                <w:sz w:val="18"/>
                <w:szCs w:val="18"/>
                <w:color w:val="auto"/>
                <w:w w:val="87"/>
              </w:rPr>
              <w:t>and 12,541 issued and outstanding at March 31, 2002 and 2001, respectively</w:t>
            </w:r>
          </w:p>
        </w:tc>
        <w:tc>
          <w:tcPr>
            <w:tcW w:w="9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9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106,841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stock, at cost; shares of 2,388 and 2,138 at</w:t>
            </w:r>
          </w:p>
        </w:tc>
        <w:tc>
          <w:tcPr>
            <w:tcW w:w="9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2002 and 2001, respectively</w:t>
            </w:r>
          </w:p>
        </w:tc>
        <w:tc>
          <w:tcPr>
            <w:tcW w:w="90" w:type="dxa"/>
            <w:vAlign w:val="bottom"/>
            <w:shd w:val="clear" w:color="auto" w:fill="CCEEFF"/>
          </w:tcPr>
          <w:p>
            <w:pPr>
              <w:spacing w:after="0"/>
              <w:rPr>
                <w:sz w:val="19"/>
                <w:szCs w:val="19"/>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116,439</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103,860</w:t>
            </w:r>
          </w:p>
        </w:tc>
        <w:tc>
          <w:tcPr>
            <w:tcW w:w="0" w:type="dxa"/>
            <w:vAlign w:val="bottom"/>
          </w:tcPr>
          <w:p>
            <w:pPr>
              <w:spacing w:after="0"/>
              <w:rPr>
                <w:sz w:val="1"/>
                <w:szCs w:val="1"/>
                <w:color w:val="auto"/>
              </w:rPr>
            </w:pPr>
          </w:p>
        </w:tc>
      </w:tr>
      <w:tr>
        <w:trPr>
          <w:trHeight w:val="120"/>
        </w:trPr>
        <w:tc>
          <w:tcPr>
            <w:tcW w:w="93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50" w:type="dxa"/>
            <w:vAlign w:val="bottom"/>
          </w:tcPr>
          <w:p>
            <w:pPr>
              <w:jc w:val="right"/>
              <w:spacing w:after="0"/>
              <w:rPr>
                <w:sz w:val="20"/>
                <w:szCs w:val="20"/>
                <w:color w:val="auto"/>
              </w:rPr>
            </w:pPr>
            <w:r>
              <w:rPr>
                <w:rFonts w:ascii="Arial" w:cs="Arial" w:eastAsia="Arial" w:hAnsi="Arial"/>
                <w:sz w:val="18"/>
                <w:szCs w:val="18"/>
                <w:color w:val="auto"/>
              </w:rPr>
              <w:t>257,923</w:t>
            </w:r>
          </w:p>
        </w:tc>
        <w:tc>
          <w:tcPr>
            <w:tcW w:w="3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222,165</w:t>
            </w:r>
          </w:p>
        </w:tc>
        <w:tc>
          <w:tcPr>
            <w:tcW w:w="0" w:type="dxa"/>
            <w:vAlign w:val="bottom"/>
          </w:tcPr>
          <w:p>
            <w:pPr>
              <w:spacing w:after="0"/>
              <w:rPr>
                <w:sz w:val="1"/>
                <w:szCs w:val="1"/>
                <w:color w:val="auto"/>
              </w:rPr>
            </w:pPr>
          </w:p>
        </w:tc>
      </w:tr>
      <w:tr>
        <w:trPr>
          <w:trHeight w:val="107"/>
        </w:trPr>
        <w:tc>
          <w:tcPr>
            <w:tcW w:w="9360" w:type="dxa"/>
            <w:vAlign w:val="bottom"/>
            <w:vMerge w:val="restart"/>
          </w:tcPr>
          <w:p>
            <w:pPr>
              <w:ind w:left="2640"/>
              <w:spacing w:after="0"/>
              <w:rPr>
                <w:sz w:val="20"/>
                <w:szCs w:val="20"/>
                <w:color w:val="auto"/>
              </w:rPr>
            </w:pPr>
            <w:r>
              <w:rPr>
                <w:rFonts w:ascii="Arial" w:cs="Arial" w:eastAsia="Arial" w:hAnsi="Arial"/>
                <w:sz w:val="18"/>
                <w:szCs w:val="18"/>
                <w:color w:val="auto"/>
                <w:w w:val="95"/>
              </w:rPr>
              <w:t>The accompanying notes are an integral part of these consolidated financial statements.</w:t>
            </w:r>
          </w:p>
        </w:tc>
        <w:tc>
          <w:tcPr>
            <w:tcW w:w="90" w:type="dxa"/>
            <w:vAlign w:val="bottom"/>
          </w:tcPr>
          <w:p>
            <w:pPr>
              <w:spacing w:after="0"/>
              <w:rPr>
                <w:sz w:val="9"/>
                <w:szCs w:val="9"/>
                <w:color w:val="auto"/>
              </w:rPr>
            </w:pPr>
          </w:p>
        </w:tc>
        <w:tc>
          <w:tcPr>
            <w:tcW w:w="75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vMerge w:val="continue"/>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936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-8492490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-8492490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-8243570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-8243570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-8243570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-8243570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-7129145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-7129145</wp:posOffset>
            </wp:positionV>
            <wp:extent cx="215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-7129145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-7129145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-7129145</wp:posOffset>
            </wp:positionV>
            <wp:extent cx="215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-7129145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-6837045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-6837045</wp:posOffset>
            </wp:positionV>
            <wp:extent cx="215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-6837045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-6837045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-6837045</wp:posOffset>
            </wp:positionV>
            <wp:extent cx="215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-6837045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-6134100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-6134100</wp:posOffset>
            </wp:positionV>
            <wp:extent cx="215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-6134100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-6134100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-6134100</wp:posOffset>
            </wp:positionV>
            <wp:extent cx="215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-6134100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-5705475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-5705475</wp:posOffset>
            </wp:positionV>
            <wp:extent cx="215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-5705475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-5705475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-5705475</wp:posOffset>
            </wp:positionV>
            <wp:extent cx="215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-5705475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-5414010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-5414010</wp:posOffset>
            </wp:positionV>
            <wp:extent cx="215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-5414010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-5414010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-5414010</wp:posOffset>
            </wp:positionV>
            <wp:extent cx="215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-5414010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-4710430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-4710430</wp:posOffset>
            </wp:positionV>
            <wp:extent cx="215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-4710430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-4710430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-4710430</wp:posOffset>
            </wp:positionV>
            <wp:extent cx="215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-4710430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-3149600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-3149600</wp:posOffset>
            </wp:positionV>
            <wp:extent cx="215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-3149600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-3149600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-3149600</wp:posOffset>
            </wp:positionV>
            <wp:extent cx="215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-3149600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-2858135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-2858135</wp:posOffset>
            </wp:positionV>
            <wp:extent cx="215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-2858135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-2858135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-2858135</wp:posOffset>
            </wp:positionV>
            <wp:extent cx="215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-2858135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-2566670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-2566670</wp:posOffset>
            </wp:positionV>
            <wp:extent cx="215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-2566670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-2566670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-2566670</wp:posOffset>
            </wp:positionV>
            <wp:extent cx="215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-2566670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-2275205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-2275205</wp:posOffset>
            </wp:positionV>
            <wp:extent cx="215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-2275205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-2275205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-2275205</wp:posOffset>
            </wp:positionV>
            <wp:extent cx="215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-817245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-817245</wp:posOffset>
            </wp:positionV>
            <wp:extent cx="215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-817245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-817245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-817245</wp:posOffset>
            </wp:positionV>
            <wp:extent cx="215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-817245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-525780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-525780</wp:posOffset>
            </wp:positionV>
            <wp:extent cx="215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-525780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-525780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-525780</wp:posOffset>
            </wp:positionV>
            <wp:extent cx="215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-525780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9" w:right="239" w:bottom="306"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306"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For the Year Ended March 31,</w:t>
            </w:r>
          </w:p>
        </w:tc>
        <w:tc>
          <w:tcPr>
            <w:tcW w:w="110" w:type="dxa"/>
            <w:vAlign w:val="bottom"/>
          </w:tcPr>
          <w:p>
            <w:pPr>
              <w:spacing w:after="0"/>
              <w:rPr>
                <w:sz w:val="15"/>
                <w:szCs w:val="15"/>
                <w:color w:val="auto"/>
              </w:rPr>
            </w:pPr>
          </w:p>
        </w:tc>
        <w:tc>
          <w:tcPr>
            <w:tcW w:w="8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jc w:val="right"/>
              <w:ind w:right="27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1,288,891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1,457,500</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1,136,052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Salaries and wages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Executive severance charge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3,505</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for bad debts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3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20,442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19,877</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54,885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57,590</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57,327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vMerge w:val="restart"/>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Earnings(losses) from aviation joint ventures,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4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Non-recurring credit(charge) in aviation and marine segment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2"/>
        </w:trPr>
        <w:tc>
          <w:tcPr>
            <w:tcW w:w="752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9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2,191</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gridSpan w:val="2"/>
          </w:tcPr>
          <w:p>
            <w:pPr>
              <w:jc w:val="right"/>
              <w:ind w:right="4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120"/>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4,557</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 of oil-recycling segment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300"/>
              <w:spacing w:after="0"/>
              <w:rPr>
                <w:sz w:val="20"/>
                <w:szCs w:val="20"/>
                <w:color w:val="auto"/>
              </w:rPr>
            </w:pPr>
            <w:r>
              <w:rPr>
                <w:rFonts w:ascii="Arial" w:cs="Arial" w:eastAsia="Arial" w:hAnsi="Arial"/>
                <w:sz w:val="18"/>
                <w:szCs w:val="18"/>
                <w:color w:val="auto"/>
              </w:rPr>
              <w:t>(Loss) gain on sale of oil-recycling segment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(1,152)</w:t>
            </w: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8,243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(Loss) income from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(1,152)</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color w:val="auto"/>
              </w:rPr>
              <w:t>Basic earnings (loss) per share: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gain on sale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 average shares—basic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color w:val="auto"/>
              </w:rPr>
              <w:t>Diluted earnings (loss) per share: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gain on sale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 average shares—diluted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8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-7912735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-7912735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-7663815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-7663815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-7663815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-7663815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-7663815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-7663815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-7235190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-7235190</wp:posOffset>
            </wp:positionV>
            <wp:extent cx="215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-7241540</wp:posOffset>
            </wp:positionV>
            <wp:extent cx="3873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-7235190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-7235190</wp:posOffset>
            </wp:positionV>
            <wp:extent cx="215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-7241540</wp:posOffset>
            </wp:positionV>
            <wp:extent cx="38735"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-7235190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-7235190</wp:posOffset>
            </wp:positionV>
            <wp:extent cx="215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-7241540</wp:posOffset>
            </wp:positionV>
            <wp:extent cx="38735"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-6943725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-6943725</wp:posOffset>
            </wp:positionV>
            <wp:extent cx="215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-6950075</wp:posOffset>
            </wp:positionV>
            <wp:extent cx="38735"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-6943725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-6943725</wp:posOffset>
            </wp:positionV>
            <wp:extent cx="215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-6950075</wp:posOffset>
            </wp:positionV>
            <wp:extent cx="38735"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-6943725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-6943725</wp:posOffset>
            </wp:positionV>
            <wp:extent cx="215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-6950075</wp:posOffset>
            </wp:positionV>
            <wp:extent cx="38735"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-6102985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-6102985</wp:posOffset>
            </wp:positionV>
            <wp:extent cx="215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-6109335</wp:posOffset>
            </wp:positionV>
            <wp:extent cx="38735"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-6102985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-6102985</wp:posOffset>
            </wp:positionV>
            <wp:extent cx="215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-6109335</wp:posOffset>
            </wp:positionV>
            <wp:extent cx="38735"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-6102985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-6102985</wp:posOffset>
            </wp:positionV>
            <wp:extent cx="215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-6109335</wp:posOffset>
            </wp:positionV>
            <wp:extent cx="38735"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-5811520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-5811520</wp:posOffset>
            </wp:positionV>
            <wp:extent cx="215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-5817870</wp:posOffset>
            </wp:positionV>
            <wp:extent cx="38735"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-5811520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-5811520</wp:posOffset>
            </wp:positionV>
            <wp:extent cx="215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-5817870</wp:posOffset>
            </wp:positionV>
            <wp:extent cx="38735"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-5811520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-5811520</wp:posOffset>
            </wp:positionV>
            <wp:extent cx="215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-5817870</wp:posOffset>
            </wp:positionV>
            <wp:extent cx="38735"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-5520055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-5520055</wp:posOffset>
            </wp:positionV>
            <wp:extent cx="215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-5526405</wp:posOffset>
            </wp:positionV>
            <wp:extent cx="38735"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-5520055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-5520055</wp:posOffset>
            </wp:positionV>
            <wp:extent cx="215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-5526405</wp:posOffset>
            </wp:positionV>
            <wp:extent cx="38735"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-5520055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-5520055</wp:posOffset>
            </wp:positionV>
            <wp:extent cx="215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-5526405</wp:posOffset>
            </wp:positionV>
            <wp:extent cx="3873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-4679315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-4679315</wp:posOffset>
            </wp:positionV>
            <wp:extent cx="215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-4685665</wp:posOffset>
            </wp:positionV>
            <wp:extent cx="38735"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-4679315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-4679315</wp:posOffset>
            </wp:positionV>
            <wp:extent cx="215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-4685665</wp:posOffset>
            </wp:positionV>
            <wp:extent cx="38735"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-4679315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-4679315</wp:posOffset>
            </wp:positionV>
            <wp:extent cx="215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-4685665</wp:posOffset>
            </wp:positionV>
            <wp:extent cx="38735"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-4387850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-4387850</wp:posOffset>
            </wp:positionV>
            <wp:extent cx="215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-4394200</wp:posOffset>
            </wp:positionV>
            <wp:extent cx="38735"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-4387850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-4387850</wp:posOffset>
            </wp:positionV>
            <wp:extent cx="215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-4394200</wp:posOffset>
            </wp:positionV>
            <wp:extent cx="38735"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-4387850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-4387850</wp:posOffset>
            </wp:positionV>
            <wp:extent cx="215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-4394200</wp:posOffset>
            </wp:positionV>
            <wp:extent cx="38735"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-3959225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-3959225</wp:posOffset>
            </wp:positionV>
            <wp:extent cx="215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-3965575</wp:posOffset>
            </wp:positionV>
            <wp:extent cx="38735"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-3959225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-3959225</wp:posOffset>
            </wp:positionV>
            <wp:extent cx="215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-3965575</wp:posOffset>
            </wp:positionV>
            <wp:extent cx="38735"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-3959225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-3959225</wp:posOffset>
            </wp:positionV>
            <wp:extent cx="215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-3965575</wp:posOffset>
            </wp:positionV>
            <wp:extent cx="3873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-3255645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-3255645</wp:posOffset>
            </wp:positionV>
            <wp:extent cx="215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-3261995</wp:posOffset>
            </wp:positionV>
            <wp:extent cx="3873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-3255645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-3255645</wp:posOffset>
            </wp:positionV>
            <wp:extent cx="215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-3261995</wp:posOffset>
            </wp:positionV>
            <wp:extent cx="38735"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-3255645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-3255645</wp:posOffset>
            </wp:positionV>
            <wp:extent cx="215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-3261995</wp:posOffset>
            </wp:positionV>
            <wp:extent cx="38735"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-2964180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-2964180</wp:posOffset>
            </wp:positionV>
            <wp:extent cx="215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-2970530</wp:posOffset>
            </wp:positionV>
            <wp:extent cx="38735"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-2964180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-2964180</wp:posOffset>
            </wp:positionV>
            <wp:extent cx="215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-2970530</wp:posOffset>
            </wp:positionV>
            <wp:extent cx="38735"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-2964180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-2964180</wp:posOffset>
            </wp:positionV>
            <wp:extent cx="215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-2970530</wp:posOffset>
            </wp:positionV>
            <wp:extent cx="38735"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-2679065</wp:posOffset>
            </wp:positionV>
            <wp:extent cx="2984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-2679065</wp:posOffset>
            </wp:positionV>
            <wp:extent cx="2984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-2679065</wp:posOffset>
            </wp:positionV>
            <wp:extent cx="2984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-1952625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-1952625</wp:posOffset>
            </wp:positionV>
            <wp:extent cx="215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-1958975</wp:posOffset>
            </wp:positionV>
            <wp:extent cx="3873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-1952625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-1952625</wp:posOffset>
            </wp:positionV>
            <wp:extent cx="215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-1958975</wp:posOffset>
            </wp:positionV>
            <wp:extent cx="3873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-1952625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-1952625</wp:posOffset>
            </wp:positionV>
            <wp:extent cx="215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-1958975</wp:posOffset>
            </wp:positionV>
            <wp:extent cx="38735"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-1667510</wp:posOffset>
            </wp:positionV>
            <wp:extent cx="2984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-1667510</wp:posOffset>
            </wp:positionV>
            <wp:extent cx="2984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-1667510</wp:posOffset>
            </wp:positionV>
            <wp:extent cx="2984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-1358265</wp:posOffset>
            </wp:positionV>
            <wp:extent cx="922020"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-1358265</wp:posOffset>
            </wp:positionV>
            <wp:extent cx="2984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-631825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-631825</wp:posOffset>
            </wp:positionV>
            <wp:extent cx="215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-638175</wp:posOffset>
            </wp:positionV>
            <wp:extent cx="38735"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-631825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-631825</wp:posOffset>
            </wp:positionV>
            <wp:extent cx="215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-638175</wp:posOffset>
            </wp:positionV>
            <wp:extent cx="38735"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-631825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-631825</wp:posOffset>
            </wp:positionV>
            <wp:extent cx="215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-638175</wp:posOffset>
            </wp:positionV>
            <wp:extent cx="38735"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-346710</wp:posOffset>
            </wp:positionV>
            <wp:extent cx="2984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-346710</wp:posOffset>
            </wp:positionV>
            <wp:extent cx="2984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-346710</wp:posOffset>
            </wp:positionV>
            <wp:extent cx="2984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-38100</wp:posOffset>
            </wp:positionV>
            <wp:extent cx="6470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4706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-38100</wp:posOffset>
            </wp:positionV>
            <wp:extent cx="2984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75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751"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37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Common Stock</w:t>
            </w:r>
          </w:p>
        </w:tc>
        <w:tc>
          <w:tcPr>
            <w:tcW w:w="37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Capital in</w:t>
            </w:r>
          </w:p>
        </w:tc>
        <w:tc>
          <w:tcPr>
            <w:tcW w:w="90" w:type="dxa"/>
            <w:vAlign w:val="bottom"/>
          </w:tcPr>
          <w:p>
            <w:pPr>
              <w:spacing w:after="0"/>
              <w:rPr>
                <w:sz w:val="8"/>
                <w:szCs w:val="8"/>
                <w:color w:val="auto"/>
              </w:rPr>
            </w:pPr>
          </w:p>
        </w:tc>
        <w:tc>
          <w:tcPr>
            <w:tcW w:w="67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37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90" w:type="dxa"/>
            <w:vAlign w:val="bottom"/>
          </w:tcPr>
          <w:p>
            <w:pPr>
              <w:spacing w:after="0"/>
              <w:rPr>
                <w:sz w:val="20"/>
                <w:szCs w:val="20"/>
                <w:color w:val="auto"/>
              </w:rPr>
            </w:pPr>
          </w:p>
        </w:tc>
        <w:tc>
          <w:tcPr>
            <w:tcW w:w="67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37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9"/>
              </w:rPr>
              <w:t>Excess of</w:t>
            </w:r>
          </w:p>
        </w:tc>
        <w:tc>
          <w:tcPr>
            <w:tcW w:w="90" w:type="dxa"/>
            <w:vAlign w:val="bottom"/>
          </w:tcPr>
          <w:p>
            <w:pPr>
              <w:spacing w:after="0"/>
              <w:rPr>
                <w:sz w:val="12"/>
                <w:szCs w:val="12"/>
                <w:color w:val="auto"/>
              </w:rPr>
            </w:pPr>
          </w:p>
        </w:tc>
        <w:tc>
          <w:tcPr>
            <w:tcW w:w="1070" w:type="dxa"/>
            <w:vAlign w:val="bottom"/>
            <w:gridSpan w:val="2"/>
          </w:tcPr>
          <w:p>
            <w:pPr>
              <w:ind w:left="30"/>
              <w:spacing w:after="0" w:line="149" w:lineRule="exact"/>
              <w:rPr>
                <w:sz w:val="20"/>
                <w:szCs w:val="20"/>
                <w:color w:val="auto"/>
              </w:rPr>
            </w:pPr>
            <w:r>
              <w:rPr>
                <w:rFonts w:ascii="Arial" w:cs="Arial" w:eastAsia="Arial" w:hAnsi="Arial"/>
                <w:sz w:val="14"/>
                <w:szCs w:val="14"/>
                <w:b w:val="1"/>
                <w:bCs w:val="1"/>
                <w:color w:val="auto"/>
              </w:rPr>
              <w:t>Retained</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Par Value</w:t>
            </w:r>
          </w:p>
        </w:tc>
        <w:tc>
          <w:tcPr>
            <w:tcW w:w="90" w:type="dxa"/>
            <w:vAlign w:val="bottom"/>
          </w:tcPr>
          <w:p>
            <w:pPr>
              <w:spacing w:after="0"/>
              <w:rPr>
                <w:sz w:val="15"/>
                <w:szCs w:val="15"/>
                <w:color w:val="auto"/>
              </w:rPr>
            </w:pPr>
          </w:p>
        </w:tc>
        <w:tc>
          <w:tcPr>
            <w:tcW w:w="1070" w:type="dxa"/>
            <w:vAlign w:val="bottom"/>
            <w:gridSpan w:val="2"/>
          </w:tcPr>
          <w:p>
            <w:pPr>
              <w:ind w:left="1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Amount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1999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w w:val="79"/>
              </w:rPr>
              <w:t>125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26,769</w:t>
            </w: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Purchases of stock</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070" w:type="dxa"/>
            <w:vAlign w:val="bottom"/>
            <w:gridSpan w:val="2"/>
          </w:tcPr>
          <w:p>
            <w:pPr>
              <w:ind w:left="3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(8,423)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ind w:left="210"/>
              <w:spacing w:after="0"/>
              <w:rPr>
                <w:sz w:val="20"/>
                <w:szCs w:val="20"/>
                <w:color w:val="auto"/>
              </w:rPr>
            </w:pPr>
            <w:r>
              <w:rPr>
                <w:rFonts w:ascii="Arial" w:cs="Arial" w:eastAsia="Arial" w:hAnsi="Arial"/>
                <w:sz w:val="18"/>
                <w:szCs w:val="18"/>
                <w:color w:val="auto"/>
              </w:rPr>
              <w:t>(2,379)</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Other, including 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gridSpan w:val="2"/>
          </w:tcPr>
          <w:p>
            <w:pPr>
              <w:ind w:left="39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3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w w:val="79"/>
              </w:rPr>
              <w:t>125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w:t>
            </w: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85,256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(12,520)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Purchases of stock</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070" w:type="dxa"/>
            <w:vAlign w:val="bottom"/>
            <w:gridSpan w:val="2"/>
          </w:tcPr>
          <w:p>
            <w:pPr>
              <w:ind w:left="39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598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(4,404)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12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ind w:left="210"/>
              <w:spacing w:after="0"/>
              <w:rPr>
                <w:sz w:val="20"/>
                <w:szCs w:val="20"/>
                <w:color w:val="auto"/>
              </w:rPr>
            </w:pPr>
            <w:r>
              <w:rPr>
                <w:rFonts w:ascii="Arial" w:cs="Arial" w:eastAsia="Arial" w:hAnsi="Arial"/>
                <w:sz w:val="18"/>
                <w:szCs w:val="18"/>
                <w:color w:val="auto"/>
              </w:rPr>
              <w:t>(2,120)</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070" w:type="dxa"/>
            <w:vAlign w:val="bottom"/>
            <w:gridSpan w:val="2"/>
          </w:tcPr>
          <w:p>
            <w:pPr>
              <w:ind w:left="39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3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w w:val="79"/>
              </w:rPr>
              <w:t>125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93,770</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(16,924)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Purchases of stock</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070" w:type="dxa"/>
            <w:vAlign w:val="bottom"/>
            <w:gridSpan w:val="2"/>
          </w:tcPr>
          <w:p>
            <w:pPr>
              <w:ind w:left="39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(3,257)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 including income tax</w:t>
            </w:r>
          </w:p>
        </w:tc>
        <w:tc>
          <w:tcPr>
            <w:tcW w:w="9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of $383</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196</w:t>
            </w:r>
          </w:p>
        </w:tc>
        <w:tc>
          <w:tcPr>
            <w:tcW w:w="340" w:type="dxa"/>
            <w:vAlign w:val="bottom"/>
            <w:tcBorders>
              <w:right w:val="single" w:sz="8" w:color="CCEEFF"/>
            </w:tcBorders>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370" w:type="dxa"/>
            <w:vAlign w:val="bottom"/>
            <w:shd w:val="clear" w:color="auto" w:fill="CCEEFF"/>
          </w:tcPr>
          <w:p>
            <w:pPr>
              <w:ind w:left="290"/>
              <w:spacing w:after="0"/>
              <w:rPr>
                <w:sz w:val="20"/>
                <w:szCs w:val="20"/>
                <w:color w:val="auto"/>
              </w:rPr>
            </w:pPr>
            <w:r>
              <w:rPr>
                <w:rFonts w:ascii="Arial" w:cs="Arial" w:eastAsia="Arial" w:hAnsi="Arial"/>
                <w:sz w:val="15"/>
                <w:szCs w:val="15"/>
                <w:color w:val="auto"/>
                <w:w w:val="71"/>
              </w:rPr>
              <w:t>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340" w:type="dxa"/>
            <w:vAlign w:val="bottom"/>
            <w:tcBorders>
              <w:right w:val="single" w:sz="8" w:color="CCEEFF"/>
            </w:tcBorders>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1070" w:type="dxa"/>
            <w:vAlign w:val="bottom"/>
            <w:gridSpan w:val="2"/>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Cash dividends declared</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1070" w:type="dxa"/>
            <w:vAlign w:val="bottom"/>
            <w:gridSpan w:val="2"/>
          </w:tcPr>
          <w:p>
            <w:pPr>
              <w:ind w:left="210"/>
              <w:spacing w:after="0"/>
              <w:rPr>
                <w:sz w:val="20"/>
                <w:szCs w:val="20"/>
                <w:color w:val="auto"/>
              </w:rPr>
            </w:pPr>
            <w:r>
              <w:rPr>
                <w:rFonts w:ascii="Arial" w:cs="Arial" w:eastAsia="Arial" w:hAnsi="Arial"/>
                <w:sz w:val="18"/>
                <w:szCs w:val="18"/>
                <w:color w:val="auto"/>
              </w:rPr>
              <w:t>(4,164)</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ind w:left="290"/>
              <w:spacing w:after="0"/>
              <w:rPr>
                <w:sz w:val="20"/>
                <w:szCs w:val="20"/>
                <w:color w:val="auto"/>
              </w:rPr>
            </w:pPr>
            <w:r>
              <w:rPr>
                <w:rFonts w:ascii="Arial" w:cs="Arial" w:eastAsia="Arial" w:hAnsi="Arial"/>
                <w:sz w:val="15"/>
                <w:szCs w:val="15"/>
                <w:color w:val="auto"/>
                <w:w w:val="71"/>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220</w:t>
            </w: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370" w:type="dxa"/>
            <w:vAlign w:val="bottom"/>
          </w:tcPr>
          <w:p>
            <w:pPr>
              <w:ind w:left="1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3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70" w:type="dxa"/>
            <w:vAlign w:val="bottom"/>
            <w:shd w:val="clear" w:color="auto" w:fill="CCEEFF"/>
          </w:tcPr>
          <w:p>
            <w:pPr>
              <w:ind w:left="110"/>
              <w:spacing w:after="0"/>
              <w:rPr>
                <w:sz w:val="20"/>
                <w:szCs w:val="20"/>
                <w:color w:val="auto"/>
              </w:rPr>
            </w:pPr>
            <w:r>
              <w:rPr>
                <w:rFonts w:ascii="Arial" w:cs="Arial" w:eastAsia="Arial" w:hAnsi="Arial"/>
                <w:sz w:val="18"/>
                <w:szCs w:val="18"/>
                <w:color w:val="auto"/>
                <w:w w:val="79"/>
              </w:rPr>
              <w:t>128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340" w:type="dxa"/>
            <w:vAlign w:val="bottom"/>
            <w:tcBorders>
              <w:right w:val="single" w:sz="8" w:color="CCEEFF"/>
            </w:tcBorders>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106,841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(20,105)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$ 116,439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37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7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-3761740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-3761740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-3761740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-3761740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-3324860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-3324860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-3324860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-3324860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-3324860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-3324860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-3324860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-3324860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-3324860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-3324860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-3324860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-3324860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-3324860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-3324860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-2484120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-2484120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-2484120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-2484120</wp:posOffset>
            </wp:positionV>
            <wp:extent cx="215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-2484120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-2484120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-2484120</wp:posOffset>
            </wp:positionV>
            <wp:extent cx="215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-2484120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-2484120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-2484120</wp:posOffset>
            </wp:positionV>
            <wp:extent cx="215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-2490470</wp:posOffset>
            </wp:positionV>
            <wp:extent cx="38735"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-2484120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-2490470</wp:posOffset>
            </wp:positionV>
            <wp:extent cx="38735"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-2484120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-2484120</wp:posOffset>
            </wp:positionV>
            <wp:extent cx="215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-2490470</wp:posOffset>
            </wp:positionV>
            <wp:extent cx="38735"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-2484120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-2484120</wp:posOffset>
            </wp:positionV>
            <wp:extent cx="215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-2490470</wp:posOffset>
            </wp:positionV>
            <wp:extent cx="38735"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-1574800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-1574800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-1574800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-1574800</wp:posOffset>
            </wp:positionV>
            <wp:extent cx="215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-1574800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-1574800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-1574800</wp:posOffset>
            </wp:positionV>
            <wp:extent cx="215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-1574800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-1574800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-1574800</wp:posOffset>
            </wp:positionV>
            <wp:extent cx="215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-1581150</wp:posOffset>
            </wp:positionV>
            <wp:extent cx="3873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-1574800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-1581150</wp:posOffset>
            </wp:positionV>
            <wp:extent cx="38735"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-1574800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-1574800</wp:posOffset>
            </wp:positionV>
            <wp:extent cx="215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-1581150</wp:posOffset>
            </wp:positionV>
            <wp:extent cx="3873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-1574800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-1574800</wp:posOffset>
            </wp:positionV>
            <wp:extent cx="215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-1581150</wp:posOffset>
            </wp:positionV>
            <wp:extent cx="3873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-391795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-391795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-391795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-391795</wp:posOffset>
            </wp:positionV>
            <wp:extent cx="215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-391795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-391795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-391795</wp:posOffset>
            </wp:positionV>
            <wp:extent cx="215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-391795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-391795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-391795</wp:posOffset>
            </wp:positionV>
            <wp:extent cx="215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-398145</wp:posOffset>
            </wp:positionV>
            <wp:extent cx="38735"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-391795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-398145</wp:posOffset>
            </wp:positionV>
            <wp:extent cx="3873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-391795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-391795</wp:posOffset>
            </wp:positionV>
            <wp:extent cx="215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-398145</wp:posOffset>
            </wp:positionV>
            <wp:extent cx="38735"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-391795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-391795</wp:posOffset>
            </wp:positionV>
            <wp:extent cx="215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-398145</wp:posOffset>
            </wp:positionV>
            <wp:extent cx="38735"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-38100</wp:posOffset>
            </wp:positionV>
            <wp:extent cx="2984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-38100</wp:posOffset>
            </wp:positionV>
            <wp:extent cx="2984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-38100</wp:posOffset>
            </wp:positionV>
            <wp:extent cx="2984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31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3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57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Cash flows from continuing operating activities:</w:t>
            </w: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17,235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18"/>
        </w:trPr>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Adjustments to reconcile income (loss) from continuing operations</w:t>
            </w: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520"/>
              <w:spacing w:after="0"/>
              <w:rPr>
                <w:sz w:val="20"/>
                <w:szCs w:val="20"/>
                <w:color w:val="auto"/>
              </w:rPr>
            </w:pPr>
            <w:r>
              <w:rPr>
                <w:rFonts w:ascii="Arial" w:cs="Arial" w:eastAsia="Arial" w:hAnsi="Arial"/>
                <w:sz w:val="18"/>
                <w:szCs w:val="18"/>
                <w:color w:val="auto"/>
              </w:rPr>
              <w:t>to net cash provided by continuing operating activities—</w:t>
            </w:r>
          </w:p>
        </w:tc>
        <w:tc>
          <w:tcPr>
            <w:tcW w:w="11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bad debts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1,939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 benefit</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6"/>
        </w:trPr>
        <w:tc>
          <w:tcPr>
            <w:tcW w:w="8320" w:type="dxa"/>
            <w:vAlign w:val="bottom"/>
          </w:tcPr>
          <w:p>
            <w:pPr>
              <w:ind w:left="660"/>
              <w:spacing w:after="0"/>
              <w:rPr>
                <w:sz w:val="20"/>
                <w:szCs w:val="20"/>
                <w:color w:val="auto"/>
              </w:rPr>
            </w:pPr>
            <w:r>
              <w:rPr>
                <w:rFonts w:ascii="Arial" w:cs="Arial" w:eastAsia="Arial" w:hAnsi="Arial"/>
                <w:sz w:val="18"/>
                <w:szCs w:val="18"/>
                <w:color w:val="auto"/>
              </w:rPr>
              <w:t>(Earnings) losses from aviation joint ventures, net</w:t>
            </w:r>
          </w:p>
        </w:tc>
        <w:tc>
          <w:tcPr>
            <w:tcW w:w="110" w:type="dxa"/>
            <w:vAlign w:val="bottom"/>
          </w:tcPr>
          <w:p>
            <w:pPr>
              <w:spacing w:after="0"/>
              <w:rPr>
                <w:sz w:val="18"/>
                <w:szCs w:val="18"/>
                <w:color w:val="auto"/>
              </w:rPr>
            </w:pPr>
          </w:p>
        </w:tc>
        <w:tc>
          <w:tcPr>
            <w:tcW w:w="970" w:type="dxa"/>
            <w:vAlign w:val="bottom"/>
            <w:gridSpan w:val="2"/>
          </w:tcPr>
          <w:p>
            <w:pPr>
              <w:jc w:val="right"/>
              <w:ind w:right="36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Non-recurring (credits) charges in aviation and marine segment</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660"/>
              <w:spacing w:after="0"/>
              <w:rPr>
                <w:sz w:val="20"/>
                <w:szCs w:val="20"/>
                <w:color w:val="auto"/>
              </w:rPr>
            </w:pPr>
            <w:r>
              <w:rPr>
                <w:rFonts w:ascii="Arial" w:cs="Arial" w:eastAsia="Arial" w:hAnsi="Arial"/>
                <w:sz w:val="18"/>
                <w:szCs w:val="18"/>
                <w:color w:val="auto"/>
              </w:rPr>
              <w:t>Other non-cash operating charges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Arial" w:cs="Arial" w:eastAsia="Arial" w:hAnsi="Arial"/>
                <w:sz w:val="18"/>
                <w:szCs w:val="18"/>
                <w:color w:val="auto"/>
              </w:rPr>
              <w:t>Changes in assets and liabilities, net of acquisitions</w:t>
            </w:r>
          </w:p>
        </w:tc>
        <w:tc>
          <w:tcPr>
            <w:tcW w:w="11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and notes receivable</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(68,174)</w:t>
            </w:r>
          </w:p>
        </w:tc>
        <w:tc>
          <w:tcPr>
            <w:tcW w:w="0" w:type="dxa"/>
            <w:vAlign w:val="bottom"/>
          </w:tcPr>
          <w:p>
            <w:pPr>
              <w:spacing w:after="0"/>
              <w:rPr>
                <w:sz w:val="1"/>
                <w:szCs w:val="1"/>
                <w:color w:val="auto"/>
              </w:rPr>
            </w:pPr>
          </w:p>
        </w:tc>
      </w:tr>
      <w:tr>
        <w:trPr>
          <w:trHeight w:val="216"/>
        </w:trPr>
        <w:tc>
          <w:tcPr>
            <w:tcW w:w="832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2,790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8"/>
                <w:szCs w:val="18"/>
                <w:color w:val="auto"/>
              </w:rPr>
            </w:pPr>
          </w:p>
        </w:tc>
        <w:tc>
          <w:tcPr>
            <w:tcW w:w="970" w:type="dxa"/>
            <w:vAlign w:val="bottom"/>
            <w:gridSpan w:val="2"/>
          </w:tcPr>
          <w:p>
            <w:pPr>
              <w:jc w:val="right"/>
              <w:ind w:right="3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(10,213)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060"/>
              <w:spacing w:after="0"/>
              <w:rPr>
                <w:sz w:val="20"/>
                <w:szCs w:val="20"/>
                <w:color w:val="auto"/>
              </w:rPr>
            </w:pPr>
            <w:r>
              <w:rPr>
                <w:rFonts w:ascii="Arial" w:cs="Arial" w:eastAsia="Arial" w:hAnsi="Arial"/>
                <w:sz w:val="18"/>
                <w:szCs w:val="18"/>
                <w:color w:val="auto"/>
              </w:rPr>
              <w:t>Customer deposits</w:t>
            </w:r>
          </w:p>
        </w:tc>
        <w:tc>
          <w:tcPr>
            <w:tcW w:w="110" w:type="dxa"/>
            <w:vAlign w:val="bottom"/>
          </w:tcPr>
          <w:p>
            <w:pPr>
              <w:spacing w:after="0"/>
              <w:rPr>
                <w:sz w:val="18"/>
                <w:szCs w:val="18"/>
                <w:color w:val="auto"/>
              </w:rPr>
            </w:pPr>
          </w:p>
        </w:tc>
        <w:tc>
          <w:tcPr>
            <w:tcW w:w="970" w:type="dxa"/>
            <w:vAlign w:val="bottom"/>
            <w:gridSpan w:val="2"/>
          </w:tcPr>
          <w:p>
            <w:pPr>
              <w:jc w:val="right"/>
              <w:ind w:right="36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salaries and wages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060"/>
              <w:spacing w:after="0"/>
              <w:rPr>
                <w:sz w:val="20"/>
                <w:szCs w:val="20"/>
                <w:color w:val="auto"/>
              </w:rPr>
            </w:pPr>
            <w:r>
              <w:rPr>
                <w:rFonts w:ascii="Arial" w:cs="Arial" w:eastAsia="Arial" w:hAnsi="Arial"/>
                <w:sz w:val="18"/>
                <w:szCs w:val="18"/>
                <w:color w:val="auto"/>
              </w:rPr>
              <w:t>Income taxes payable</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2,450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compensation</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adjustments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continuing operating activities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34,211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Proceeds from the sale of leasehold property</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acquisition of businesses</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Proceeds from the sale of oil-recycling segment</w:t>
            </w:r>
          </w:p>
        </w:tc>
        <w:tc>
          <w:tcPr>
            <w:tcW w:w="110" w:type="dxa"/>
            <w:vAlign w:val="bottom"/>
          </w:tcPr>
          <w:p>
            <w:pPr>
              <w:spacing w:after="0"/>
              <w:rPr>
                <w:sz w:val="18"/>
                <w:szCs w:val="18"/>
                <w:color w:val="auto"/>
              </w:rPr>
            </w:pPr>
          </w:p>
        </w:tc>
        <w:tc>
          <w:tcPr>
            <w:tcW w:w="9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aviation joint venture</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320" w:type="dxa"/>
            <w:vAlign w:val="bottom"/>
          </w:tcPr>
          <w:p>
            <w:pPr>
              <w:ind w:left="340"/>
              <w:spacing w:after="0"/>
              <w:rPr>
                <w:sz w:val="20"/>
                <w:szCs w:val="20"/>
                <w:color w:val="auto"/>
              </w:rPr>
            </w:pPr>
            <w:r>
              <w:rPr>
                <w:rFonts w:ascii="Arial" w:cs="Arial" w:eastAsia="Arial" w:hAnsi="Arial"/>
                <w:sz w:val="18"/>
                <w:szCs w:val="18"/>
                <w:color w:val="auto"/>
              </w:rPr>
              <w:t>Advances to aviation joint venture, net</w:t>
            </w:r>
          </w:p>
        </w:tc>
        <w:tc>
          <w:tcPr>
            <w:tcW w:w="110" w:type="dxa"/>
            <w:vAlign w:val="bottom"/>
          </w:tcPr>
          <w:p>
            <w:pPr>
              <w:spacing w:after="0"/>
              <w:rPr>
                <w:sz w:val="19"/>
                <w:szCs w:val="19"/>
                <w:color w:val="auto"/>
              </w:rPr>
            </w:pPr>
          </w:p>
        </w:tc>
        <w:tc>
          <w:tcPr>
            <w:tcW w:w="9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112"/>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32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Purchases of treasury stock</w:t>
            </w:r>
          </w:p>
        </w:tc>
        <w:tc>
          <w:tcPr>
            <w:tcW w:w="110" w:type="dxa"/>
            <w:vAlign w:val="bottom"/>
          </w:tcPr>
          <w:p>
            <w:pPr>
              <w:spacing w:after="0"/>
              <w:rPr>
                <w:sz w:val="18"/>
                <w:szCs w:val="18"/>
                <w:color w:val="auto"/>
              </w:rPr>
            </w:pPr>
          </w:p>
        </w:tc>
        <w:tc>
          <w:tcPr>
            <w:tcW w:w="970" w:type="dxa"/>
            <w:vAlign w:val="bottom"/>
            <w:gridSpan w:val="2"/>
          </w:tcPr>
          <w:p>
            <w:pPr>
              <w:jc w:val="right"/>
              <w:ind w:right="36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(4,404)</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2,161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under revolving credit facility, net</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1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(16,303)</w:t>
            </w: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10" w:type="dxa"/>
            <w:vAlign w:val="bottom"/>
            <w:shd w:val="clear" w:color="auto" w:fill="CCEEFF"/>
          </w:tcPr>
          <w:p>
            <w:pPr>
              <w:spacing w:after="0"/>
              <w:rPr>
                <w:sz w:val="18"/>
                <w:szCs w:val="18"/>
                <w:color w:val="auto"/>
              </w:rPr>
            </w:pP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4"/>
              </w:rPr>
              <w:t>38,977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32,773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58,172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7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-7604125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-7604125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-7355205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-7355205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-7355205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-7355205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-7355205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-7355205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-6926580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-6926580</wp:posOffset>
            </wp:positionV>
            <wp:extent cx="215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-6932930</wp:posOffset>
            </wp:positionV>
            <wp:extent cx="38735"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-6926580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-6926580</wp:posOffset>
            </wp:positionV>
            <wp:extent cx="215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-6932930</wp:posOffset>
            </wp:positionV>
            <wp:extent cx="3873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-6926580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-6926580</wp:posOffset>
            </wp:positionV>
            <wp:extent cx="215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-6932930</wp:posOffset>
            </wp:positionV>
            <wp:extent cx="38735"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-4302125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-4302125</wp:posOffset>
            </wp:positionV>
            <wp:extent cx="215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-4308475</wp:posOffset>
            </wp:positionV>
            <wp:extent cx="3873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-4302125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-4302125</wp:posOffset>
            </wp:positionV>
            <wp:extent cx="215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-4308475</wp:posOffset>
            </wp:positionV>
            <wp:extent cx="38735" cy="215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-4302125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-4302125</wp:posOffset>
            </wp:positionV>
            <wp:extent cx="215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-4308475</wp:posOffset>
            </wp:positionV>
            <wp:extent cx="38735"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-4010660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-4010660</wp:posOffset>
            </wp:positionV>
            <wp:extent cx="215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-4017010</wp:posOffset>
            </wp:positionV>
            <wp:extent cx="38735" cy="215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-4010660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-4010660</wp:posOffset>
            </wp:positionV>
            <wp:extent cx="215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-4017010</wp:posOffset>
            </wp:positionV>
            <wp:extent cx="38735"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-4010660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-4010660</wp:posOffset>
            </wp:positionV>
            <wp:extent cx="215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-4017010</wp:posOffset>
            </wp:positionV>
            <wp:extent cx="38735" cy="215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-3719195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-3719195</wp:posOffset>
            </wp:positionV>
            <wp:extent cx="215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-3725545</wp:posOffset>
            </wp:positionV>
            <wp:extent cx="38735"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-3719195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-3719195</wp:posOffset>
            </wp:positionV>
            <wp:extent cx="215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-3725545</wp:posOffset>
            </wp:positionV>
            <wp:extent cx="38735"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-3719195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-3719195</wp:posOffset>
            </wp:positionV>
            <wp:extent cx="215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-3725545</wp:posOffset>
            </wp:positionV>
            <wp:extent cx="38735"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-2604135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-2604135</wp:posOffset>
            </wp:positionV>
            <wp:extent cx="215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-2610485</wp:posOffset>
            </wp:positionV>
            <wp:extent cx="38735"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-2604135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-2604135</wp:posOffset>
            </wp:positionV>
            <wp:extent cx="215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-2610485</wp:posOffset>
            </wp:positionV>
            <wp:extent cx="38735"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-2604135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-2604135</wp:posOffset>
            </wp:positionV>
            <wp:extent cx="215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-2610485</wp:posOffset>
            </wp:positionV>
            <wp:extent cx="38735"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-2312670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-2312670</wp:posOffset>
            </wp:positionV>
            <wp:extent cx="215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-2319020</wp:posOffset>
            </wp:positionV>
            <wp:extent cx="38735"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-2312670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-2312670</wp:posOffset>
            </wp:positionV>
            <wp:extent cx="215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-2319020</wp:posOffset>
            </wp:positionV>
            <wp:extent cx="38735"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-2312670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-2312670</wp:posOffset>
            </wp:positionV>
            <wp:extent cx="215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-2319020</wp:posOffset>
            </wp:positionV>
            <wp:extent cx="38735"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-1334770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-1334770</wp:posOffset>
            </wp:positionV>
            <wp:extent cx="215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-1341120</wp:posOffset>
            </wp:positionV>
            <wp:extent cx="38735"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-1334770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-1334770</wp:posOffset>
            </wp:positionV>
            <wp:extent cx="215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-1341120</wp:posOffset>
            </wp:positionV>
            <wp:extent cx="38735"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-1334770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-1334770</wp:posOffset>
            </wp:positionV>
            <wp:extent cx="215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-1341120</wp:posOffset>
            </wp:positionV>
            <wp:extent cx="38735"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-1043305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-1043305</wp:posOffset>
            </wp:positionV>
            <wp:extent cx="215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-1049655</wp:posOffset>
            </wp:positionV>
            <wp:extent cx="38735" cy="215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-1043305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-1043305</wp:posOffset>
            </wp:positionV>
            <wp:extent cx="215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-1049655</wp:posOffset>
            </wp:positionV>
            <wp:extent cx="38735"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-1043305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-1043305</wp:posOffset>
            </wp:positionV>
            <wp:extent cx="215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-1049655</wp:posOffset>
            </wp:positionV>
            <wp:extent cx="38735"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-751840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215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-758190</wp:posOffset>
            </wp:positionV>
            <wp:extent cx="38735"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-751840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-751840</wp:posOffset>
            </wp:positionV>
            <wp:extent cx="215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-758190</wp:posOffset>
            </wp:positionV>
            <wp:extent cx="38735"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-751840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-751840</wp:posOffset>
            </wp:positionV>
            <wp:extent cx="215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-758190</wp:posOffset>
            </wp:positionV>
            <wp:extent cx="38735" cy="215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215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38735"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-323215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215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38735"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-323215</wp:posOffset>
            </wp:positionV>
            <wp:extent cx="215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-38100</wp:posOffset>
            </wp:positionV>
            <wp:extent cx="2984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-38100</wp:posOffset>
            </wp:positionV>
            <wp:extent cx="50990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0990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02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021"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8"/>
          </w:tcPr>
          <w:p>
            <w:pPr>
              <w:ind w:left="320"/>
              <w:spacing w:after="0"/>
              <w:rPr>
                <w:sz w:val="20"/>
                <w:szCs w:val="20"/>
                <w:color w:val="auto"/>
              </w:rPr>
            </w:pPr>
            <w:r>
              <w:rPr>
                <w:rFonts w:ascii="Arial" w:cs="Arial" w:eastAsia="Arial" w:hAnsi="Arial"/>
                <w:sz w:val="14"/>
                <w:szCs w:val="14"/>
                <w:b w:val="1"/>
                <w:bCs w:val="1"/>
                <w:color w:val="auto"/>
              </w:rPr>
              <w:t>For the Year Ended March 31,</w:t>
            </w:r>
          </w:p>
        </w:tc>
        <w:tc>
          <w:tcPr>
            <w:tcW w:w="0" w:type="dxa"/>
            <w:vAlign w:val="bottom"/>
          </w:tcPr>
          <w:p>
            <w:pPr>
              <w:spacing w:after="0"/>
              <w:rPr>
                <w:sz w:val="1"/>
                <w:szCs w:val="1"/>
                <w:color w:val="auto"/>
              </w:rPr>
            </w:pPr>
          </w:p>
        </w:tc>
      </w:tr>
      <w:tr>
        <w:trPr>
          <w:trHeight w:val="105"/>
        </w:trPr>
        <w:tc>
          <w:tcPr>
            <w:tcW w:w="8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102"/>
              <w:spacing w:after="0"/>
              <w:rPr>
                <w:sz w:val="20"/>
                <w:szCs w:val="20"/>
                <w:color w:val="auto"/>
              </w:rPr>
            </w:pPr>
            <w:r>
              <w:rPr>
                <w:rFonts w:ascii="Arial" w:cs="Arial" w:eastAsia="Arial" w:hAnsi="Arial"/>
                <w:sz w:val="14"/>
                <w:szCs w:val="14"/>
                <w:b w:val="1"/>
                <w:bCs w:val="1"/>
                <w:color w:val="auto"/>
                <w:w w:val="96"/>
              </w:rPr>
              <w:t>2002</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550" w:type="dxa"/>
            <w:vAlign w:val="bottom"/>
          </w:tcPr>
          <w:p>
            <w:pPr>
              <w:jc w:val="right"/>
              <w:ind w:right="99"/>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8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78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tcBorders>
              <w:right w:val="single" w:sz="8" w:color="auto"/>
            </w:tcBorders>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-1155065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-1155065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-906145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-906145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-906145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-906145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-906145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-906145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-346710</wp:posOffset>
            </wp:positionV>
            <wp:extent cx="45021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50215" cy="3873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-38100</wp:posOffset>
            </wp:positionV>
            <wp:extent cx="1050290"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050290" cy="3873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paid cash and issued notes payable in connection with certain acquisitions of businesses accounted for under the purchase method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March 31, 2002, 2001, and 2000. The following reconciles the fair values of the assets acquired, liabilities assumed, and promissory notes issued with cash paid: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 Ended March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05"/>
        </w:trPr>
        <w:tc>
          <w:tcPr>
            <w:tcW w:w="5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266"/>
        </w:trPr>
        <w:tc>
          <w:tcPr>
            <w:tcW w:w="5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47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2000</w:t>
            </w:r>
          </w:p>
        </w:tc>
        <w:tc>
          <w:tcPr>
            <w:tcW w:w="100" w:type="dxa"/>
            <w:vAlign w:val="bottom"/>
          </w:tcPr>
          <w:p>
            <w:pPr>
              <w:spacing w:after="0"/>
              <w:rPr>
                <w:sz w:val="23"/>
                <w:szCs w:val="23"/>
                <w:color w:val="auto"/>
              </w:rPr>
            </w:pPr>
          </w:p>
        </w:tc>
      </w:tr>
      <w:tr>
        <w:trPr>
          <w:trHeight w:val="105"/>
        </w:trPr>
        <w:tc>
          <w:tcPr>
            <w:tcW w:w="5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5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9,405</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2,364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110" w:type="dxa"/>
            <w:vAlign w:val="bottom"/>
          </w:tcPr>
          <w:p>
            <w:pPr>
              <w:spacing w:after="0"/>
              <w:rPr>
                <w:sz w:val="18"/>
                <w:szCs w:val="18"/>
                <w:color w:val="auto"/>
              </w:rPr>
            </w:pPr>
          </w:p>
        </w:tc>
        <w:tc>
          <w:tcPr>
            <w:tcW w:w="8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Promissory notes, short-term portion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(1,952)</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(1,262)</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(14,666)</w:t>
            </w:r>
          </w:p>
        </w:tc>
        <w:tc>
          <w:tcPr>
            <w:tcW w:w="110" w:type="dxa"/>
            <w:vAlign w:val="bottom"/>
          </w:tcPr>
          <w:p>
            <w:pPr>
              <w:spacing w:after="0"/>
              <w:rPr>
                <w:sz w:val="18"/>
                <w:szCs w:val="18"/>
                <w:color w:val="auto"/>
              </w:rPr>
            </w:pPr>
          </w:p>
        </w:tc>
        <w:tc>
          <w:tcPr>
            <w:tcW w:w="8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10" w:type="dxa"/>
            <w:vAlign w:val="bottom"/>
          </w:tcPr>
          <w:p>
            <w:pPr>
              <w:spacing w:after="0"/>
              <w:rPr>
                <w:sz w:val="18"/>
                <w:szCs w:val="18"/>
                <w:color w:val="auto"/>
              </w:rPr>
            </w:pPr>
          </w:p>
        </w:tc>
        <w:tc>
          <w:tcPr>
            <w:tcW w:w="8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Promissory notes, long-term portion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(3,048)</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(2,988)</w:t>
            </w:r>
          </w:p>
        </w:tc>
      </w:tr>
      <w:tr>
        <w:trPr>
          <w:trHeight w:val="118"/>
        </w:trPr>
        <w:tc>
          <w:tcPr>
            <w:tcW w:w="55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5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CEEFF"/>
          </w:tcPr>
          <w:p>
            <w:pPr>
              <w:spacing w:after="0"/>
              <w:rPr>
                <w:sz w:val="18"/>
                <w:szCs w:val="18"/>
                <w:color w:val="auto"/>
              </w:rPr>
            </w:pPr>
          </w:p>
        </w:tc>
      </w:tr>
      <w:tr>
        <w:trPr>
          <w:trHeight w:val="105"/>
        </w:trPr>
        <w:tc>
          <w:tcPr>
            <w:tcW w:w="5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55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-2235200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-2235200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-1986915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-1986915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-1986915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-1986915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-1986915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-1986915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215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38735"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-323215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215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38735"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-323215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215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-38100</wp:posOffset>
            </wp:positionV>
            <wp:extent cx="501650"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01650" cy="3873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-38100</wp:posOffset>
            </wp:positionV>
            <wp:extent cx="2984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-38100</wp:posOffset>
            </wp:positionV>
            <wp:extent cx="2984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dividends declared, but not yet paid, totaling $778 thousand, $520 thousand and $554 thousand are included in Accrued expenses as of March 31, 2002, 2001 and 2000, respectively.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acquisition of businesses, we issued interest and non-interest bearing promissory notes amounting to $5.0 million, in the aggregate, after discounting the non-interest bearing promissory note at 5%, in January 2002 and April 2001; $540 thousand in February 2001; and $4.25 million in April 1999. See Notes 1 and 3 to the consolidated financial statements for additional information.</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January 2002 and April 1999, we assumed short-term debt of $1.8 million and $197 thousand, respectively, in connection with the acquisition of businesses. See Notes 1 and 3 to the consolidated financial statements for additional information.</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connection with our aviation joint venture investment in December 2000, we issued a non-interest bearing promissory note of $1.9 million after discounting the promissory note at 9%. For additional information, see Notes 1, 3, and 7 to the consolidated financial statements.</w:t>
      </w:r>
    </w:p>
    <w:p>
      <w:pPr>
        <w:spacing w:after="0" w:line="7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October 2001, we granted 25 thousand shares of restricted common stock. Based on the market value of our common stock on the date of grant, the restricted common stock was valued at $298 thousand. The fair value of the restricted stock was recorded as unearned deferred compensation and is included in Capital in excess of par value. See Note 5 to the consolidated financial statements for additional information.</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connection with the sale of the oil-recycling segment in February 2000, we received $5.0 million of EarthCare Company (“EarthCare”) stock, subject to lock-up and price protection agreements. See Notes 2 and 6 to the consolidated financial statements for additional information.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8" w:lineRule="exact"/>
        <w:rPr>
          <w:sz w:val="20"/>
          <w:szCs w:val="20"/>
          <w:color w:val="auto"/>
        </w:rPr>
      </w:pPr>
    </w:p>
    <w:p>
      <w:pPr>
        <w:ind w:right="5340" w:firstLine="8"/>
        <w:spacing w:after="0" w:line="426" w:lineRule="auto"/>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 Nature of Business</w:t>
      </w:r>
    </w:p>
    <w:p>
      <w:pPr>
        <w:ind w:right="180" w:firstLine="456"/>
        <w:spacing w:after="0" w:line="294" w:lineRule="auto"/>
        <w:rPr>
          <w:sz w:val="20"/>
          <w:szCs w:val="20"/>
          <w:color w:val="auto"/>
        </w:rPr>
      </w:pPr>
      <w:r>
        <w:rPr>
          <w:rFonts w:ascii="Arial" w:cs="Arial" w:eastAsia="Arial" w:hAnsi="Arial"/>
          <w:sz w:val="16"/>
          <w:szCs w:val="16"/>
          <w:color w:val="auto"/>
        </w:rPr>
        <w:t>World Fuel Services Corporation began operations in 1984 as a used oil-recycler in the southeast United States. However, after sixteen years, we sold our oil-recycling business in February 2000. In 1986, we diversified our operations by entering the aviation fuel services business through an acquisition. This new segment expanded rapidly, from a business primarily concentrated in Florida, to an international sales company covering airports throughout most of the world. Expansion was accomplished by establishing new offices and through acquisitions. In 1995, we further diversified our fuel services operations by entering the marine fuel services business through the acquisition of the Trans-Tec Services group of companies.</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1999, we continued the expansion of our global presence in the marine fuel services business by acquiring the operations of the Bunkerfuels group of companies, a worldwide seller and marketer of marine fuel services. We paid $4.2 million in cash, including $78 thousand in acquisition costs, and $4.25 million in the form of 7.75% promissory notes, due and paid over three years. The acquisition was accounted for as a purchase. Accordingly, the results of operations of the Bunkerfuels group of companies were included with our results of operations since April 1999. Goodwill, representing our cost in excess of net assets acquired, amounted to approximately $8.5 million. No other significant intangible assets existed at the date of acquisition.</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2001 and March 2001, we acquired the assets of Norse Bunker A.S., a Norway corporation, and the stock of TransportEdge, Inc., a Delaware corporation, respectively, for an aggregate purchase price of $2.4 million, including $64 thousand in acquisition costs. The aggregate purchase price consisted of $1.8 million in cash and $540 thousand in the form of a 7% promissory note, due and paid in February 2002. The acquisitions of Nose Bunker A.S., a marine fuel marketer, and TransportEdge Inc., a software development company, were accounted for as purchases. Accordingly, the operations of these acquisitions have been included in our operating results since their respective dates of acquisition. The cost in excess of net assets acquired, or goodwill, for these acquisitions amounted to $2.4 million. No other significant intangible assets existed at the dates of the acquisitions.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Acquisitions in our marine segment continued in April 2001 and January 2002 with the stock acquisitions of Marine Energy Arabia Establishment Ltd., a British Virgin Islands (“BVI”) corporation, and the Oil Shipping group of companies, respectively. Both of these companies sell and market marine fuel services. The aggregate purchase price of these acquisitions was $13.6 million, including $175 thousand in acquisition costs. The components of the aggregate purchase price were $8.6 million in cash and the remainder in promissory notes. The promissory notes consisted of a $2.0 million note bearing interest of 7%, payable over two years with the first installment due and paid in April 2002, and a $3.3 million non-interest bearing note, which was discounted to $3.0 million using an interest rate of approximately 5%, payable over three years starting in January 2003. Both of these acquisitions were accounted for as purchases and the operations of these acquisitions have been included in our operating results since their respective dates of acquisition. Goodwill, representing the cost in excess of net assets acquired, for these acquisitions totaled $9.4 million. At the date of our January 2002 acquisition, we identified an intangible asset of $1.84 million, relating to customer relations. This intangible asset is being amortized over 5 years using the straight-line method.</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BVI company sells and markets marine fuel services through Marine Energy Arabia Co, LLC, a United Arab Emirates (“Dubai”) corporation. The BVI company owns 49% of the Dubai company. In accordance with local laws, the Dubai entity is 51% owned by a Dubai citizen, referred to as a Sponsor. The Dubai company, pursuant to a management contract, is required to pay for the staff and administrative support provided by the BVI entity. The BVI entity has entered into various agreements with the Dubai Sponsor to prevent an unauthorized ownership transfer and to effectively grant majority control of the Dubai entity to BVI. Accordingly, the financial position and operations of the Dubai entity have been included in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2000, we entered into an aviation joint venture with Signature Flight Support Corporation (“Signature”), a Delaware corporation, through the acquisition of a 50% equity interest in PAFCO, L.L.C. (“PAFCO” ) from Signature for $1.0 million in cash, and $2.5 million in the form of a non-interest bearing promissory note, payable over five years. PAFCO markets aviation fuel and related services. Under the equity method of accounting, we have recorded our share of PAFCO’s results since January 1, 2001. Goodwill related to the cost in excess of 50% of the net assets of PAFCO, amounted to $2.9 million, after discounting the promissory note at an interest rate of 9% and including $79 thousand in acquisition costs. No other significant intangible assets existed at the date of acquisition. See Note 7 for additional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consolidated financial statements and related notes to the consolidated financial statements include our accounts and those of our majority owned or controlled subsidiaries, after elimination of all significant intercompany accounts, transactions, and profits. Investments in non-majority controlled subsidiaries representing ownership of at least 20%, but less than or equal to 50%, are accounted for under the equity method. Accordingly, we use the equity method of accounting to record our share of the earnings and losses of our aviation joint ventures.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classify as cash equivalents all highly liquid investments with a maturity of three months or less from the date of purchase. Our interest earning cash equivalents amounted to $53.2 million and $36.6 million at March 31, 2002 and 2001, respectively, consisting principally of bank repurchase agreements collateralized by the United States Government, bank money market accounts, and commercial paper rated A1P1. Interest income, included in Interest, net, in the accompanying Consolidated Statements of Income, totaled $1.8 million, $2.0 million and $1.3 million for fiscal 2002, 2001 and 2000,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March 31, 2002 and 2001, we had accounts and notes receivable of $132.6 million and $125.9 million, net of allowance for bad debts of $11.0 and $11.2 million, respectively. The allowance for bad debts at March 31, 2002 and 2001 included a specific allowance of $3.0 million for one aviation customer representing the entire accounts receivable balance for that customer. Also, as of March 31, 2001, we established additional specific allowances of $90 thousand for two other customers. Our remaining allowance of $8.0 million and $8.1 million at March 31, 2002 and 2001, respectively, are general for all other customers. The following table set forth activities in our allowance for bad debt: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310" w:type="dxa"/>
            <w:vAlign w:val="bottom"/>
            <w:gridSpan w:val="8"/>
          </w:tcPr>
          <w:p>
            <w:pPr>
              <w:ind w:left="530"/>
              <w:spacing w:after="0"/>
              <w:rPr>
                <w:sz w:val="20"/>
                <w:szCs w:val="20"/>
                <w:color w:val="auto"/>
              </w:rPr>
            </w:pPr>
            <w:r>
              <w:rPr>
                <w:rFonts w:ascii="Arial" w:cs="Arial" w:eastAsia="Arial" w:hAnsi="Arial"/>
                <w:sz w:val="14"/>
                <w:szCs w:val="14"/>
                <w:b w:val="1"/>
                <w:bCs w:val="1"/>
                <w:color w:val="auto"/>
                <w:w w:val="90"/>
              </w:rPr>
              <w:t>For the year ended March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right"/>
              <w:ind w:right="118"/>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8320" w:type="dxa"/>
            <w:vAlign w:val="bottom"/>
            <w:vMerge w:val="continue"/>
          </w:tcPr>
          <w:p>
            <w:pPr>
              <w:spacing w:after="0"/>
              <w:rPr>
                <w:sz w:val="22"/>
                <w:szCs w:val="22"/>
                <w:color w:val="auto"/>
              </w:rPr>
            </w:pPr>
          </w:p>
        </w:tc>
        <w:tc>
          <w:tcPr>
            <w:tcW w:w="110" w:type="dxa"/>
            <w:vAlign w:val="bottom"/>
          </w:tcPr>
          <w:p>
            <w:pPr>
              <w:spacing w:after="0"/>
              <w:rPr>
                <w:sz w:val="22"/>
                <w:szCs w:val="22"/>
                <w:color w:val="auto"/>
              </w:rPr>
            </w:pPr>
          </w:p>
        </w:tc>
        <w:tc>
          <w:tcPr>
            <w:tcW w:w="5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Charges to provision for bad debts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3,928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7,909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accounts receivable</w:t>
            </w:r>
          </w:p>
        </w:tc>
        <w:tc>
          <w:tcPr>
            <w:tcW w:w="11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(11,243)</w:t>
            </w:r>
          </w:p>
        </w:tc>
        <w:tc>
          <w:tcPr>
            <w:tcW w:w="0" w:type="dxa"/>
            <w:vAlign w:val="bottom"/>
          </w:tcPr>
          <w:p>
            <w:pPr>
              <w:spacing w:after="0"/>
              <w:rPr>
                <w:sz w:val="1"/>
                <w:szCs w:val="1"/>
                <w:color w:val="auto"/>
              </w:rPr>
            </w:pPr>
          </w:p>
        </w:tc>
      </w:tr>
      <w:tr>
        <w:trPr>
          <w:trHeight w:val="222"/>
        </w:trPr>
        <w:tc>
          <w:tcPr>
            <w:tcW w:w="8320" w:type="dxa"/>
            <w:vAlign w:val="bottom"/>
          </w:tcPr>
          <w:p>
            <w:pPr>
              <w:ind w:left="20"/>
              <w:spacing w:after="0"/>
              <w:rPr>
                <w:sz w:val="20"/>
                <w:szCs w:val="20"/>
                <w:color w:val="auto"/>
              </w:rPr>
            </w:pPr>
            <w:r>
              <w:rPr>
                <w:rFonts w:ascii="Arial" w:cs="Arial" w:eastAsia="Arial" w:hAnsi="Arial"/>
                <w:sz w:val="18"/>
                <w:szCs w:val="18"/>
                <w:color w:val="auto"/>
              </w:rPr>
              <w:t>Recoveries of bad debts</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11,012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70" w:type="dxa"/>
            <w:vAlign w:val="bottom"/>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-1120775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-1120775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-1120775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-1120775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-1120775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-1120775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215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38735"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215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38735"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-323215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-323215</wp:posOffset>
            </wp:positionV>
            <wp:extent cx="215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38735"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-38100</wp:posOffset>
            </wp:positionV>
            <wp:extent cx="2984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-38100</wp:posOffset>
            </wp:positionV>
            <wp:extent cx="124777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47775" cy="38735"/>
                    </a:xfrm>
                    <a:prstGeom prst="rect">
                      <a:avLst/>
                    </a:prstGeom>
                    <a:noFill/>
                  </pic:spPr>
                </pic:pic>
              </a:graphicData>
            </a:graphic>
          </wp:anchor>
        </w:drawing>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For additional information on accounts receivable and allowance for bad debts in our marine and aviation segments, see “Business Segments” in Note 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Inventories are stated at the lower of cost (principally, first-in, first-out) or market. Components of inventory cost include fuel purchase costs, and the related transportation costs and storage fees. Also included in inventories are costs not yet billed, consistent with our policy on revenue recognition.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use commodity swap contracts to hedge fixed fuel prices on future sales to our customers with, or without, physical delivery of product. We also may hedge the physical delivery of future purchases through a commodity based derivative instrument.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Effective April 1, 2001, we adopted SFAS No. 133, “Accounting for Derivative Instruments and Hedging Activities,” as amended by SFAS No. 137 and 138 and various interpretations of the Derivatives Implementation Task Force (collectively, SFAS No. 133). SFAS No. 133 established accounting and reporting standards requiring that all derivative instruments (including certain derivative instruments embedded in other contracts) be recorded on the balance sheet as either an asset or a liability, and measured at fair value.</w:t>
      </w:r>
    </w:p>
    <w:p>
      <w:pPr>
        <w:spacing w:after="0" w:line="13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swap contracts are cash flow hedges of the related sales commitments. Changes in the fair value of our swap contracts are recognized as a component of other comprehensive income (“OCI”) until the underlying hedged sale commitments are recognized in earnings. The ineffective portion of a hedge’s change in fair value is immediately recognized in earnings as part of cost of sales. We formally document all relationships between hedging instruments and hedged items, as well as our risk management objectives and strategies for undertaking our hedge transactions.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2002, we have recorded our swap contracts at their fair value of $1.9 million which was included as Prepaid expenses and other current assets and Accrued expenses in the accompanying Consolidated Balance Sheets. As of March 31, 2002, OCI amounts for swap contracts fully offset. During fiscal 2002, all net changes in the fair value of our cash flow hedges were immaterial, as were any ineffective portions of these hedges. No cash flow hedges were derecognized or discontinued in fiscal 2002, and the amount of estimated unrealized net gains or losses which are expected to be reclassified to earnings in the next twelve months was not material.</w:t>
      </w:r>
    </w:p>
    <w:p>
      <w:pPr>
        <w:spacing w:after="0" w:line="1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Prior to fiscal 2001, the fair values of our swap contracts were not recorded in our financial statements. Any differences paid or received on swap contracts were recognized as adjustments to earnings over the life of the contracts. Any gains or losses on sale commitments were recognized as adjustments to earnings as part of cost of sales upon the delivery of fuel or maturity of the commitment.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on a straight-line basis over the estimated useful lives of the assets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Years</w:t>
            </w:r>
          </w:p>
        </w:tc>
      </w:tr>
      <w:tr>
        <w:trPr>
          <w:trHeight w:val="105"/>
        </w:trPr>
        <w:tc>
          <w:tcPr>
            <w:tcW w:w="79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5"/>
        </w:trPr>
        <w:tc>
          <w:tcPr>
            <w:tcW w:w="79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Leasehold and improvements</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5–10</w:t>
            </w: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Office equipment, computer equipment and software</w:t>
            </w:r>
          </w:p>
        </w:tc>
        <w:tc>
          <w:tcPr>
            <w:tcW w:w="600" w:type="dxa"/>
            <w:vAlign w:val="bottom"/>
          </w:tcPr>
          <w:p>
            <w:pPr>
              <w:ind w:left="260"/>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-359410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-359410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Costs of major additions and improvements, including appropriate interest, are capitalized and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12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Computer software costs are accounted for under Statement of Position (“SOP”) 98-1, “Accounting for the Costs of Computer Software Developed or Obtained for Internal Use.” SOP 98-1 established criteria for determining which costs of developing or obtaining internal-use computer software should be charged to expense and which should be capitalized. In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March 2000, the Emerging Issues Task Force (“EITF”) reached a consensus on Issue No. 00-2, “Accounting for Web Site Development Costs,” which applies to all web site development costs incurred for quarters beginning after June 30, 2000. The consensus states that the accounting for specific web site development costs should be based on a model consistent with SOP 98-1. As of March 31, 2002 and 2001, capitalized computer software costs, including web site development costs, amounted to $3.5 million and $3.7 million, net of accumulated amortization of $1.8 million and $1.1 million, respectively, and were included in Office equipment, computer equipment and software in the accompanying Consolidated Balance Sheets. Included in the March 31, 2001 balance was computer software development costs in progress of $1.1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Identifiable Intangible Asset and Investment Goodwill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assets, of the acquired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companies. Investment goodwill of $2.9 million was included in Other assets in the accompanying Consolidated Balance Sheets at March 31, 2002 and 2001.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for customer relations existing at the date of acquisition was recorded and is being amortized over its useful life of five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April 1, 2001, as permitted, we elected to early adopt Statement of Financial Accounting Standards (“SFAS”) No. 142, “Goodwill and Other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SFAS No. 142 established accounting and reporting standards for acquired goodwill and other intangible assets, and states that goodwill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amortized prospectively. Accordingly, no goodwill amortization was recorded for fiscal 2002. In fiscal 2001 and 2000, we recorded goodwill amortization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$824 thousand, including investment goodwill amortization of $74 thousand, and $730 thousand, respectively. For fiscal 2002, we amortized $92 thousand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SFAS No. 142, we were required to perform an initial impairment review of our goodwill and will perform an annual impairment review thereafter. We completed the initial step of the transitional goodwill impairment test as of April 1, 2001 during the second quarter of fiscal 2002. This step of the goodwill impairment test compares the fair value of a reporting unit with its carrying amount, including goodwill. Based on results of these comparisons, goodwill in each of our reporting units is not considered impaired.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SFAS No. 142, the following proforma information is presented:</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For the year ended March 31,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700" w:type="dxa"/>
            <w:vAlign w:val="bottom"/>
            <w:gridSpan w:val="2"/>
            <w:vMerge w:val="continue"/>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Reported net income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Add back: Goodwill amortization, net of tax</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net income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7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Reported earnings per share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Add back: Goodwill amortization, net of tax</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earnings per share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7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Reported earnings per share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Add back: Goodwill amortization, net of tax</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earnings per share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-2733040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-2733040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-2733040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-2733040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-2733040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-2733040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-2072640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-2072640</wp:posOffset>
            </wp:positionV>
            <wp:extent cx="215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-2072640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-2072640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-2072640</wp:posOffset>
            </wp:positionV>
            <wp:extent cx="215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-2072640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-2072640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-2072640</wp:posOffset>
            </wp:positionV>
            <wp:extent cx="215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-2072640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-1787525</wp:posOffset>
            </wp:positionV>
            <wp:extent cx="54419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44195" cy="3873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-1197610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-1197610</wp:posOffset>
            </wp:positionV>
            <wp:extent cx="215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-1197610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-1197610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-1197610</wp:posOffset>
            </wp:positionV>
            <wp:extent cx="215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-1197610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-1197610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-1197610</wp:posOffset>
            </wp:positionV>
            <wp:extent cx="215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-1197610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-912495</wp:posOffset>
            </wp:positionV>
            <wp:extent cx="54419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44195" cy="3873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215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215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215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-38100</wp:posOffset>
            </wp:positionV>
            <wp:extent cx="54419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44195" cy="3873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 is generally recorded in the period when the sale is made or as the services are performed. We contract with third parties to provide the fuel and/or deliver most services. This causes delays in receiving the necessary information for invoicing. Accordingly, revenue may be recognized in a period subsequent to when the actual delivery of fuel or service was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performed. This policy does not result in reported results that are materially different than if the revenue were recognized in the period of actual delivery or performance.</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December 1999, the staff of the Securities and Exchange Commission (the “SEC”) published Staff Accounting Bulletin 101, “Topic 13: Revenue Recognition,” (“SAB 101”) to provide guidance on the recognition, presentation and disclosure of revenue in financial statements. SAB 101 also provides guidance on disclosures that should be made for revenue recognition policies and the impact of events and trends on revenue. We adopted SAB 101, effective June 30, 2000, as required. The implementation of SAB 101 did not have a material effect on our financial position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 Shares used to calculate earnings per share are as follows: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360" w:type="dxa"/>
            <w:vAlign w:val="bottom"/>
            <w:gridSpan w:val="5"/>
          </w:tcPr>
          <w:p>
            <w:pPr>
              <w:ind w:left="600"/>
              <w:spacing w:after="0"/>
              <w:rPr>
                <w:sz w:val="20"/>
                <w:szCs w:val="20"/>
                <w:color w:val="auto"/>
              </w:rPr>
            </w:pPr>
            <w:r>
              <w:rPr>
                <w:rFonts w:ascii="Arial" w:cs="Arial" w:eastAsia="Arial" w:hAnsi="Arial"/>
                <w:sz w:val="14"/>
                <w:szCs w:val="14"/>
                <w:b w:val="1"/>
                <w:bCs w:val="1"/>
                <w:color w:val="auto"/>
                <w:w w:val="89"/>
              </w:rPr>
              <w:t>For the year ended March 31,</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10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75"/>
              <w:spacing w:after="0"/>
              <w:rPr>
                <w:sz w:val="20"/>
                <w:szCs w:val="20"/>
                <w:color w:val="auto"/>
              </w:rPr>
            </w:pPr>
            <w:r>
              <w:rPr>
                <w:rFonts w:ascii="Arial" w:cs="Arial" w:eastAsia="Arial" w:hAnsi="Arial"/>
                <w:sz w:val="14"/>
                <w:szCs w:val="14"/>
                <w:b w:val="1"/>
                <w:bCs w:val="1"/>
                <w:color w:val="auto"/>
                <w:w w:val="89"/>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7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Restricted stock weighted average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weighted average shares used in the calculation of diluted earnings per share</w:t>
            </w: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780" w:type="dxa"/>
            <w:vAlign w:val="bottom"/>
            <w:tcBorders>
              <w:lef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of stock options and warrants included in the determination of</w:t>
            </w:r>
          </w:p>
        </w:tc>
        <w:tc>
          <w:tcPr>
            <w:tcW w:w="7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equivalents for the calculation of diluted earnings per share</w:t>
            </w: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780" w:type="dxa"/>
            <w:vAlign w:val="bottom"/>
            <w:tcBorders>
              <w:lef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of stock options which are not included in the calculation of</w:t>
            </w:r>
          </w:p>
        </w:tc>
        <w:tc>
          <w:tcPr>
            <w:tcW w:w="7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 because their impact is antidilutive</w:t>
            </w:r>
          </w:p>
        </w:tc>
        <w:tc>
          <w:tcPr>
            <w:tcW w:w="7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780" w:type="dxa"/>
            <w:vAlign w:val="bottom"/>
            <w:gridSpan w:val="2"/>
            <w:vMerge w:val="restart"/>
          </w:tcPr>
          <w:p>
            <w:pPr>
              <w:jc w:val="right"/>
              <w:ind w:right="1752"/>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80" w:type="dxa"/>
            <w:vAlign w:val="bottom"/>
            <w:gridSpan w:val="2"/>
            <w:vMerge w:val="continue"/>
          </w:tcPr>
          <w:p>
            <w:pPr>
              <w:spacing w:after="0"/>
              <w:rPr>
                <w:sz w:val="5"/>
                <w:szCs w:val="5"/>
                <w:color w:val="auto"/>
              </w:rPr>
            </w:pPr>
          </w:p>
        </w:tc>
        <w:tc>
          <w:tcPr>
            <w:tcW w:w="780" w:type="dxa"/>
            <w:vAlign w:val="bottom"/>
            <w:tcBorders>
              <w:lef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-2120900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-2120900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-2120900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-2120900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-2120900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-2120900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-1554480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-1554480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-1554480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-1554480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-1554480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-1554480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primary functional currency is the U.S. Dollar, which also serves as our reporting currency. Most non-U.S. entities remeasure monetary assets and liabilities at fiscal year-end exchange rates while non-monetary assets and liabilities are remeasured at historical rates. Income and expense accounts are remeasured at the average rates in effect during the year, except for depreciation which is remeasured at historical rates. Foreign currency remeasurement gains and losses relating to the remeasurement of non-U.S. entities’ assets, liabilities, income, and expense were included in Other, net in the accompanying Consolidated Statements of Income, in the period incurred and ended, and amounted to a net gain of $134 thousand for fiscal 2002, and a net loss of $127 thousand and $428 thousand for fiscal 2001 and 2000, respectively.</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Some of our aviation fuel purchases are denominated in local currency. Foreign currency exchange gains and losses on transactions were included in Other, net in the accompanying Consolidated Statements of Income, in the period incurred, and amounted to a net loss of $1.2 million for fiscal 2002, and net gains of $376 thousand and $312 thousand for fiscal 2001 and 2000,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items of other comprehensive income, and, thus, net income is equal to comprehensive income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certain estimates and assumptions that affect the reported amounts of assets, liabilities, and disclosure of contingent assets and liabilities at the date of the financial statements and the reported amounts of revenue and expenses during the reporting period. Such estimates primarily relate to the realizability of accounts and notes receivable, and unsettled transactions and events as of the date of the financial statements. Accordingly, actual results could differ from estimated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estimated fair values of financial instruments which are presented herein have been determined by our management using available market information and appropriate valuation methodologies. However, considerable judgment is required in interpreting market data to develop estimates of fair value. Accordingly, the estimates presented herein are not necessarily indicative of amounts we could realize in a current market exchange.</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Cash and cash equivalents, accounts and notes receivable, net, and accounts payable are reflected in the accompanying Consolidated Balance Sheets at amounts considered by management to reasonably approximate fair value due to their short-term nature.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estimate the fair value of our long-term debt generally using discounted cash flow analysis based on our current borrowing rates for similar types of debt. As of March 31, 2002, the carrying value of the long-term debt approximated the fair value of such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years have been reclassified to conform to the fiscal 2002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July 1, 2001, we adopted SFAS 141, “Business Combinations.” SFAS No. 141 established accounting and reporting standards for business combinations requiring that all business combinations, within the scope of SFAS No. 141, are to be accounted for using only the purchase method of accounting. The adoption of SFAS No. 141 did not have a material effect on our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August 2001, the Financial Accounting Standards Board issued SFAS No. 144, “Accounting for the Impairment or Disposal of Long-Lived Assets.” SFAS No. 144 addresses financial accounting and reporting for the impairment or disposal of long-lived assets, excluding goodwill. SFAS No. 144 will be effective for our fiscal year ending March 31, 2003. We will adopt SFAS No. 144, effective April 1, 2002, as required. We do not believe that the implementation of SFAS No. 144 will have a material effect on our consolidated financial statements.</w:t>
      </w:r>
    </w:p>
    <w:p>
      <w:pPr>
        <w:spacing w:after="0" w:line="13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DISCONTINUED OPERATIONS</w:t>
      </w:r>
    </w:p>
    <w:p>
      <w:pPr>
        <w:spacing w:after="0" w:line="15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January 2000, our Board of Directors authorized the sale of our oil-recycling segment. Accordingly, as of December 31, 1999, we reported our oil-recycling segment as a discontinued operation. Financial results for periods prior to the dates of discontinuance have been reclassified to reflect continuing operations.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2000, we sold the stock of our oil-recycling subsidiaries, the International Petroleum Corporation group (“IPC”), to EarthCare Company. Pursuant to the stock purchase agreement between the parties, we received $28.0 million in cash and $5.0 million in EarthCare common stock, subject to lock-up and price protection agreements. In addition to the $33.0 million purchase price, after the sale, EarthCare was to pay us the value of certain assets employed in the oil-recycling business through the collection of our accounts receivable by EarthCare and the sale of inventory, prepaid expenses and other assets to EarthCare. EarthCare failed to pay us the amounts due after closing of the sale, and we commenced legal proceedings to collect these amounts.</w:t>
      </w:r>
    </w:p>
    <w:p>
      <w:pPr>
        <w:spacing w:after="0" w:line="10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March 2001, we entered into a settlement agreement with EarthCare (the “Settlement Agreement”) which dismissed the pending proceedings. Pursuant to this settlement, in April 2001, we received $1.75 million from EarthCare, in settlement of amounts due to us. The Settlement Agreement also released us from all indemnifications previously provided to EarthCare, including environmental indemnifications, as stated in the original purchase agreement for the IPC companies. The settlement resulted in a reduction in the amount of assets we ultimately realized in connection with the discontinuance of our used oil-recycling business. Accordingly, this was reflected as a non-recurring after-tax charge of $656 thousand to our discontinued operations for fiscal 2001. We also recorded additional income taxes of $496 thousand in discontinued operations based on the actual fiscal 2000 income tax returns filed. As of March 31, 2001, the $1.75 million settlement was included in Prepaid expenses and other current assets in the accompanying Consolidated Balance Sheets.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the Settlement Agreement, Donald F. Moorehead, Jr., Chairman of EarthCare, agreed to purchase the EarthCare stock owned by us for approximately $5.0 million, less the balance after deducting $21 thousand received by us from a previous sale of 10 thousand shares of EarthCare stock. In May 2001, Mr. Moorehead defaulted on his agreement to purchase those shares. We commenced legal proceedings against Mr. Moorehead to enforce his contract to purchase the EarthCare stock owned by us. In July 2001, we received a Summary Judgment from the United States District Court for the Southern District of Florida which ordered Mr. Moorehead to pay us compensatory damages of approximately $5.0 million, plus interest from May 2001. From August 2001 to October 2001, we received principal and interest payments totaling $700 thousand from Mr. Moorehead. As of March 31, 2002 and 2001, the receivable from Mr. Moorehead for approximately $4.3 million and $5.0 million, respectively, was included in Prepaid expenses and other current assets in the accompanying Consolidated Balance Sheets.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been pursuing collection of our judgment from Mr. Moorehead and in May 2002, the court appointed a receiver to take possession and control of all nonexempt assets and property interests of Mr. Moorehead. The receiver is empowered to perform any and all acts necessary and appropriate in order to take possession and control of Mr. Moorehead’s assets and property interests, and to collect, sell or otherwise liquidate those assets and property interests to satisfy our judgment. Because the receivership has just started, the receiver is still assessing the situation, and based upon his analysis and experience, is expected to develop a plan of action to liquidate Mr. Moorehead’s assets. Although we believe that we will recover the remaining amount of the debt, our ability to recover the full amount remains subject to customary collection risks, including the risk that Mr. Moorehead may file for personal bankruptcy, and that his saleable assets will not produce sufficient proceeds to satisfy the debt. Most of Mr. Moorehead’s assets are subject to liens in favor of other creditors, which will make it more difficult to sell the assets and realize sufficient proceeds to satisfy our judgment. Subsequent to the court’s appointment of a receiver, we received another interest payment of $100 thousand from Mr. Moorehead. See Note 6, Commitments and Contingencies—Legal Matters for additional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2000, we recognized net income of $9.8 million on the disposal of our oil-recycling segment. Net income from discontinued operations included $1.6 million, net of $980 thousand in taxes, for the oil-recycling segment operating income for the ten months ended January 31, 2000, the measurement date, and $8.2 million, net of $5.2 million in taxes and $92 thousand in provision for certain costs during the phase-out period, for the gain on sale of the segment. Revenue applicable to the discontinued operations was $22.5 million for fiscal 2000. Income from operations of the discontinued operations for fiscal 2000 was $2.5 million.</w:t>
      </w:r>
    </w:p>
    <w:p>
      <w:pPr>
        <w:spacing w:after="0" w:line="123"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2001, we replaced our existing credit facility while maintaining the same credit limit of $30.0 million with an increase to the sublimit for letters of credit from $15 million to $25 million. Our available borrowings under the credit facility are reduced by the amount of outstanding letters of credit. As of March 31, 2002, we had no borrowings under the credit facility. Letters of credit of $15.8 million were outstanding under the credit facility agreement. The credit facility agreement expires on December 7, 2004. Borrowings under the revolving credit facility bear interest at market rates, as defined under the credit facility agreement. Interest is payable quarterly in arrears. The credit facility agreement imposes certain operating and financial restrictions on us, including restrictions on the payment of dividends in excess of specified amounts. Our failure to comply with obligations under the revolving credit agreement, including meeting certain financial ratios, could result in an event of default. An event of default, if not cured or waived, would permit acceleration of any outstanding indebtedness under the credit agreement, and impair our ability to receive advances, and issue letters of credit. As of March 31, 2002, we were in compliance with the operating and financial requirements under the credit facility.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at March 31:</w:t>
      </w:r>
    </w:p>
    <w:p>
      <w:pPr>
        <w:spacing w:after="0" w:line="1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7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Promissory notes issued in connection with business acquisitions: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7.75% promissory note, paid in April 2002 and 2001, secured by letters of credit which expired</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April 2002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280"/>
              <w:spacing w:after="0"/>
              <w:rPr>
                <w:sz w:val="20"/>
                <w:szCs w:val="20"/>
                <w:color w:val="auto"/>
              </w:rPr>
            </w:pPr>
            <w:r>
              <w:rPr>
                <w:rFonts w:ascii="Arial" w:cs="Arial" w:eastAsia="Arial" w:hAnsi="Arial"/>
                <w:sz w:val="18"/>
                <w:szCs w:val="18"/>
                <w:color w:val="auto"/>
                <w:w w:val="97"/>
              </w:rPr>
              <w:t>7% promissory note, payable annually through April 2003 with the first installment paid in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April 2002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Non-interest bearing promissory note of $2.5 million, payable annually through January 2006,</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net of unamortized imputed discount (at 9%) of $335 and $513 at March 31, 2002 and 2001,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280"/>
              <w:spacing w:after="0"/>
              <w:rPr>
                <w:sz w:val="20"/>
                <w:szCs w:val="20"/>
                <w:color w:val="auto"/>
              </w:rPr>
            </w:pPr>
            <w:r>
              <w:rPr>
                <w:rFonts w:ascii="Arial" w:cs="Arial" w:eastAsia="Arial" w:hAnsi="Arial"/>
                <w:sz w:val="18"/>
                <w:szCs w:val="18"/>
                <w:color w:val="auto"/>
                <w:w w:val="92"/>
              </w:rPr>
              <w:t>Non-interest bearing promissory note of $3.3 million, payable annually through January 2005,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of unamortized imputed discount (at 5%) of $263 thousand at March 31, 2002.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 promissory note, paid in February 2002</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2"/>
              </w:rPr>
              <w:t>3.68% bank loan assumed in connection with a business acquisition, payable in September 2002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debt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6"/>
              </w:rPr>
              <w:t>Total short-term debt, including current maturities of debt of $4,210 and $1,781 at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March 31, 2002 and 2001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long-term debt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105"/>
        </w:trPr>
        <w:tc>
          <w:tcPr>
            <w:tcW w:w="7180" w:type="dxa"/>
            <w:vAlign w:val="bottom"/>
            <w:gridSpan w:val="2"/>
            <w:vMerge w:val="restart"/>
          </w:tcPr>
          <w:p>
            <w:pPr>
              <w:jc w:val="right"/>
              <w:ind w:right="215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80" w:type="dxa"/>
            <w:vAlign w:val="bottom"/>
            <w:gridSpan w:val="2"/>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1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-3355340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-3355340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-3355340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-3355340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-1417320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-1417320</wp:posOffset>
            </wp:positionV>
            <wp:extent cx="215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-1417320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-1417320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-1417320</wp:posOffset>
            </wp:positionV>
            <wp:extent cx="215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-1417320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-1132205</wp:posOffset>
            </wp:positionV>
            <wp:extent cx="148780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487805" cy="3873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-686435</wp:posOffset>
            </wp:positionV>
            <wp:extent cx="61277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1277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2002, the aggregate annual maturities of debt, net of unamortized imputed discount, are as follows: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1419225"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80" w:type="dxa"/>
            <w:vAlign w:val="bottom"/>
            <w:shd w:val="clear" w:color="auto" w:fill="CCEEFF"/>
          </w:tcPr>
          <w:p>
            <w:pPr>
              <w:jc w:val="right"/>
              <w:ind w:right="6032"/>
              <w:spacing w:after="0"/>
              <w:rPr>
                <w:sz w:val="20"/>
                <w:szCs w:val="20"/>
                <w:color w:val="auto"/>
              </w:rPr>
            </w:pPr>
            <w:r>
              <w:rPr>
                <w:rFonts w:ascii="Arial" w:cs="Arial" w:eastAsia="Arial" w:hAnsi="Arial"/>
                <w:sz w:val="18"/>
                <w:szCs w:val="18"/>
                <w:color w:val="auto"/>
                <w:w w:val="84"/>
              </w:rPr>
              <w:t>2003</w:t>
            </w:r>
          </w:p>
        </w:tc>
        <w:tc>
          <w:tcPr>
            <w:tcW w:w="310" w:type="dxa"/>
            <w:vAlign w:val="bottom"/>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1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 w:type="dxa"/>
            <w:vAlign w:val="bottom"/>
          </w:tcPr>
          <w:p>
            <w:pPr>
              <w:spacing w:after="0"/>
              <w:rPr>
                <w:sz w:val="18"/>
                <w:szCs w:val="18"/>
                <w:color w:val="auto"/>
              </w:rPr>
            </w:pPr>
          </w:p>
        </w:tc>
      </w:tr>
      <w:tr>
        <w:trPr>
          <w:trHeight w:val="216"/>
        </w:trPr>
        <w:tc>
          <w:tcPr>
            <w:tcW w:w="6480" w:type="dxa"/>
            <w:vAlign w:val="bottom"/>
          </w:tcPr>
          <w:p>
            <w:pPr>
              <w:jc w:val="right"/>
              <w:ind w:right="6032"/>
              <w:spacing w:after="0"/>
              <w:rPr>
                <w:sz w:val="20"/>
                <w:szCs w:val="20"/>
                <w:color w:val="auto"/>
              </w:rPr>
            </w:pPr>
            <w:r>
              <w:rPr>
                <w:rFonts w:ascii="Arial" w:cs="Arial" w:eastAsia="Arial" w:hAnsi="Arial"/>
                <w:sz w:val="18"/>
                <w:szCs w:val="18"/>
                <w:color w:val="auto"/>
                <w:w w:val="84"/>
              </w:rPr>
              <w:t>2004</w:t>
            </w:r>
          </w:p>
        </w:tc>
        <w:tc>
          <w:tcPr>
            <w:tcW w:w="310" w:type="dxa"/>
            <w:vAlign w:val="bottom"/>
          </w:tcPr>
          <w:p>
            <w:pPr>
              <w:spacing w:after="0"/>
              <w:rPr>
                <w:sz w:val="18"/>
                <w:szCs w:val="18"/>
                <w:color w:val="auto"/>
              </w:rPr>
            </w:pPr>
          </w:p>
        </w:tc>
        <w:tc>
          <w:tcPr>
            <w:tcW w:w="175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jc w:val="right"/>
              <w:ind w:right="6032"/>
              <w:spacing w:after="0"/>
              <w:rPr>
                <w:sz w:val="20"/>
                <w:szCs w:val="20"/>
                <w:color w:val="auto"/>
              </w:rPr>
            </w:pPr>
            <w:r>
              <w:rPr>
                <w:rFonts w:ascii="Arial" w:cs="Arial" w:eastAsia="Arial" w:hAnsi="Arial"/>
                <w:sz w:val="18"/>
                <w:szCs w:val="18"/>
                <w:color w:val="auto"/>
                <w:w w:val="84"/>
              </w:rPr>
              <w:t>2005</w:t>
            </w:r>
          </w:p>
        </w:tc>
        <w:tc>
          <w:tcPr>
            <w:tcW w:w="310" w:type="dxa"/>
            <w:vAlign w:val="bottom"/>
            <w:shd w:val="clear" w:color="auto" w:fill="CCEEFF"/>
          </w:tcPr>
          <w:p>
            <w:pPr>
              <w:spacing w:after="0"/>
              <w:rPr>
                <w:sz w:val="18"/>
                <w:szCs w:val="18"/>
                <w:color w:val="auto"/>
              </w:rPr>
            </w:pPr>
          </w:p>
        </w:tc>
        <w:tc>
          <w:tcPr>
            <w:tcW w:w="1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8"/>
                <w:szCs w:val="18"/>
                <w:color w:val="auto"/>
              </w:rPr>
            </w:pPr>
          </w:p>
        </w:tc>
      </w:tr>
      <w:tr>
        <w:trPr>
          <w:trHeight w:val="222"/>
        </w:trPr>
        <w:tc>
          <w:tcPr>
            <w:tcW w:w="6480" w:type="dxa"/>
            <w:vAlign w:val="bottom"/>
          </w:tcPr>
          <w:p>
            <w:pPr>
              <w:jc w:val="right"/>
              <w:ind w:right="6032"/>
              <w:spacing w:after="0"/>
              <w:rPr>
                <w:sz w:val="20"/>
                <w:szCs w:val="20"/>
                <w:color w:val="auto"/>
              </w:rPr>
            </w:pPr>
            <w:r>
              <w:rPr>
                <w:rFonts w:ascii="Arial" w:cs="Arial" w:eastAsia="Arial" w:hAnsi="Arial"/>
                <w:sz w:val="18"/>
                <w:szCs w:val="18"/>
                <w:color w:val="auto"/>
                <w:w w:val="84"/>
              </w:rPr>
              <w:t>2006</w:t>
            </w:r>
          </w:p>
        </w:tc>
        <w:tc>
          <w:tcPr>
            <w:tcW w:w="310" w:type="dxa"/>
            <w:vAlign w:val="bottom"/>
          </w:tcPr>
          <w:p>
            <w:pPr>
              <w:spacing w:after="0"/>
              <w:rPr>
                <w:sz w:val="19"/>
                <w:szCs w:val="19"/>
                <w:color w:val="auto"/>
              </w:rPr>
            </w:pPr>
          </w:p>
        </w:tc>
        <w:tc>
          <w:tcPr>
            <w:tcW w:w="1750" w:type="dxa"/>
            <w:vAlign w:val="bottom"/>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9"/>
                <w:szCs w:val="19"/>
                <w:color w:val="auto"/>
              </w:rPr>
            </w:pPr>
          </w:p>
        </w:tc>
      </w:tr>
      <w:tr>
        <w:trPr>
          <w:trHeight w:val="112"/>
        </w:trPr>
        <w:tc>
          <w:tcPr>
            <w:tcW w:w="6480" w:type="dxa"/>
            <w:vAlign w:val="bottom"/>
          </w:tcPr>
          <w:p>
            <w:pPr>
              <w:spacing w:after="0"/>
              <w:rPr>
                <w:sz w:val="9"/>
                <w:szCs w:val="9"/>
                <w:color w:val="auto"/>
              </w:rPr>
            </w:pPr>
          </w:p>
        </w:tc>
        <w:tc>
          <w:tcPr>
            <w:tcW w:w="310" w:type="dxa"/>
            <w:vAlign w:val="bottom"/>
            <w:tcBorders>
              <w:bottom w:val="single" w:sz="8" w:color="auto"/>
            </w:tcBorders>
          </w:tcPr>
          <w:p>
            <w:pPr>
              <w:spacing w:after="0"/>
              <w:rPr>
                <w:sz w:val="9"/>
                <w:szCs w:val="9"/>
                <w:color w:val="auto"/>
              </w:rPr>
            </w:pPr>
          </w:p>
        </w:tc>
        <w:tc>
          <w:tcPr>
            <w:tcW w:w="17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6480" w:type="dxa"/>
            <w:vAlign w:val="bottom"/>
          </w:tcPr>
          <w:p>
            <w:pPr>
              <w:spacing w:after="0"/>
              <w:rPr>
                <w:sz w:val="24"/>
                <w:szCs w:val="24"/>
                <w:color w:val="auto"/>
              </w:rPr>
            </w:pPr>
          </w:p>
        </w:tc>
        <w:tc>
          <w:tcPr>
            <w:tcW w:w="310" w:type="dxa"/>
            <w:vAlign w:val="bottom"/>
          </w:tcPr>
          <w:p>
            <w:pPr>
              <w:jc w:val="right"/>
              <w:ind w:right="153"/>
              <w:spacing w:after="0"/>
              <w:rPr>
                <w:sz w:val="20"/>
                <w:szCs w:val="20"/>
                <w:color w:val="auto"/>
              </w:rPr>
            </w:pPr>
            <w:r>
              <w:rPr>
                <w:rFonts w:ascii="Arial" w:cs="Arial" w:eastAsia="Arial" w:hAnsi="Arial"/>
                <w:sz w:val="15"/>
                <w:szCs w:val="15"/>
                <w:color w:val="auto"/>
                <w:w w:val="71"/>
              </w:rPr>
              <w:t>$</w:t>
            </w:r>
          </w:p>
        </w:tc>
        <w:tc>
          <w:tcPr>
            <w:tcW w:w="1750" w:type="dxa"/>
            <w:vAlign w:val="bottom"/>
          </w:tcPr>
          <w:p>
            <w:pPr>
              <w:jc w:val="right"/>
              <w:spacing w:after="0"/>
              <w:rPr>
                <w:sz w:val="20"/>
                <w:szCs w:val="20"/>
                <w:color w:val="auto"/>
              </w:rPr>
            </w:pPr>
            <w:r>
              <w:rPr>
                <w:rFonts w:ascii="Arial" w:cs="Arial" w:eastAsia="Arial" w:hAnsi="Arial"/>
                <w:sz w:val="18"/>
                <w:szCs w:val="18"/>
                <w:color w:val="auto"/>
              </w:rPr>
              <w:t>10,032</w:t>
            </w:r>
          </w:p>
        </w:tc>
        <w:tc>
          <w:tcPr>
            <w:tcW w:w="20" w:type="dxa"/>
            <w:vAlign w:val="bottom"/>
          </w:tcPr>
          <w:p>
            <w:pPr>
              <w:spacing w:after="0"/>
              <w:rPr>
                <w:sz w:val="24"/>
                <w:szCs w:val="24"/>
                <w:color w:val="auto"/>
              </w:rPr>
            </w:pPr>
          </w:p>
        </w:tc>
      </w:tr>
      <w:tr>
        <w:trPr>
          <w:trHeight w:val="107"/>
        </w:trPr>
        <w:tc>
          <w:tcPr>
            <w:tcW w:w="6480" w:type="dxa"/>
            <w:vAlign w:val="bottom"/>
          </w:tcPr>
          <w:p>
            <w:pPr>
              <w:spacing w:after="0"/>
              <w:rPr>
                <w:sz w:val="9"/>
                <w:szCs w:val="9"/>
                <w:color w:val="auto"/>
              </w:rPr>
            </w:pPr>
          </w:p>
        </w:tc>
        <w:tc>
          <w:tcPr>
            <w:tcW w:w="310" w:type="dxa"/>
            <w:vAlign w:val="bottom"/>
          </w:tcPr>
          <w:p>
            <w:pPr>
              <w:spacing w:after="0"/>
              <w:rPr>
                <w:sz w:val="9"/>
                <w:szCs w:val="9"/>
                <w:color w:val="auto"/>
              </w:rPr>
            </w:pPr>
          </w:p>
        </w:tc>
        <w:tc>
          <w:tcPr>
            <w:tcW w:w="175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6480" w:type="dxa"/>
            <w:vAlign w:val="bottom"/>
          </w:tcPr>
          <w:p>
            <w:pPr>
              <w:spacing w:after="0"/>
              <w:rPr>
                <w:sz w:val="5"/>
                <w:szCs w:val="5"/>
                <w:color w:val="auto"/>
              </w:rPr>
            </w:pPr>
          </w:p>
        </w:tc>
        <w:tc>
          <w:tcPr>
            <w:tcW w:w="310" w:type="dxa"/>
            <w:vAlign w:val="bottom"/>
            <w:shd w:val="clear" w:color="auto" w:fill="000000"/>
          </w:tcPr>
          <w:p>
            <w:pPr>
              <w:spacing w:after="0"/>
              <w:rPr>
                <w:sz w:val="5"/>
                <w:szCs w:val="5"/>
                <w:color w:val="auto"/>
              </w:rPr>
            </w:pPr>
          </w:p>
        </w:tc>
        <w:tc>
          <w:tcPr>
            <w:tcW w:w="175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215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which is included in Interest, net, in the accompanying Consolidated Statements of Income, is as follows for fiscal:</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490" w:type="dxa"/>
            <w:vAlign w:val="bottom"/>
          </w:tcPr>
          <w:p>
            <w:pPr>
              <w:jc w:val="right"/>
              <w:ind w:right="117"/>
              <w:spacing w:after="0"/>
              <w:rPr>
                <w:sz w:val="20"/>
                <w:szCs w:val="20"/>
                <w:color w:val="auto"/>
              </w:rPr>
            </w:pPr>
            <w:r>
              <w:rPr>
                <w:rFonts w:ascii="Arial" w:cs="Arial" w:eastAsia="Arial" w:hAnsi="Arial"/>
                <w:sz w:val="14"/>
                <w:szCs w:val="14"/>
                <w:b w:val="1"/>
                <w:bCs w:val="1"/>
                <w:color w:val="auto"/>
                <w:w w:val="83"/>
              </w:rPr>
              <w:t>2002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2001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4"/>
                <w:szCs w:val="14"/>
                <w:b w:val="1"/>
                <w:bCs w:val="1"/>
                <w:color w:val="auto"/>
                <w:w w:val="89"/>
              </w:rPr>
              <w:t>2000</w:t>
            </w:r>
          </w:p>
        </w:tc>
        <w:tc>
          <w:tcPr>
            <w:tcW w:w="0" w:type="dxa"/>
            <w:vAlign w:val="bottom"/>
          </w:tcPr>
          <w:p>
            <w:pPr>
              <w:spacing w:after="0"/>
              <w:rPr>
                <w:sz w:val="1"/>
                <w:szCs w:val="1"/>
                <w:color w:val="auto"/>
              </w:rPr>
            </w:pPr>
          </w:p>
        </w:tc>
      </w:tr>
      <w:tr>
        <w:trPr>
          <w:trHeight w:val="105"/>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260" w:type="dxa"/>
            <w:vAlign w:val="bottom"/>
            <w:gridSpan w:val="2"/>
            <w:vMerge w:val="continue"/>
          </w:tcPr>
          <w:p>
            <w:pPr>
              <w:spacing w:after="0"/>
              <w:rPr>
                <w:sz w:val="9"/>
                <w:szCs w:val="9"/>
                <w:color w:val="auto"/>
              </w:rPr>
            </w:pPr>
          </w:p>
        </w:tc>
        <w:tc>
          <w:tcPr>
            <w:tcW w:w="1920" w:type="dxa"/>
            <w:vAlign w:val="bottom"/>
          </w:tcPr>
          <w:p>
            <w:pPr>
              <w:spacing w:after="0"/>
              <w:rPr>
                <w:sz w:val="9"/>
                <w:szCs w:val="9"/>
                <w:color w:val="auto"/>
              </w:rPr>
            </w:pPr>
          </w:p>
        </w:tc>
        <w:tc>
          <w:tcPr>
            <w:tcW w:w="150" w:type="dxa"/>
            <w:vAlign w:val="bottom"/>
          </w:tcPr>
          <w:p>
            <w:pPr>
              <w:spacing w:after="0"/>
              <w:rPr>
                <w:sz w:val="9"/>
                <w:szCs w:val="9"/>
                <w:color w:val="auto"/>
              </w:rPr>
            </w:pPr>
          </w:p>
        </w:tc>
        <w:tc>
          <w:tcPr>
            <w:tcW w:w="4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7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79"/>
              </w:rPr>
              <w:t>953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capitalized interest on capital expenditures</w:t>
            </w:r>
          </w:p>
        </w:tc>
        <w:tc>
          <w:tcPr>
            <w:tcW w:w="19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 w:type="dxa"/>
            <w:vAlign w:val="bottom"/>
          </w:tcPr>
          <w:p>
            <w:pPr>
              <w:spacing w:after="0"/>
              <w:rPr>
                <w:sz w:val="9"/>
                <w:szCs w:val="9"/>
                <w:color w:val="auto"/>
              </w:rPr>
            </w:pPr>
          </w:p>
        </w:tc>
        <w:tc>
          <w:tcPr>
            <w:tcW w:w="4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7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79"/>
              </w:rPr>
              <w:t>953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 w:type="dxa"/>
            <w:vAlign w:val="bottom"/>
          </w:tcPr>
          <w:p>
            <w:pPr>
              <w:spacing w:after="0"/>
              <w:rPr>
                <w:sz w:val="9"/>
                <w:szCs w:val="9"/>
                <w:color w:val="auto"/>
              </w:rPr>
            </w:pPr>
          </w:p>
        </w:tc>
        <w:tc>
          <w:tcPr>
            <w:tcW w:w="49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40" w:type="dxa"/>
            <w:vAlign w:val="bottom"/>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50" w:type="dxa"/>
            <w:vAlign w:val="bottom"/>
            <w:shd w:val="clear" w:color="auto" w:fill="000000"/>
          </w:tcPr>
          <w:p>
            <w:pPr>
              <w:spacing w:after="0"/>
              <w:rPr>
                <w:sz w:val="5"/>
                <w:szCs w:val="5"/>
                <w:color w:val="auto"/>
              </w:rPr>
            </w:pPr>
          </w:p>
        </w:tc>
        <w:tc>
          <w:tcPr>
            <w:tcW w:w="490" w:type="dxa"/>
            <w:vAlign w:val="bottom"/>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-751840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-751840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-751840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-751840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-751840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-751840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215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215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-323215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215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-38100</wp:posOffset>
            </wp:positionV>
            <wp:extent cx="1024890"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024890" cy="38735"/>
                    </a:xfrm>
                    <a:prstGeom prst="rect">
                      <a:avLst/>
                    </a:prstGeom>
                    <a:noFill/>
                  </pic:spPr>
                </pic:pic>
              </a:graphicData>
            </a:graphic>
          </wp:anchor>
        </w:drawing>
      </w:r>
    </w:p>
    <w:p>
      <w:pPr>
        <w:spacing w:after="0" w:line="21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U.S. and non-U.S. income (loss) from continuing operations before income taxes, based on the country of incorporation of World Fuel Services Corporation and subsidiaries, consist of the following for fiscal:</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70" w:type="dxa"/>
            <w:vAlign w:val="bottom"/>
          </w:tcPr>
          <w:p>
            <w:pPr>
              <w:jc w:val="right"/>
              <w:ind w:right="177"/>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680" w:type="dxa"/>
            <w:vAlign w:val="bottom"/>
            <w:gridSpan w:val="2"/>
            <w:vMerge w:val="continue"/>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(5,014)</w:t>
            </w:r>
          </w:p>
        </w:tc>
        <w:tc>
          <w:tcPr>
            <w:tcW w:w="2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Non-U.S.</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23,226</w:t>
            </w:r>
          </w:p>
        </w:tc>
        <w:tc>
          <w:tcPr>
            <w:tcW w:w="22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16,343</w:t>
            </w:r>
          </w:p>
        </w:tc>
        <w:tc>
          <w:tcPr>
            <w:tcW w:w="220" w:type="dxa"/>
            <w:vAlign w:val="bottom"/>
          </w:tcPr>
          <w:p>
            <w:pPr>
              <w:spacing w:after="0"/>
              <w:rPr>
                <w:sz w:val="24"/>
                <w:szCs w:val="24"/>
                <w:color w:val="auto"/>
              </w:rPr>
            </w:pPr>
          </w:p>
        </w:tc>
        <w:tc>
          <w:tcPr>
            <w:tcW w:w="29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7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-751840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-751840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-751840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-751840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-751840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-751840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215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-329565</wp:posOffset>
            </wp:positionV>
            <wp:extent cx="38735"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215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-329565</wp:posOffset>
            </wp:positionV>
            <wp:extent cx="38735"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215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38735" cy="215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-38100</wp:posOffset>
            </wp:positionV>
            <wp:extent cx="131635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16355" cy="3873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-38100</wp:posOffset>
            </wp:positionV>
            <wp:extent cx="2984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related to continuing operations consist of the following components for fiscal:</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5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800" w:type="dxa"/>
            <w:vAlign w:val="bottom"/>
            <w:gridSpan w:val="2"/>
            <w:vMerge w:val="continue"/>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5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State</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2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80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State</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87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22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65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-2312670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-2312670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-2312670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-2312670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-2312670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-2312670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-1609090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-1609090</wp:posOffset>
            </wp:positionV>
            <wp:extent cx="215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-1615440</wp:posOffset>
            </wp:positionV>
            <wp:extent cx="38735"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-1609090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-1609090</wp:posOffset>
            </wp:positionV>
            <wp:extent cx="215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-1615440</wp:posOffset>
            </wp:positionV>
            <wp:extent cx="38735"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-1609090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-1609090</wp:posOffset>
            </wp:positionV>
            <wp:extent cx="215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-1615440</wp:posOffset>
            </wp:positionV>
            <wp:extent cx="38735" cy="215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-1317625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-1317625</wp:posOffset>
            </wp:positionV>
            <wp:extent cx="215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-1323975</wp:posOffset>
            </wp:positionV>
            <wp:extent cx="38735" cy="215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-1317625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-1317625</wp:posOffset>
            </wp:positionV>
            <wp:extent cx="215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-1323975</wp:posOffset>
            </wp:positionV>
            <wp:extent cx="38735" cy="215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-1317625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-1317625</wp:posOffset>
            </wp:positionV>
            <wp:extent cx="215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-1323975</wp:posOffset>
            </wp:positionV>
            <wp:extent cx="38735"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-614680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-614680</wp:posOffset>
            </wp:positionV>
            <wp:extent cx="215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-621030</wp:posOffset>
            </wp:positionV>
            <wp:extent cx="38735"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-614680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-614680</wp:posOffset>
            </wp:positionV>
            <wp:extent cx="215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-621030</wp:posOffset>
            </wp:positionV>
            <wp:extent cx="38735"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-614680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-614680</wp:posOffset>
            </wp:positionV>
            <wp:extent cx="215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-621030</wp:posOffset>
            </wp:positionV>
            <wp:extent cx="38735"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-323215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215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-329565</wp:posOffset>
            </wp:positionV>
            <wp:extent cx="38735"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215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-329565</wp:posOffset>
            </wp:positionV>
            <wp:extent cx="38735" cy="215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215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-329565</wp:posOffset>
            </wp:positionV>
            <wp:extent cx="38735"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-38100</wp:posOffset>
            </wp:positionV>
            <wp:extent cx="51879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18795" cy="3873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-38100</wp:posOffset>
            </wp:positionV>
            <wp:extent cx="2984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-38100</wp:posOffset>
            </wp:positionV>
            <wp:extent cx="535940"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35940" cy="3873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share of undistributed earnings of non-U.S. subsidiaries, not included in the consolidated U.S. federal income tax return which could be subject to additional U.S. federal income taxes, if remitted, was approximately $49.9 million and $39.5 million at March 31, 2002 and 2001, respectively. The distribution of these earnings would result in additional U.S. federal and state income taxes to the extent they are not offset by foreign tax credits and non-U.S. withholding taxes. It is our</w:t>
      </w:r>
    </w:p>
    <w:p>
      <w:pPr>
        <w:sectPr>
          <w:pgSz w:w="11900" w:h="16838" w:orient="portrait"/>
          <w:cols w:equalWidth="0" w:num="1">
            <w:col w:w="11240"/>
          </w:cols>
          <w:pgMar w:left="240" w:top="459" w:right="419" w:bottom="1440" w:gutter="0" w:footer="0" w:header="0"/>
        </w:sectPr>
      </w:pP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240" w:top="459" w:right="4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intention to reinvest undistributed earnings of our non-U.S. companies indefinitely and thereby postpone their remittance. Accordingly, no provision has been made for taxes that could result from the remittance of such earnings and it is not practicable to estimate the amount of such taxes. During fiscal 2002 and 2001, our non-U.S. subsidiaries remitted to us previously taxed earnings of $6.0 million and $21.5 million, respectively, as part of our global tax restructuring.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Federal statutory tax rate with the effective tax rate is as follows for fiscal:</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Non-deductible goodwill amortization</w:t>
            </w:r>
          </w:p>
        </w:tc>
        <w:tc>
          <w:tcPr>
            <w:tcW w:w="6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4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State income taxes, net of U.S. federal income tax benefit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net of foreign taxes</w:t>
            </w: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Effective income tax rate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105"/>
        </w:trPr>
        <w:tc>
          <w:tcPr>
            <w:tcW w:w="74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80" w:type="dxa"/>
            <w:vAlign w:val="bottom"/>
            <w:gridSpan w:val="2"/>
          </w:tcPr>
          <w:p>
            <w:pPr>
              <w:spacing w:after="0"/>
              <w:rPr>
                <w:sz w:val="5"/>
                <w:szCs w:val="5"/>
                <w:color w:val="auto"/>
              </w:rPr>
            </w:pPr>
          </w:p>
        </w:tc>
        <w:tc>
          <w:tcPr>
            <w:tcW w:w="3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tcBorders>
              <w:right w:val="single" w:sz="8" w:color="auto"/>
            </w:tcBorders>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7480" w:type="dxa"/>
            <w:vAlign w:val="bottom"/>
            <w:gridSpan w:val="2"/>
          </w:tcPr>
          <w:p>
            <w:pPr>
              <w:spacing w:after="0"/>
              <w:rPr>
                <w:sz w:val="20"/>
                <w:szCs w:val="20"/>
                <w:color w:val="auto"/>
              </w:rPr>
            </w:pPr>
            <w:r>
              <w:rPr>
                <w:rFonts w:ascii="Arial" w:cs="Arial" w:eastAsia="Arial" w:hAnsi="Arial"/>
                <w:sz w:val="18"/>
                <w:szCs w:val="18"/>
                <w:color w:val="auto"/>
                <w:w w:val="88"/>
              </w:rPr>
              <w:t>The temporary differences which comprise our net deferred income tax assets are as follows at March 31: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4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Excess of provision for bad debts over charge-offs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credits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Excess of tax over financial reporting for depreciation of fixed assets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Excess of tax over financial reporting amortization of identifiable intangibles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 recognized for financial reporting purposes,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 currently tax deductible</w:t>
            </w:r>
          </w:p>
        </w:tc>
        <w:tc>
          <w:tcPr>
            <w:tcW w:w="3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7"/>
              </w:rPr>
              <w:t>Accrued expenses recognized for financial reporting purposes, not currently tax deductible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deferred income tax assets,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income tax assets, current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20" w:type="dxa"/>
            <w:vAlign w:val="bottom"/>
            <w:tcBorders>
              <w:right w:val="single" w:sz="8" w:color="auto"/>
            </w:tcBorders>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income tax liabilities, non-current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-3778885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-3778885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-3778885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-3778885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-3778885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-3778885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-2938780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-2945130</wp:posOffset>
            </wp:positionV>
            <wp:extent cx="38735"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-2938780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-2945130</wp:posOffset>
            </wp:positionV>
            <wp:extent cx="38735" cy="215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-2938780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-2945130</wp:posOffset>
            </wp:positionV>
            <wp:extent cx="38735" cy="215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-2653665</wp:posOffset>
            </wp:positionV>
            <wp:extent cx="2984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-2653665</wp:posOffset>
            </wp:positionV>
            <wp:extent cx="2984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-2653665</wp:posOffset>
            </wp:positionV>
            <wp:extent cx="2984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-2055495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-2055495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-2055495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-2055495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-940435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-940435</wp:posOffset>
            </wp:positionV>
            <wp:extent cx="215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-946785</wp:posOffset>
            </wp:positionV>
            <wp:extent cx="38735"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-940435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-940435</wp:posOffset>
            </wp:positionV>
            <wp:extent cx="215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-946785</wp:posOffset>
            </wp:positionV>
            <wp:extent cx="38735"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-655320</wp:posOffset>
            </wp:positionV>
            <wp:extent cx="6470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647065"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-655320</wp:posOffset>
            </wp:positionV>
            <wp:extent cx="2984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-346710</wp:posOffset>
            </wp:positionV>
            <wp:extent cx="2984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-346710</wp:posOffset>
            </wp:positionV>
            <wp:extent cx="2984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-38100</wp:posOffset>
            </wp:positionV>
            <wp:extent cx="1436370"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436370" cy="3873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deferred current income tax assets and deferred non-current income tax liabilities are included in Prepaid expenses and other current assets, and Long-term liabilities in the accompanying Consolidated Balance Sheets, respectively. We have foreign income tax credit carryovers of approximately $3.6 million, which begin to expire in fiscal 2007. Additionally, we have an alternative minimum tax (“AMT”) credit carryforward of approximately $468 thousand which can be used to offset our regular income tax payable in future fiscal years. The AMT credit has an indefinite carryforward period.</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fiscal 2002, the Internal Revenue Service (“IRS”) completed an examination of our consolidated U.S. Federal income tax returns for fiscal 1999 and 1998. The results of the IRS examination did not have a material effect on our consolidated financial statements.</w:t>
      </w:r>
    </w:p>
    <w:p>
      <w:pPr>
        <w:spacing w:after="0" w:line="112" w:lineRule="exact"/>
        <w:rPr>
          <w:sz w:val="20"/>
          <w:szCs w:val="20"/>
          <w:color w:val="auto"/>
        </w:rPr>
      </w:pPr>
    </w:p>
    <w:p>
      <w:pPr>
        <w:ind w:right="8680" w:firstLine="8"/>
        <w:spacing w:after="0" w:line="426" w:lineRule="auto"/>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Treasury Stock</w:t>
      </w:r>
    </w:p>
    <w:p>
      <w:pPr>
        <w:jc w:val="both"/>
        <w:ind w:right="80" w:firstLine="456"/>
        <w:spacing w:after="0" w:line="256" w:lineRule="auto"/>
        <w:rPr>
          <w:sz w:val="20"/>
          <w:szCs w:val="20"/>
          <w:color w:val="auto"/>
        </w:rPr>
      </w:pPr>
      <w:r>
        <w:rPr>
          <w:rFonts w:ascii="Arial" w:cs="Arial" w:eastAsia="Arial" w:hAnsi="Arial"/>
          <w:sz w:val="18"/>
          <w:szCs w:val="18"/>
          <w:color w:val="auto"/>
        </w:rPr>
        <w:t>Our Board of Directors, from time to time, has authorized certain stock repurchase programs whereby we could repurchase our common stock, subject to certain restrictions pursuant to our credit facility. The Board of Directors resolved that the repurchased shares may be reissued for any proper corporate purpose, without limitation and including future acquisitions. In March 2002, we began reissuing our repurchased shares to employees who exercised their stock options instead of issuing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new shares of our common stock. The difference between the aggregate cost of the repurchased shares and proceeds from employees’ exercise of stock options is recorded as an addition or deduction to Capital in excess of par value in the accompanying Consolidated Balance Sheets. As of March 31, 2002, we have reissued nine thousand shares of treasury stock with an aggregate cost of $76 thousand.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status of our treasury stock repurchase programs at March 31, 2002: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average price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81"/>
              </w:rPr>
              <w:t>Repurchases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500" w:type="dxa"/>
            <w:vAlign w:val="bottom"/>
            <w:gridSpan w:val="3"/>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Authorized Stock</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Aggregate</w:t>
            </w:r>
          </w:p>
        </w:tc>
        <w:tc>
          <w:tcPr>
            <w:tcW w:w="3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Remaining Authorized</w:t>
            </w:r>
          </w:p>
        </w:tc>
        <w:tc>
          <w:tcPr>
            <w:tcW w:w="0" w:type="dxa"/>
            <w:vAlign w:val="bottom"/>
          </w:tcPr>
          <w:p>
            <w:pPr>
              <w:spacing w:after="0"/>
              <w:rPr>
                <w:sz w:val="1"/>
                <w:szCs w:val="1"/>
                <w:color w:val="auto"/>
              </w:rPr>
            </w:pPr>
          </w:p>
        </w:tc>
      </w:tr>
      <w:tr>
        <w:trPr>
          <w:trHeight w:val="174"/>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Stock Repurchase Programs</w:t>
            </w:r>
          </w:p>
        </w:tc>
        <w:tc>
          <w:tcPr>
            <w:tcW w:w="160" w:type="dxa"/>
            <w:vAlign w:val="bottom"/>
          </w:tcPr>
          <w:p>
            <w:pPr>
              <w:spacing w:after="0"/>
              <w:rPr>
                <w:sz w:val="15"/>
                <w:szCs w:val="15"/>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Repurchases</w:t>
            </w: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 Repurchases</w:t>
            </w:r>
          </w:p>
        </w:tc>
        <w:tc>
          <w:tcPr>
            <w:tcW w:w="0" w:type="dxa"/>
            <w:vAlign w:val="bottom"/>
          </w:tcPr>
          <w:p>
            <w:pPr>
              <w:spacing w:after="0"/>
              <w:rPr>
                <w:sz w:val="1"/>
                <w:szCs w:val="1"/>
                <w:color w:val="auto"/>
              </w:rPr>
            </w:pPr>
          </w:p>
        </w:tc>
      </w:tr>
      <w:tr>
        <w:trPr>
          <w:trHeight w:val="105"/>
        </w:trPr>
        <w:tc>
          <w:tcPr>
            <w:tcW w:w="216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ind w:left="1100"/>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January 2000</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040" w:type="dxa"/>
            <w:vAlign w:val="bottom"/>
          </w:tcPr>
          <w:p>
            <w:pPr>
              <w:jc w:val="right"/>
              <w:spacing w:after="0"/>
              <w:rPr>
                <w:sz w:val="20"/>
                <w:szCs w:val="20"/>
                <w:color w:val="auto"/>
              </w:rPr>
            </w:pPr>
            <w:r>
              <w:rPr>
                <w:rFonts w:ascii="Arial" w:cs="Arial" w:eastAsia="Arial" w:hAnsi="Arial"/>
                <w:sz w:val="18"/>
                <w:szCs w:val="18"/>
                <w:color w:val="auto"/>
              </w:rPr>
              <w:t>1,391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11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2000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1040"/>
              <w:spacing w:after="0"/>
              <w:rPr>
                <w:sz w:val="20"/>
                <w:szCs w:val="20"/>
                <w:color w:val="auto"/>
              </w:rPr>
            </w:pPr>
            <w:r>
              <w:rPr>
                <w:rFonts w:ascii="Arial" w:cs="Arial" w:eastAsia="Arial" w:hAnsi="Arial"/>
                <w:sz w:val="18"/>
                <w:szCs w:val="18"/>
                <w:color w:val="auto"/>
                <w:w w:val="88"/>
              </w:rPr>
              <w:t>6,013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19,987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-889000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-889000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-1231900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-1231900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-889000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-889000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-889000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-889000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-889000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-889000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-889000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-889000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-323215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215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Outside of the treasury stock repurchase programs, we acquired approximately 22 thousand shares of our common stock with an aggregate cost of $194 thousand prior to fiscal 2000.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declared cash dividends of $0.40 per share of common stock for fiscal 2002 and $0.20 per share of common stock during fiscal 2001 and 2000.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Included in fiscal 2002 was a special cash dividend of $0.10 declared in the first quarter of fiscal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6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July 2000, we granted a warrant to an investment-banking firm in connection with the engagement of such firm to provide advisory services to us. The warrant entitles the holder to purchase up to 50 thousand shares of our common stock at an exercise price of $9.50 per share, for a period of three years. In accordance with EITF Issue No. 96-18, “Accounting for Equity Instruments That Are Issued through Other Than Employees for Acquiring, or in Conjunction with Selling, Goods or Services,” we determined the fair value of this warrant to be approximately $60 thousand based on the Black-Scholes option-pricing model. In October 2000, we terminated our relationship with the investment-banking firm. Accordingly, we expensed the entire estimated value of this warrant during fiscal 2001. This warrant expires in July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Non-Employee Directors Stock Option Plans</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1986, our shareholders approved the 1986 Employee Stock Option Plan (the “1986 Plan”), as amended by subsequent shareholders’ approvals. The 1986 Plan expired in 1996. Options granted under the 1986 Plan, but not yet exercised, survive the 1986 Plan until the options expire. Outstanding options at March 31, 2002 under the 1986 Plan expire between January 2005 and May 2005.</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1997, our shareholders approved the 1996 Employee Stock Option Plan (the “1996 Plan”), as amended by subsequent shareholders’ approvals. The 1996 Plan was replaced by the 2001 Omnibus Plan (the “2001 Plan”). Options granted under the 1996 Plan, but not yet exercised, survive the 1996 Plan until the options expire. Outstanding options at March 31, 2002 under the 1996 Plan expire between August 2006 and March 2011.</w:t>
      </w:r>
    </w:p>
    <w:p>
      <w:pPr>
        <w:spacing w:after="0" w:line="9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2001 Plan was approved by our shareholders in August 2001 and provides a total of 500 thousand shares of our common stock for issuance to our employees, as amended by the Compensation Committee of the Board of Directors (the “Compensation Committee”) in May 2002. Additional shares of our common stock that may be granted under the 2001 Plan include any shares of our common stock that are available for future grant under any of our prior stock option plans, and any stock or options granted under the 2001 Plan or any prior plans that are forfeited, expired or canceled without delivery of shares of our common stock or which result in the forfeiture of the shares of our common stock back to us. Furthermore, pursuant to the 2001 Plan and upon our Board of Directors’ authorization in January 2002, any shares of our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that are reacquired by us in the open market or in private transactions after the effective date of the 2001 Plan, were added to the limitation on the total shares of our common stock which may be issued under the 2001 Plan. As of March 31, 2002, we have repurchased approximately 259 thousand shares since the 2001 Plan’s effective date, and accordingly increased the total number of shares of our common stock which may be delivered to participants in the 2001 Plan by the same number of shares. As of March 31, 2002, the aggregate limit on the total shares of our common stock which may be issued under the 2001 Plan was approximately 769 thousand shares, of which 71 thousand shares are subject to options already issued and an additional 25 thousand shares have been issued as restricted stock grants.</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provisions of the 2001 Plan, the Compensation Committee is authorized to grant common stock, which can be restricted, or stock options which can be “qualified” or “nonqualified” under the Internal Revenue Code of 1986, as amended, or stock appreciation rights, or other stock or non-stock-based awards, including but not limited to stock units, performance units, or dividend equivalent payments. The 2001 Plan is unlimited in duration and, in the event of its termination, the 2001 Plan will remain in effect as long as any of the above items granted by the Compensation Committee are outstanding; provided, however, that no awards may be granted under the 2001 Plan after August 2006. The vesting period of the above items is established by the Compensation Committee, but in no event shall stock options or stock appreciation rights remain exercisable after the five-year anniversary of the date of grant. Outstanding options at March 31, 2002 under the 2001 Plan expire between September 2006 and December 2006.</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1994, our shareholders approved the 1993 Non-Employee Directors Stock Option Plan (the “Directors Plan”), as amended by subsequent shareholders’ approvals. The Directors Plan permits the issuance of options to purchase up to an aggregate of 150 thousand shares of our common stock. Additional options to purchase shares of our common stock may be granted under the Directors Plan for any options that are forfeited, expired or canceled without delivery of shares of our common stock or which result in the forfeiture of the shares of our common stock back to us. Under the Directors Plan, members of the Board of Directors who are not our employees receive a non-qualified option to purchase five thousand shares when such person is first elected to the Board of Directors and will receive a non-qualified option to purchase five thousand shares each year that the individual is re-elected. Options granted are fully exercisable one year after the date of grant. All options under the Directors Plan expire five years after the date of grant. Outstanding options at March 31, 2002 under the Directors Plan expire between August 2002 and August 2006.</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the above stock option plans, in 1995, we issued certain non-qualified options to various employees. These options issued in 1995 expire between January 2005 and May 2005.</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the outstanding stock options which were issued pursuant to the plans described above, the options issued outside the plans in 1995, and the warrants issued in 2000: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weighted-average exercise price)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(b)</w:t>
            </w:r>
          </w:p>
        </w:tc>
        <w:tc>
          <w:tcPr>
            <w:tcW w:w="3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34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3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3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4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3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 plans (excluding</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Plan name or description</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w:t>
            </w:r>
          </w:p>
        </w:tc>
        <w:tc>
          <w:tcPr>
            <w:tcW w:w="340" w:type="dxa"/>
            <w:vAlign w:val="bottom"/>
          </w:tcPr>
          <w:p>
            <w:pPr>
              <w:spacing w:after="0"/>
              <w:rPr>
                <w:sz w:val="15"/>
                <w:szCs w:val="15"/>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warrants, and rights</w:t>
            </w:r>
          </w:p>
        </w:tc>
        <w:tc>
          <w:tcPr>
            <w:tcW w:w="3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2001 Plan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ind w:left="2820"/>
              <w:spacing w:after="0"/>
              <w:rPr>
                <w:sz w:val="20"/>
                <w:szCs w:val="20"/>
                <w:color w:val="auto"/>
              </w:rPr>
            </w:pPr>
            <w:r>
              <w:rPr>
                <w:rFonts w:ascii="Arial" w:cs="Arial" w:eastAsia="Arial" w:hAnsi="Arial"/>
                <w:sz w:val="18"/>
                <w:szCs w:val="18"/>
                <w:color w:val="auto"/>
                <w:w w:val="79"/>
              </w:rPr>
              <w:t>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1996 Plan</w:t>
            </w:r>
          </w:p>
        </w:tc>
        <w:tc>
          <w:tcPr>
            <w:tcW w:w="1940" w:type="dxa"/>
            <w:vAlign w:val="bottom"/>
          </w:tcPr>
          <w:p>
            <w:pPr>
              <w:jc w:val="right"/>
              <w:spacing w:after="0"/>
              <w:rPr>
                <w:sz w:val="20"/>
                <w:szCs w:val="20"/>
                <w:color w:val="auto"/>
              </w:rPr>
            </w:pPr>
            <w:r>
              <w:rPr>
                <w:rFonts w:ascii="Arial" w:cs="Arial" w:eastAsia="Arial" w:hAnsi="Arial"/>
                <w:sz w:val="18"/>
                <w:szCs w:val="18"/>
                <w:color w:val="auto"/>
              </w:rPr>
              <w:t>1,104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w:t>
            </w:r>
          </w:p>
        </w:tc>
        <w:tc>
          <w:tcPr>
            <w:tcW w:w="340" w:type="dxa"/>
            <w:vAlign w:val="bottom"/>
          </w:tcPr>
          <w:p>
            <w:pPr>
              <w:spacing w:after="0"/>
              <w:rPr>
                <w:sz w:val="18"/>
                <w:szCs w:val="18"/>
                <w:color w:val="auto"/>
              </w:rPr>
            </w:pPr>
          </w:p>
        </w:tc>
        <w:tc>
          <w:tcPr>
            <w:tcW w:w="3080" w:type="dxa"/>
            <w:vAlign w:val="bottom"/>
          </w:tcPr>
          <w:p>
            <w:pPr>
              <w:ind w:left="2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1986 Plan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Directors Plan</w:t>
            </w:r>
          </w:p>
        </w:tc>
        <w:tc>
          <w:tcPr>
            <w:tcW w:w="194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12.12</w:t>
            </w:r>
          </w:p>
        </w:tc>
        <w:tc>
          <w:tcPr>
            <w:tcW w:w="34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1995 non-qualified options (1)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options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ind w:left="2820"/>
              <w:spacing w:after="0"/>
              <w:rPr>
                <w:sz w:val="20"/>
                <w:szCs w:val="20"/>
                <w:color w:val="auto"/>
              </w:rPr>
            </w:pPr>
            <w:r>
              <w:rPr>
                <w:rFonts w:ascii="Arial" w:cs="Arial" w:eastAsia="Arial" w:hAnsi="Arial"/>
                <w:sz w:val="18"/>
                <w:szCs w:val="18"/>
                <w:color w:val="auto"/>
                <w:w w:val="79"/>
              </w:rPr>
              <w:t>714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2000 warrant (1)</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19"/>
                <w:szCs w:val="19"/>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1,421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24"/>
                <w:szCs w:val="24"/>
                <w:color w:val="auto"/>
              </w:rPr>
            </w:pPr>
          </w:p>
        </w:tc>
        <w:tc>
          <w:tcPr>
            <w:tcW w:w="3100" w:type="dxa"/>
            <w:vAlign w:val="bottom"/>
            <w:gridSpan w:val="2"/>
          </w:tcPr>
          <w:p>
            <w:pPr>
              <w:ind w:left="2820"/>
              <w:spacing w:after="0"/>
              <w:rPr>
                <w:sz w:val="20"/>
                <w:szCs w:val="20"/>
                <w:color w:val="auto"/>
              </w:rPr>
            </w:pPr>
            <w:r>
              <w:rPr>
                <w:rFonts w:ascii="Arial" w:cs="Arial" w:eastAsia="Arial" w:hAnsi="Arial"/>
                <w:sz w:val="18"/>
                <w:szCs w:val="18"/>
                <w:color w:val="auto"/>
                <w:w w:val="86"/>
              </w:rPr>
              <w:t>714</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-1591945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-1591945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-1591945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-1591945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-1591945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-1591945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-1591945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-751840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-751840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-751840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-751840</wp:posOffset>
            </wp:positionV>
            <wp:extent cx="215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-751840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-323215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-323215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215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-323215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460" w:right="2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options and warrant issued in 1995 and 2000, respectively, were not approved by shareholders. All other plans shown in the table were approved by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the status of our stock options outstanding and exercisable, and related transactions for fiscal 2002, 2001, and 2000: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Pr>
          <w:p>
            <w:pPr>
              <w:spacing w:after="0"/>
              <w:rPr>
                <w:sz w:val="15"/>
                <w:szCs w:val="15"/>
                <w:color w:val="auto"/>
              </w:rPr>
            </w:pPr>
          </w:p>
        </w:tc>
        <w:tc>
          <w:tcPr>
            <w:tcW w:w="1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9"/>
              </w:rPr>
              <w:t>Options Outstanding</w:t>
            </w:r>
          </w:p>
        </w:tc>
        <w:tc>
          <w:tcPr>
            <w:tcW w:w="340" w:type="dxa"/>
            <w:vAlign w:val="bottom"/>
          </w:tcPr>
          <w:p>
            <w:pPr>
              <w:spacing w:after="0"/>
              <w:rPr>
                <w:sz w:val="15"/>
                <w:szCs w:val="15"/>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weighted-average exercise price)</w:t>
            </w: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5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3"/>
        </w:trPr>
        <w:tc>
          <w:tcPr>
            <w:tcW w:w="7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754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Options</w:t>
            </w:r>
          </w:p>
        </w:tc>
        <w:tc>
          <w:tcPr>
            <w:tcW w:w="100" w:type="dxa"/>
            <w:vAlign w:val="bottom"/>
          </w:tcPr>
          <w:p>
            <w:pPr>
              <w:spacing w:after="0"/>
              <w:rPr>
                <w:sz w:val="15"/>
                <w:szCs w:val="15"/>
                <w:color w:val="auto"/>
              </w:rPr>
            </w:pPr>
          </w:p>
        </w:tc>
        <w:tc>
          <w:tcPr>
            <w:tcW w:w="58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March 31, 1999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11.79</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11.42</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March 31, 2000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Forfeited/expired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March 31, 2001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12.59</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March 31,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40" w:type="dxa"/>
            <w:vAlign w:val="bottom"/>
            <w:tcBorders>
              <w:right w:val="single" w:sz="8" w:color="auto"/>
            </w:tcBorders>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-2827020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-2827020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-2827020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-2827020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-2295525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-2295525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-2295525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-2295525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-2295525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-2295525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-2295525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-2295525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-1591945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-1598295</wp:posOffset>
            </wp:positionV>
            <wp:extent cx="38735"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-1026160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-1032510</wp:posOffset>
            </wp:positionV>
            <wp:extent cx="38735" cy="215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38735"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-38100</wp:posOffset>
            </wp:positionV>
            <wp:extent cx="29845"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exercise prices of our stock options outstanding and exercisable at March 31, 2002: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exercise price data and contractual life)</w:t>
            </w: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7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0"/>
                <w:szCs w:val="10"/>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23"/>
        </w:trPr>
        <w:tc>
          <w:tcPr>
            <w:tcW w:w="18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Remaining Contractual</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w:t>
            </w: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5"/>
                <w:szCs w:val="15"/>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180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$ 6.67 to $9.25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$10.75 to $14.88</w:t>
            </w: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$16.71 to $21.63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8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0" w:type="dxa"/>
            <w:vAlign w:val="bottom"/>
          </w:tcPr>
          <w:p>
            <w:pPr>
              <w:spacing w:after="0"/>
              <w:rPr>
                <w:sz w:val="5"/>
                <w:szCs w:val="5"/>
                <w:color w:val="auto"/>
              </w:rPr>
            </w:pPr>
          </w:p>
        </w:tc>
        <w:tc>
          <w:tcPr>
            <w:tcW w:w="3960" w:type="dxa"/>
            <w:vAlign w:val="bottom"/>
            <w:tcBorders>
              <w:right w:val="single" w:sz="8" w:color="auto"/>
            </w:tcBorders>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-1420495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-1420495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-1420495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-889000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-889000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-889000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-889000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-889000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-889000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-889000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-889000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-889000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-889000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-323215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-323215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-38100</wp:posOffset>
            </wp:positionV>
            <wp:extent cx="381635" cy="3873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81635" cy="38735"/>
                    </a:xfrm>
                    <a:prstGeom prst="rect">
                      <a:avLst/>
                    </a:prstGeom>
                    <a:noFill/>
                  </pic:spPr>
                </pic:pic>
              </a:graphicData>
            </a:graphic>
          </wp:anchor>
        </w:drawing>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apply Accounting Principles Board Opinion No. 25, “Accounting for Stock Issued to Employees,” and related interpretations in accounting for options granted under our stock option plans. Accordingly, no compensation expense has been recognized for stock options granted to employees and non-employee directors when the exercise price is at or above market price of our common stock on the date of grant. As required by SFAS No. 123, “Accounting for Stock-Based Compensation,” we have determined the pro forma effects of these stock options under the fair value method, which would reduce our net income by $178 thousand, $435 thousand and $483 thousand for fiscal 2002, 2001 and 2000, respectively, with a corresponding reduction in basic and diluted earnings per share of $0.02 for fiscal 2002 and $0.04 for each of fiscal 2001 and 2000.</w:t>
      </w:r>
    </w:p>
    <w:p>
      <w:pPr>
        <w:spacing w:after="0" w:line="107"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The weighted average fair value of options granted in fiscal 2002, 2001 and 2000, whose exercise price was at or above fair market price of our common stock on the date of grant, was $2.36, $1.12 and $2.48, respectively. The fair value of each option granted was estimated at the date of grant using the Black-Scholes option pricing model with the following weighted average assumptions: expected life of 4 years for fiscal 2002, 2001 and 2000; dividend yields of</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2.16%, 1.74% and 1.45% for fiscal 2002, 2001 and 2000, respectively; and risk-free interest rates of 4.13%, 5.04% and 5.06% for fiscal 2002, 2001 and 2000, respectively. In addition, we assumed an expected volatility of 20% for fiscal 2002, 2001 and 2000.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2001, under the 2001 Plan, we granted 25 thousand shares of restricted common stock to the Chief Executive Officer of our marine fuel services segment, as specified in the executive’s employment agreement. The restricted common stock vest in four equal installments in October 2002, 2003, 2004, and March 2005, subject to certain acceleration provisions, as specified in the employment agreement. Based on the market value of our common stock on the date of grant, the restricted common stock was valued at $298 thousand. The fair value of the restricted stock was recorded as unearned deferred compensation and is being amortized over the minimum vesting period of nine months due to the acceleration provisions. For fiscal 2002, amortization of $182 thousand was recognized as compensation expense related to this restricted common stock and included in the accompanying Consolidated Statements of Income. As of March 31, 2002, the unearned deferred compensation was $116 thousand, and is included in Capital in excess of par value in the accompanying Consolidated Balance Sheets.</w:t>
      </w:r>
    </w:p>
    <w:p>
      <w:pPr>
        <w:spacing w:after="0" w:line="99" w:lineRule="exact"/>
        <w:rPr>
          <w:sz w:val="20"/>
          <w:szCs w:val="20"/>
          <w:color w:val="auto"/>
        </w:rPr>
      </w:pPr>
    </w:p>
    <w:p>
      <w:pPr>
        <w:ind w:right="7640" w:firstLine="8"/>
        <w:spacing w:after="0" w:line="426" w:lineRule="auto"/>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ind w:right="260" w:firstLine="456"/>
        <w:spacing w:after="0" w:line="268"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fuel services business. As of March 31, 2002, we had $12.1 million in outstanding bonds.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March 31, 2002, our future minimum lease payments under non-cancelable operating leases for rental properties which have an initial term in excess of one year were as follows: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58420</wp:posOffset>
            </wp:positionV>
            <wp:extent cx="15735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573530" cy="21590"/>
                    </a:xfrm>
                    <a:prstGeom prst="rect">
                      <a:avLst/>
                    </a:prstGeom>
                    <a:noFill/>
                  </pic:spPr>
                </pic:pic>
              </a:graphicData>
            </a:graphic>
          </wp:anchor>
        </w:drawing>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2004</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8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2006</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8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Thereafter</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215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incurred rental expense for all properties of $1.5 million for fiscal 2002 and $1.3 million for each of fiscal 2001 and 2000. Under the normal course of business, we may enter into non-cancelable operating leases for office and computer equipment, and service contracts with minimum service fee commitments for telecommunication, and computer data and document storage. As of March 31, 2002, there were no material non-cancelable operating leases for office and computer equipment or service contracts with minimum service fee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marine and aviation fueling businesses extend unsecured credit to most of their customers. Our success in attracting business has been due, in part, to our willingness to extend credit on an unsecured basis to customers which exhibit a high credit risk profile and would otherwise be required to prepay or post letters of credit with their suppliers of fuel and related services. We recognize that extending credit and setting the appropriate reserves for receivables is largely a subjective decision based on knowledge of the customer and the industry. Active management of our credit risk is essential to our success. Although we generally do not insure our receivables, we are exploring the possibility of using credit insurance on a more widespread basis within our marine segment. Diversification of credit risk is difficult since we sell primarily within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marine and aviation industries. Our sales executives and their respective staff meet regularly to evaluate credit exposure, in the aggregate and by individual credit. Credit exposure also includes the amount of estimated unbilled sales. We also have a credit committee for each of our segments. The credit committees are responsible for approving credit limits above certain amounts, setting and maintaining credit standards, and ensuring the overall quality of the credit portfolio. The level of credit granted to a customer is influenced by a customer’s credit history with us, including claims experience and payment patterns. In our marine fuel services segment, we have extended lines of credit of at least $5.0 million to seven customers, and two of these customers have outstanding balances ranging from $9.0 to $10.0 million. In our aviation fuel services segment, our largest credit exposure to a single customer is $3.0 million.</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fiscal 2002, world oil prices continued to exhibit volatility. Fuel costs represent a significant part of a vessel’s and airline’s operating expenses; accordingly, the volatility in fuel prices has adversely affected our customers in the past, and we expect this to continue in the future. Our credit losses are generally higher during times of rapidly increasing oil prices.</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Although most of our transactions are denominated in U.S. dollars, many of our customers are foreign and may be required to purchase U.S. dollars to pay for our products and services. A rapid devaluation in currency affecting our customers could have an adverse effect on our customers’ operations and their ability to convert local currency to U.S. dollars to make the required payments to us. This will in turn result in higher credit losses for us.</w:t>
      </w:r>
    </w:p>
    <w:p>
      <w:pPr>
        <w:spacing w:after="0" w:line="93"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may also incur credit losses due to other causes, including deteriorating conditions in the world economy, or in the shipping or aviation industries. Any credit losses, if significant, will have a material adverse effect on our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marine and aviation fuel segments, we utilize subcontractors to provide various services to customers, including into-plane fueling at airports, fueling of vessels in-port and at-sea, and transportation and storage of fuel and fuel products. We are subject to possible claims by customers, regulators and others who may be injured by a fuel spill or other accident. In addition, we may be held liable for damages to the environment arising out of such events. Although we generally require our subcontractors to carry liability insurance, not all subcontractors carry adequate insurance. Our marine business does not have liability insurance to cover the acts or omissions of our subcontractors. None of our liability insurances cover acts of war and terrorism. If we are held responsible for any acts of war or terrorism, accident or other event, and the liability is not adequately covered by insurance and is of sufficient magnitude, our financial position and results of operations will be adversely affected.</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required to clean up facilities previously operated by us, pursuant to current U.S. federal and state laws and regulations.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continuously review the adequacy of our insurance coverage. However, we lack coverage for various risks, including environmental claims. An uninsured claim arising out of our activities, if successful and of sufficient magnitude, will have a material adverse effect on our financial position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2001, we settled litigation filed in February 2000 relating to the theft of product off the coast of Nigeria. The settlement resulted in a recovery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in fiscal 2002. In the accompanying Consolidated Statements of Income, the theft was included as a non-recurring charge in Other income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 fiscal 2000 and the recovery is included as a non-recurring credit in Other income (expense), net during fiscal 2002.</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 2001, we received principal and interest payments totaling $700 thousand from Mr. Moorehead. We have been pursuing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collection of this judgment and, in May 2002, the court appointed a receiver to take possession and control of all nonexempt assets and property interests of Mr. Moorehead. The receiver is empowered to perform any and all acts necessary and appropriate in order to take possession and control of Mr. Moorehead’s assets and property interests, and to collect, sell or otherwise liquidate those assets and property interests to satisfy our judgment. Because the receivership has just started, the receiver is still assessing the situation, and based upon his analysis and experience, is expected to develop a plan of action to liquidate Mr. Moorehead’s assets. Although we believe that we will recover the remaining amount of the debt, our ability to recover the full amount remains subject to customary collection risks, including the risk that Mr. Moorehead may file for personal bankruptcy, and that his saleable assets will not produce sufficient proceeds to satisfy the debt. Most of Mr. Moorehead’s assets are subject to liens in favor of other creditors, which will make it more difficult to sell the assets and realize sufficient proceeds to satisfy our judgment. Subsequent to the court’s appointment of a receiver, we received another interest payment of $100 thousand from Mr. Moorehead.</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2001, Miami-Dade County, Florida (the “County”) filed suit (the “County Suit”) against 17 defendants to seek reimbursement from such parties for the cost of remediating environmental contamination at Miami International Airport (the “Airport”). One of those defendants is Page Avjet Fuel Corporation, now known as PAFCO L.L.C. (“PAFCO”). In December 2000, we acquired a 50% interest in PAFCO from Signature Flight Support Corporation (“Signature”). Pursuant to the PAFCO acquisition agreement, Signature agreed to indemnify us for all liabilities of PAFCO arising prior to the closing (“Closing”) of the purchase of our interest in PAFCO. Because the Airport contamination occurred prior to Closing, we believe that the County Suit is covered by Signature’s indemnification obligation. We have notified Signature of the County Suit, as stipulated in the acquisition agreement. We expect Signature to defend this claim on behalf of PAFCO and at Signature’s expense.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Also in April 2001, the County sent a letter to approximately 250 potentially responsible parties (“PRP’s”), including World Fuel Services Corporation and one of our subsidiaries, advising them of their potential liability for the clean-up costs which are the subject of the County Suit. The County has threatened to add the PRP’s as defendants in the County Suit, unless they agree to share in the cost of the environmental clean-up at the Airport. In May 2001, we advised the County that: (1) neither we nor any of our subsidiaries were responsible for any environmental contamination at the Airport, and (2) to the extent we or any of our subsidiaries were so responsible, our liability was subject to indemnification by the County pursuant to the indemnity provisions contained in our lease agreement with the County.</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vigorously defend all claims asserted by the County relating to environmental contamination at the Airport. We believe our liability in these matters (if any) should be adequately covered by the indemnification obligations of Signature as to PAFCO, and the County as to World Fuel Services Corporation and our other subsidiaries.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can be no assurance that we will prevail on the above legal proceedings and management cannot estimate the exposure or recovery to ourselves if we do not prevail. A ruling against us in any of the proceedings described above may have a material adverse effect on our financial condition and results of operation.</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matters described above, we are also involved in litigation and administrative proceedings primarily arising in the normal course of our business. In the opinion of management, except as set forth above, our liability, if any, under any other pending litigation or administrative proceedings, will not materially affect our financial condition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Sales Commitments and Derivatives</w:t>
      </w:r>
    </w:p>
    <w:p>
      <w:pPr>
        <w:spacing w:after="0" w:line="16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offer to our marine and aviation customers fixed fuel prices on future sales, generally involving the physical delivery of fuel, as part of our fuel management services. Typically, we simultaneously enter into a commodity based derivative instrument with a counterparty to hedge our variable fuel price on related future purchases for the physical delivery of fuel. For non-physical delivery of fuel, we simultaneously enter into commodity based derivative instruments with a counterparty. The counterparties are major oil companies and derivative trading firms. Accordingly, we do not anticipate non-performance by such counterparties. Pursuant to these transactions, we are not affected by market price fluctuations since the contracts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have the same terms and conditions except for the fee or spread earned by us. Performance risk under these contracts is considered a credit risk. This risk is minimized by dealing with customers meeting stricter credit criteria.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2002, we had 22 outstanding swaps contracts totaling 83 thousand metric tons of marine fuel and 14 outstanding swaps contracts totaling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4.8 million gallons of aviation fuel; and these swaps contracts mature as follows: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Marine Fuel</w:t>
            </w:r>
          </w:p>
        </w:tc>
        <w:tc>
          <w:tcPr>
            <w:tcW w:w="280" w:type="dxa"/>
            <w:vAlign w:val="bottom"/>
          </w:tcPr>
          <w:p>
            <w:pPr>
              <w:spacing w:after="0"/>
              <w:rPr>
                <w:sz w:val="15"/>
                <w:szCs w:val="15"/>
                <w:color w:val="auto"/>
              </w:rPr>
            </w:pPr>
          </w:p>
        </w:tc>
        <w:tc>
          <w:tcPr>
            <w:tcW w:w="11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Aviation Fuel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80" w:type="dxa"/>
            <w:vAlign w:val="bottom"/>
          </w:tcPr>
          <w:p>
            <w:pPr>
              <w:jc w:val="right"/>
              <w:ind w:right="98"/>
              <w:spacing w:after="0"/>
              <w:rPr>
                <w:sz w:val="20"/>
                <w:szCs w:val="20"/>
                <w:color w:val="auto"/>
              </w:rPr>
            </w:pPr>
            <w:r>
              <w:rPr>
                <w:rFonts w:ascii="Arial" w:cs="Arial" w:eastAsia="Arial" w:hAnsi="Arial"/>
                <w:sz w:val="14"/>
                <w:szCs w:val="14"/>
                <w:b w:val="1"/>
                <w:bCs w:val="1"/>
                <w:color w:val="auto"/>
              </w:rPr>
              <w:t>(metric tons)</w:t>
            </w:r>
          </w:p>
        </w:tc>
        <w:tc>
          <w:tcPr>
            <w:tcW w:w="280" w:type="dxa"/>
            <w:vAlign w:val="bottom"/>
          </w:tcPr>
          <w:p>
            <w:pPr>
              <w:spacing w:after="0"/>
              <w:rPr>
                <w:sz w:val="15"/>
                <w:szCs w:val="15"/>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(gallons)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 of Maturity</w:t>
            </w:r>
          </w:p>
        </w:tc>
        <w:tc>
          <w:tcPr>
            <w:tcW w:w="10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020" w:type="dxa"/>
            <w:vAlign w:val="bottom"/>
            <w:gridSpan w:val="2"/>
            <w:vMerge w:val="continue"/>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48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2002</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May to June 2002</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to March 2003</w:t>
            </w:r>
          </w:p>
        </w:tc>
        <w:tc>
          <w:tcPr>
            <w:tcW w:w="108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April to June 2003</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4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4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454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-1275080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-1275080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-1275080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-1275080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-1026160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-1026160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fiscal 2001, the employment agreements for our Chairman of the Board and President were amended and restated. The amended and restated employment agreements provided a higher base salary as well as a bonus structure based on our earnings per share growth along with the granting of additional employee stock options. The amended and restated employment agreements will expire on March 31, 2005. The executives and our Board of Directors may mutually agree to extend the employment agreements for subsequent one-year periods. For the Chairman of the Board, the amended and restated employment agreement provides the following: (1) an annual base salary of $600 thousand; (2) effective fiscal 2002, an annual bonus as a percent of the executive’s base salary which shall be calculated based on basic earnings per share growth, year over year, as adjusted by the Compensation Committee; (3) stock options to purchase 200 thousand shares of our common stock which were awarded in fiscal 2001; and (4) a termination severance payment, as specified in the employment agreement. For the President, the amended and restated employment agreement provides the following: (1) an annual base salary of $500 thousand; (2) effective fiscal 2002, an annual bonus as a percent of the executive’s base salary which shall be calculated on basic earnings per share growth, year over year, as adjusted by the Compensation Committee; (3) stock options to purchase 150 thousand shares of our common stock which were awarded in fiscal 2001; and (4) a termination severance payment, as specified in the employment agreement.</w:t>
      </w:r>
    </w:p>
    <w:p>
      <w:pPr>
        <w:spacing w:after="0" w:line="11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October 2001, the employment agreement for the Chief Executive Officer of our marine fuel services segment was amended and restated. The amended and restated employment agreement will expire on March 31, 2005 and its principal terms are as follows: (1) an annual base salary of approximately $438 thousand; (2) a bonus for the period from January 1, 2001 through December 31, 2001 based on the bonus formula in the executive’s previous employment agreement; (3) effective January 1, 2002, a bonus calculated as a percent of the executive’s base salary based on our earnings per share growth, year over year, as adjusted by the Compensation Committee; (4) the grant of 25 thousand shares of restricted common stock, which shall vest in four equal installments on October 1, 2002, 2003, 2004, and March 31, 2005, subject to certain acceleration provisions, as specified in the employment agreement; (5) an award of stock options to purchase 55 thousand shares of our common stock, with an exercise price of $11.90 per share, of which approximately 30 thousand shares will vest in two years and the remaining shares will vest over three years, subject to certain acceleration provisions, as specified in the employment agreement; and (6) severance benefits payable upon termination for certain reasons specified in the employment agreement.</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payment of any portion of the bonus causing the compensation of any of the three executives named above to exceed $1.0 million during any fiscal year will be deferred and accrue interest at the U.S. Prime rate, until a fiscal year during the employment term in which the executive earns less than $1.0 million; provided, however, that in the event of the executive’s death, the termination of the executive for any reason, or the expiration of the employment agreement, the deferred portion of any bonus, including any interest earned thereon, shall be paid to the executive within ten days of such death, termination or expiration. As of March 31, 2002 and 2001, $1.6 million and $1.3 million, respectively, in bonuses was deferred under the employment agreements named above, and is included in Long-term liabilities in the accompanying Consolidated Balance Sheets.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the above executives, we have also entered into employment agreements with certain of our executive officers and employees. These agreements provide for minimum salary levels, and for certain executive officers and employees, bonus formulas which are payable if specified performance goals are attained. As of March 31, 2002, the future minimum commitments under employment agreements, excluding discretionary and performance bonuses, are as follows:</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Fiscal 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58420</wp:posOffset>
            </wp:positionV>
            <wp:extent cx="1419225" cy="215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93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2004</w:t>
            </w:r>
          </w:p>
        </w:tc>
        <w:tc>
          <w:tcPr>
            <w:tcW w:w="370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70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2006</w:t>
            </w:r>
          </w:p>
        </w:tc>
        <w:tc>
          <w:tcPr>
            <w:tcW w:w="370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0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30" w:type="dxa"/>
            <w:vAlign w:val="bottom"/>
            <w:tcBorders>
              <w:bottom w:val="single" w:sz="8" w:color="auto"/>
            </w:tcBorders>
          </w:tcPr>
          <w:p>
            <w:pPr>
              <w:spacing w:after="0"/>
              <w:rPr>
                <w:sz w:val="9"/>
                <w:szCs w:val="9"/>
                <w:color w:val="auto"/>
              </w:rPr>
            </w:pPr>
          </w:p>
        </w:tc>
        <w:tc>
          <w:tcPr>
            <w:tcW w:w="13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93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30" w:type="dxa"/>
            <w:vAlign w:val="bottom"/>
          </w:tcPr>
          <w:p>
            <w:pPr>
              <w:jc w:val="right"/>
              <w:spacing w:after="0"/>
              <w:rPr>
                <w:sz w:val="20"/>
                <w:szCs w:val="20"/>
                <w:color w:val="auto"/>
              </w:rPr>
            </w:pPr>
            <w:r>
              <w:rPr>
                <w:rFonts w:ascii="Arial" w:cs="Arial" w:eastAsia="Arial" w:hAnsi="Arial"/>
                <w:sz w:val="18"/>
                <w:szCs w:val="18"/>
                <w:color w:val="auto"/>
              </w:rPr>
              <w:t>14,741</w:t>
            </w:r>
          </w:p>
        </w:tc>
        <w:tc>
          <w:tcPr>
            <w:tcW w:w="2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30" w:type="dxa"/>
            <w:vAlign w:val="bottom"/>
          </w:tcPr>
          <w:p>
            <w:pPr>
              <w:spacing w:after="0"/>
              <w:rPr>
                <w:sz w:val="9"/>
                <w:szCs w:val="9"/>
                <w:color w:val="auto"/>
              </w:rPr>
            </w:pPr>
          </w:p>
        </w:tc>
        <w:tc>
          <w:tcPr>
            <w:tcW w:w="133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13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215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fiscal 2002, 2001 and 2000, approximately $15.1 million, $18.6 million, and $11.7 million, respectively, were expensed under the terms of the above described agreements. The fiscal 2001 amount includes the executive severance of our former Chairman of the Board.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Deferred Compensation Plan (“Deferred Plan”) relates to the marine segment and it is administered by a Deferred Plan Committee appointed by the Board of Directors of Trans-Tec Services, Inc. The Deferred Plan was suspended effective August 1, 1997 by the Deferred Plan Committee. The Deferred Plan is unfunded and is not a qualified plan under the Internal Revenue Code. The Deferred Plan allowed for distributions of vested amounts over a five-year period, subject to certain requirements, during and after employment with us. Participants became fully vested over a five-year period. Fully vested participants must wait two years from the year of contribution to be eligible for the distribution of deferred account balances. As of March 31, 2002 and 2001, our liability under the Deferred Plan was $469 thousand and $714 thousand, respectively, and is included in Long-term liabilities in the accompanying Consolidated Balance Sheets. As of March 31, 2002, all participants in the Deferred Plan are vested.</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Participants may contribute up to 15% of their compensation, subject to certain limitations. During fiscal 2002, 2001 and 2000, we made matching contributions of 25% of the participants’ contributions up to 1% of the participant’s compensation. Annual contributions by us are made at our sole discretion, as approved by the Compensation Committee. During fiscal 2002, 2001 and 2000, approximately $76 thousand, $60 thousand and $50 thousand, respectively, was expensed as our contributions.</w:t>
      </w:r>
    </w:p>
    <w:p>
      <w:pPr>
        <w:spacing w:after="0" w:line="12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Certain of our non-U.S. subsidiaries have defined contribution benefit plans, which allow for voluntary contributions by the employees. The non-U.S. subsidiaries paid all general and administrative expenses of the plans and in some cases made employer contributions on behalf of the employees. During fiscal 2002, 2001 and 2000, approximately $105 thousand, $77 thousand and $67 thousand, respectively, was expensed as our contributions.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 Payable</w:t>
      </w:r>
    </w:p>
    <w:p>
      <w:pPr>
        <w:spacing w:after="0" w:line="16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local laws application to certain non-U.S. subsidiaries, we have accrued $634 thousand and $496 thousand in employee severance benefits payable at March 31, 2002 and 2001, respectively.</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AVIATION JOINT VENTURES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August 1994, we began operation of an aviation joint venture in Ecuador (the “Ecuador Venture”). The Ecuador Venture was organized to distribute jet fuel pursuant to a contract with the nationally owned oil company and the airport authority. In October 2000, the Ecuador Venture ceased operations. Our ownership interest in the Ecuador Venture was 50%.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Accordingly, we used the equity method of accounting to record our proportionate share of the Ecuador Venture’s earnings or losses. During fiscal 2000, we wrote down the investment in and advance to the Ecuador Venture by $953 thousand and recorded a special provision for bad debts of $1.6 million as a result of the political and economic conditions in Ecuador. During fiscal 2001, we completed the closure of the Ecuador Venture, recovering approximately $365 thousand of the previously provisioned investment write down.</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described in Note 1, in December 2000, we entered into a joint venture with Signature through the acquisition of a 50% equity interest in PAFCO from Signature. We paid Signature $1.0 million in cash and a $2.5 million note, payable in five equal annual installments of $500 thousand beginning in January 2002. The non-interest bearing promissory note was discounted at 9% and the discount of $558 thousand is being amortized as interest expense over five years using the interest method. For fiscal 2002 and 2001, we recorded interest expense of $167 thousand and $45 thousand, respectively, which is included in Earnings (losses) from aviation joint ventures in the accompanying Consolidated Statements of Income. Our investment goodwill, representing our cost in excess of 50% of the net assets of PAFCO, amounted to $2.9 million, after discounting the promissory note at an interest rate of 9% and including $79 thousand in acquisition costs. No other significant intangible assets existed at the date of acquisition.</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accordance with the venture’s operating agreement, we are entitled to 80% of the income from PAFCO’s operations. The higher allocation percentage versus the ownership percentage is in consideration of the risks assumed by us with respect to credit losses on PAFCO’s accounts receivable. We are required to purchase, without recourse, PAFCO’s accounts receivable that are 120 days past due, subject to certain requirements. Net losses, including infrequent or unusual losses, and interest expense incurred by PAFCO, and any gain resulting from the liquidation of the venture, will be shared equally between Signature and us. We did not purchase any of PAFCO’s accounts receivable in fiscal 2002 and 2001. For fiscal 2002 and 2001, our earnings from the aviation joint venture in PAFCO of $416 thousand and $42 thousand, respectively, were included in Other income in the accompanying Consolidated Statements of Income. As of March 31, 2002 and 2001, the amounts due from PAFCO of $416 thousand and $161 thousand were included in Prepaid expenses and other current assets and Other assets, respectively, in the accompanying Consolidated Balance Sheets.</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Effective April 1, 2001, as permitted, we elected to early adopt SFAS No. 142, “Goodwill and Other Intangible Assets.” SFAS No. 142 established accounting and reporting for acquired goodwill and other intangible assets, and states that goodwill shall not be amortized prospectively. Accordingly, no investment goodwill amortization was recorded for fiscal 2002. In fiscal 2001, we recorded investment goodwill amortization of $74 thousand which was included in Earnings (losses) from aviation joint ventures in the accompanying Consolidated Statements of Income. As of March 31, 2002 and 2001, investment goodwill of $2.9 million was included in Other assets in the accompanying Consolidated Balance Sheets.</w:t>
      </w:r>
    </w:p>
    <w:p>
      <w:pPr>
        <w:spacing w:after="0" w:line="96" w:lineRule="exact"/>
        <w:rPr>
          <w:sz w:val="20"/>
          <w:szCs w:val="20"/>
          <w:color w:val="auto"/>
        </w:rPr>
      </w:pPr>
    </w:p>
    <w:p>
      <w:pPr>
        <w:ind w:right="4200" w:firstLine="8"/>
        <w:spacing w:after="0" w:line="426" w:lineRule="auto"/>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ind w:right="120" w:firstLine="456"/>
        <w:spacing w:after="0" w:line="254"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our operations by business segment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right"/>
              <w:spacing w:after="0"/>
              <w:rPr>
                <w:sz w:val="20"/>
                <w:szCs w:val="20"/>
                <w:color w:val="auto"/>
              </w:rPr>
            </w:pPr>
            <w:r>
              <w:rPr>
                <w:rFonts w:ascii="Arial" w:cs="Arial" w:eastAsia="Arial" w:hAnsi="Arial"/>
                <w:sz w:val="14"/>
                <w:szCs w:val="14"/>
                <w:b w:val="1"/>
                <w:bCs w:val="1"/>
                <w:color w:val="auto"/>
              </w:rPr>
              <w:t>As of, and for the year ended March 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7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Marine fuel services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983,986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1,004,572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381,079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524,670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Marine fuel services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 overhead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(10,799)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Marine fuel services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Marine fuel services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Accounts and notes receivable, net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Marine fuel services, net of allowance for bad debts of $5,217 and $5,157 at March 31, 2002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2001, respectively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100,912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77,898</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00"/>
              <w:spacing w:after="0"/>
              <w:rPr>
                <w:sz w:val="20"/>
                <w:szCs w:val="20"/>
                <w:color w:val="auto"/>
              </w:rPr>
            </w:pPr>
            <w:r>
              <w:rPr>
                <w:rFonts w:ascii="Arial" w:cs="Arial" w:eastAsia="Arial" w:hAnsi="Arial"/>
                <w:sz w:val="18"/>
                <w:szCs w:val="18"/>
                <w:color w:val="auto"/>
                <w:w w:val="96"/>
              </w:rPr>
              <w:t>Aviation fuel services, net of allowance for bad debts of $5,795 and $6,010 at March 31, 2002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and 2001,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31,674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47,965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125,863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Goodwill, Identifiable intangible asset, and Investment goodwill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Marine fuel services, net of accumulated amoritzation of $2,522 and $2,430 at March 31, 2002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2001, respectively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19,246</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 net of accumulated amortization of $1,060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Marine fuel services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00"/>
              <w:spacing w:after="0"/>
              <w:rPr>
                <w:sz w:val="20"/>
                <w:szCs w:val="20"/>
                <w:color w:val="auto"/>
              </w:rPr>
            </w:pPr>
            <w:r>
              <w:rPr>
                <w:rFonts w:ascii="Arial" w:cs="Arial" w:eastAsia="Arial" w:hAnsi="Arial"/>
                <w:sz w:val="18"/>
                <w:szCs w:val="18"/>
                <w:color w:val="auto"/>
              </w:rPr>
              <w:t>Aviation fuel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77,985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 including discontinued operation assets of $1,750 at March 31, 2001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257,923</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222,165</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-7346315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-7346315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-7098030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-7098030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-7098030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-7098030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-7098030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-7098030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-6531610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-6531610</wp:posOffset>
            </wp:positionV>
            <wp:extent cx="215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-6537960</wp:posOffset>
            </wp:positionV>
            <wp:extent cx="38735"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-6531610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-6531610</wp:posOffset>
            </wp:positionV>
            <wp:extent cx="215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-6537960</wp:posOffset>
            </wp:positionV>
            <wp:extent cx="38735" cy="215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-6531610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-6531610</wp:posOffset>
            </wp:positionV>
            <wp:extent cx="215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-6537960</wp:posOffset>
            </wp:positionV>
            <wp:extent cx="38735"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-6246495</wp:posOffset>
            </wp:positionV>
            <wp:extent cx="2984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-6246495</wp:posOffset>
            </wp:positionV>
            <wp:extent cx="2984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-6246495</wp:posOffset>
            </wp:positionV>
            <wp:extent cx="2984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-5520055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-5520055</wp:posOffset>
            </wp:positionV>
            <wp:extent cx="215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-5526405</wp:posOffset>
            </wp:positionV>
            <wp:extent cx="38735"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-5520055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-5520055</wp:posOffset>
            </wp:positionV>
            <wp:extent cx="215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-5526405</wp:posOffset>
            </wp:positionV>
            <wp:extent cx="38735"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-5520055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-5520055</wp:posOffset>
            </wp:positionV>
            <wp:extent cx="215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-5526405</wp:posOffset>
            </wp:positionV>
            <wp:extent cx="38735" cy="215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-5234940</wp:posOffset>
            </wp:positionV>
            <wp:extent cx="922020"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-5234940</wp:posOffset>
            </wp:positionV>
            <wp:extent cx="29845"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-4507865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-4507865</wp:posOffset>
            </wp:positionV>
            <wp:extent cx="215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-4514215</wp:posOffset>
            </wp:positionV>
            <wp:extent cx="38735" cy="215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-4507865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-4507865</wp:posOffset>
            </wp:positionV>
            <wp:extent cx="215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-4514215</wp:posOffset>
            </wp:positionV>
            <wp:extent cx="38735" cy="215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-4507865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-4507865</wp:posOffset>
            </wp:positionV>
            <wp:extent cx="215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-4514215</wp:posOffset>
            </wp:positionV>
            <wp:extent cx="38735" cy="215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-4222750</wp:posOffset>
            </wp:positionV>
            <wp:extent cx="1539240" cy="387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539240"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-4222750</wp:posOffset>
            </wp:positionV>
            <wp:extent cx="29845" cy="3873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-3496310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-3496310</wp:posOffset>
            </wp:positionV>
            <wp:extent cx="215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-3502660</wp:posOffset>
            </wp:positionV>
            <wp:extent cx="38735"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-3496310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-3496310</wp:posOffset>
            </wp:positionV>
            <wp:extent cx="215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-3502660</wp:posOffset>
            </wp:positionV>
            <wp:extent cx="38735"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-3496310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-3496310</wp:posOffset>
            </wp:positionV>
            <wp:extent cx="215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-3502660</wp:posOffset>
            </wp:positionV>
            <wp:extent cx="38735"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-3210560</wp:posOffset>
            </wp:positionV>
            <wp:extent cx="647065" cy="3873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64706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-3210560</wp:posOffset>
            </wp:positionV>
            <wp:extent cx="2984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-3210560</wp:posOffset>
            </wp:positionV>
            <wp:extent cx="2984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-2346960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-2346960</wp:posOffset>
            </wp:positionV>
            <wp:extent cx="215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-2353310</wp:posOffset>
            </wp:positionV>
            <wp:extent cx="38735"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-2346960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-2346960</wp:posOffset>
            </wp:positionV>
            <wp:extent cx="215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-2353310</wp:posOffset>
            </wp:positionV>
            <wp:extent cx="38735"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-2061845</wp:posOffset>
            </wp:positionV>
            <wp:extent cx="1539240" cy="3873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539240"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-1334770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-1334770</wp:posOffset>
            </wp:positionV>
            <wp:extent cx="215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-1341120</wp:posOffset>
            </wp:positionV>
            <wp:extent cx="38735" cy="215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-1334770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-1334770</wp:posOffset>
            </wp:positionV>
            <wp:extent cx="215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-1341120</wp:posOffset>
            </wp:positionV>
            <wp:extent cx="38735" cy="215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-1049655</wp:posOffset>
            </wp:positionV>
            <wp:extent cx="922020" cy="3873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215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38735" cy="215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215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-329565</wp:posOffset>
            </wp:positionV>
            <wp:extent cx="38735" cy="215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-38100</wp:posOffset>
            </wp:positionV>
            <wp:extent cx="647065" cy="3873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47065" cy="3873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-38100</wp:posOffset>
            </wp:positionV>
            <wp:extent cx="2984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summary of financial data segregated between US and non-U.S. countries is shown below as of, and for the year ended March 31, 2002, 2001, and 2000. This information is presented based on the country of incorporation where the revenue and assets are recorded. Income (loss) from operations is before Other income (expense), net and Provision for 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United States</w:t>
            </w: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823,828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United Kingdom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187,633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Singapore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non-U.S. countries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1,365,065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1,529,242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2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-5502910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-5502910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-5502910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-5502910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-5502910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-5502910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-5080635</wp:posOffset>
            </wp:positionV>
            <wp:extent cx="1805305" cy="387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80530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-4771390</wp:posOffset>
            </wp:positionV>
            <wp:extent cx="29845" cy="3873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-4771390</wp:posOffset>
            </wp:positionV>
            <wp:extent cx="922020" cy="387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-4462780</wp:posOffset>
            </wp:positionV>
            <wp:extent cx="913130" cy="3873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913130"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-4462780</wp:posOffset>
            </wp:positionV>
            <wp:extent cx="29845"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-3973830</wp:posOffset>
            </wp:positionV>
            <wp:extent cx="638810" cy="3873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38810"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-3973830</wp:posOffset>
            </wp:positionV>
            <wp:extent cx="2984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-3973830</wp:posOffset>
            </wp:positionV>
            <wp:extent cx="29845" cy="3873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-3665220</wp:posOffset>
            </wp:positionV>
            <wp:extent cx="913130"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913130"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-3665220</wp:posOffset>
            </wp:positionV>
            <wp:extent cx="29845" cy="3873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-3356610</wp:posOffset>
            </wp:positionV>
            <wp:extent cx="29845"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-3356610</wp:posOffset>
            </wp:positionV>
            <wp:extent cx="922020" cy="387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-2867660</wp:posOffset>
            </wp:positionV>
            <wp:extent cx="29845"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-2867660</wp:posOffset>
            </wp:positionV>
            <wp:extent cx="29845" cy="3873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-2867660</wp:posOffset>
            </wp:positionV>
            <wp:extent cx="2984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-2559050</wp:posOffset>
            </wp:positionV>
            <wp:extent cx="29845" cy="3873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-2559050</wp:posOffset>
            </wp:positionV>
            <wp:extent cx="922020"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-2250440</wp:posOffset>
            </wp:positionV>
            <wp:extent cx="2413635" cy="3873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2413635"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-1761490</wp:posOffset>
            </wp:positionV>
            <wp:extent cx="638810"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38810"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-1761490</wp:posOffset>
            </wp:positionV>
            <wp:extent cx="922020" cy="3873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-1452880</wp:posOffset>
            </wp:positionV>
            <wp:extent cx="2984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-1452880</wp:posOffset>
            </wp:positionV>
            <wp:extent cx="922020" cy="3873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-1144270</wp:posOffset>
            </wp:positionV>
            <wp:extent cx="638810"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638810"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-1144270</wp:posOffset>
            </wp:positionV>
            <wp:extent cx="29845" cy="387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-1144270</wp:posOffset>
            </wp:positionV>
            <wp:extent cx="2984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-655320</wp:posOffset>
            </wp:positionV>
            <wp:extent cx="1805305" cy="3873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80530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-346710</wp:posOffset>
            </wp:positionV>
            <wp:extent cx="2984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-346710</wp:posOffset>
            </wp:positionV>
            <wp:extent cx="29845" cy="3873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-346710</wp:posOffset>
            </wp:positionV>
            <wp:extent cx="29845" cy="3873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-38100</wp:posOffset>
            </wp:positionV>
            <wp:extent cx="29845" cy="3873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-38100</wp:posOffset>
            </wp:positionV>
            <wp:extent cx="29845"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-38100</wp:posOffset>
            </wp:positionV>
            <wp:extent cx="29845" cy="387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 customer accounted for more than 10% of total consolidated revenue for fiscal 2002, 2001 and 2000.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w w:val="85"/>
              </w:rPr>
              <w:t>For the three months ended</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91"/>
        </w:trPr>
        <w:tc>
          <w:tcPr>
            <w:tcW w:w="1180" w:type="dxa"/>
            <w:vAlign w:val="bottom"/>
          </w:tcPr>
          <w:p>
            <w:pPr>
              <w:spacing w:after="0"/>
              <w:rPr>
                <w:sz w:val="7"/>
                <w:szCs w:val="7"/>
                <w:color w:val="auto"/>
              </w:rPr>
            </w:pPr>
          </w:p>
        </w:tc>
        <w:tc>
          <w:tcPr>
            <w:tcW w:w="4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41"/>
        </w:trPr>
        <w:tc>
          <w:tcPr>
            <w:tcW w:w="1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9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March 31,</w:t>
            </w:r>
          </w:p>
        </w:tc>
      </w:tr>
      <w:tr>
        <w:trPr>
          <w:trHeight w:val="174"/>
        </w:trPr>
        <w:tc>
          <w:tcPr>
            <w:tcW w:w="1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2002</w:t>
            </w:r>
          </w:p>
        </w:tc>
        <w:tc>
          <w:tcPr>
            <w:tcW w:w="40" w:type="dxa"/>
            <w:vAlign w:val="bottom"/>
          </w:tcPr>
          <w:p>
            <w:pPr>
              <w:spacing w:after="0"/>
              <w:rPr>
                <w:sz w:val="15"/>
                <w:szCs w:val="1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338,107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325,964</w:t>
            </w:r>
          </w:p>
        </w:tc>
        <w:tc>
          <w:tcPr>
            <w:tcW w:w="4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$351,284</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118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w w:val="85"/>
              </w:rPr>
              <w:t>For the three months ended</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1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9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March 31,</w:t>
            </w:r>
          </w:p>
        </w:tc>
      </w:tr>
      <w:tr>
        <w:trPr>
          <w:trHeight w:val="174"/>
        </w:trPr>
        <w:tc>
          <w:tcPr>
            <w:tcW w:w="1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5"/>
                <w:szCs w:val="1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374,530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378,083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408,567</w:t>
            </w:r>
          </w:p>
        </w:tc>
        <w:tc>
          <w:tcPr>
            <w:tcW w:w="4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$368,062</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19,913</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3,247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4,412</w:t>
            </w:r>
          </w:p>
        </w:tc>
        <w:tc>
          <w:tcPr>
            <w:tcW w:w="40" w:type="dxa"/>
            <w:vAlign w:val="bottom"/>
          </w:tcPr>
          <w:p>
            <w:pPr>
              <w:spacing w:after="0"/>
              <w:rPr>
                <w:sz w:val="18"/>
                <w:szCs w:val="18"/>
                <w:color w:val="auto"/>
              </w:rPr>
            </w:pPr>
          </w:p>
        </w:tc>
      </w:tr>
      <w:tr>
        <w:trPr>
          <w:trHeight w:val="216"/>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118"/>
        </w:trPr>
        <w:tc>
          <w:tcPr>
            <w:tcW w:w="1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Reported net income</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40" w:type="dxa"/>
            <w:vAlign w:val="bottom"/>
            <w:shd w:val="clear" w:color="auto" w:fill="CCEEFF"/>
          </w:tcPr>
          <w:p>
            <w:pPr>
              <w:spacing w:after="0"/>
              <w:rPr>
                <w:sz w:val="18"/>
                <w:szCs w:val="18"/>
                <w:color w:val="auto"/>
              </w:rPr>
            </w:pPr>
          </w:p>
        </w:tc>
      </w:tr>
      <w:tr>
        <w:trPr>
          <w:trHeight w:val="208"/>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Add back: Goodwill amortization,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6160" w:type="dxa"/>
            <w:vAlign w:val="bottom"/>
            <w:gridSpan w:val="2"/>
          </w:tcPr>
          <w:p>
            <w:pPr>
              <w:ind w:left="420"/>
              <w:spacing w:after="0"/>
              <w:rPr>
                <w:sz w:val="20"/>
                <w:szCs w:val="20"/>
                <w:color w:val="auto"/>
              </w:rPr>
            </w:pPr>
            <w:r>
              <w:rPr>
                <w:rFonts w:ascii="Arial" w:cs="Arial" w:eastAsia="Arial" w:hAnsi="Arial"/>
                <w:sz w:val="18"/>
                <w:szCs w:val="18"/>
                <w:color w:val="auto"/>
              </w:rPr>
              <w:t>net of tax (1)</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9"/>
                <w:szCs w:val="19"/>
                <w:color w:val="auto"/>
              </w:rPr>
            </w:pPr>
          </w:p>
        </w:tc>
      </w:tr>
      <w:tr>
        <w:trPr>
          <w:trHeight w:val="120"/>
        </w:trPr>
        <w:tc>
          <w:tcPr>
            <w:tcW w:w="1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r>
      <w:tr>
        <w:trPr>
          <w:trHeight w:val="32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Basic earnings (loss) per share: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shd w:val="clear" w:color="auto" w:fill="CCEEFF"/>
          </w:tcPr>
          <w:p>
            <w:pPr>
              <w:spacing w:after="0"/>
              <w:rPr>
                <w:sz w:val="18"/>
                <w:szCs w:val="18"/>
                <w:color w:val="auto"/>
              </w:rPr>
            </w:pPr>
          </w:p>
        </w:tc>
      </w:tr>
      <w:tr>
        <w:trPr>
          <w:trHeight w:val="222"/>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(0.06)</w:t>
            </w:r>
          </w:p>
        </w:tc>
      </w:tr>
      <w:tr>
        <w:trPr>
          <w:trHeight w:val="112"/>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Reported earnings per share</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 w:type="dxa"/>
            <w:vAlign w:val="bottom"/>
            <w:shd w:val="clear" w:color="auto" w:fill="CCEEFF"/>
          </w:tcPr>
          <w:p>
            <w:pPr>
              <w:spacing w:after="0"/>
              <w:rPr>
                <w:sz w:val="18"/>
                <w:szCs w:val="18"/>
                <w:color w:val="auto"/>
              </w:rPr>
            </w:pPr>
          </w:p>
        </w:tc>
      </w:tr>
      <w:tr>
        <w:trPr>
          <w:trHeight w:val="208"/>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Add back: Goodwill amortization,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6160" w:type="dxa"/>
            <w:vAlign w:val="bottom"/>
            <w:gridSpan w:val="2"/>
          </w:tcPr>
          <w:p>
            <w:pPr>
              <w:ind w:left="420"/>
              <w:spacing w:after="0"/>
              <w:rPr>
                <w:sz w:val="20"/>
                <w:szCs w:val="20"/>
                <w:color w:val="auto"/>
              </w:rPr>
            </w:pPr>
            <w:r>
              <w:rPr>
                <w:rFonts w:ascii="Arial" w:cs="Arial" w:eastAsia="Arial" w:hAnsi="Arial"/>
                <w:sz w:val="18"/>
                <w:szCs w:val="18"/>
                <w:color w:val="auto"/>
              </w:rPr>
              <w:t>net of tax (1) (4)</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r>
      <w:tr>
        <w:trPr>
          <w:trHeight w:val="120"/>
        </w:trPr>
        <w:tc>
          <w:tcPr>
            <w:tcW w:w="1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Adjusted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0.30</w:t>
            </w:r>
          </w:p>
        </w:tc>
        <w:tc>
          <w:tcPr>
            <w:tcW w:w="8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r>
      <w:tr>
        <w:trPr>
          <w:trHeight w:val="216"/>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118"/>
        </w:trPr>
        <w:tc>
          <w:tcPr>
            <w:tcW w:w="1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Reported net income</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 w:type="dxa"/>
            <w:vAlign w:val="bottom"/>
            <w:shd w:val="clear" w:color="auto" w:fill="CCEEFF"/>
          </w:tcPr>
          <w:p>
            <w:pPr>
              <w:spacing w:after="0"/>
              <w:rPr>
                <w:sz w:val="18"/>
                <w:szCs w:val="18"/>
                <w:color w:val="auto"/>
              </w:rPr>
            </w:pPr>
          </w:p>
        </w:tc>
      </w:tr>
      <w:tr>
        <w:trPr>
          <w:trHeight w:val="208"/>
        </w:trPr>
        <w:tc>
          <w:tcPr>
            <w:tcW w:w="6160" w:type="dxa"/>
            <w:vAlign w:val="bottom"/>
            <w:gridSpan w:val="2"/>
          </w:tcPr>
          <w:p>
            <w:pPr>
              <w:ind w:left="280"/>
              <w:spacing w:after="0"/>
              <w:rPr>
                <w:sz w:val="20"/>
                <w:szCs w:val="20"/>
                <w:color w:val="auto"/>
              </w:rPr>
            </w:pPr>
            <w:r>
              <w:rPr>
                <w:rFonts w:ascii="Arial" w:cs="Arial" w:eastAsia="Arial" w:hAnsi="Arial"/>
                <w:sz w:val="18"/>
                <w:szCs w:val="18"/>
                <w:color w:val="auto"/>
              </w:rPr>
              <w:t>Add back: Goodwill amortization,</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net of tax (1) (4)</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r>
      <w:tr>
        <w:trPr>
          <w:trHeight w:val="120"/>
        </w:trPr>
        <w:tc>
          <w:tcPr>
            <w:tcW w:w="11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16"/>
        </w:trPr>
        <w:tc>
          <w:tcPr>
            <w:tcW w:w="616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Adjusted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shd w:val="clear" w:color="auto" w:fill="CCEEFF"/>
          </w:tcPr>
          <w:p>
            <w:pPr>
              <w:spacing w:after="0"/>
              <w:rPr>
                <w:sz w:val="18"/>
                <w:szCs w:val="18"/>
                <w:color w:val="auto"/>
              </w:rPr>
            </w:pPr>
          </w:p>
        </w:tc>
      </w:tr>
      <w:tr>
        <w:trPr>
          <w:trHeight w:val="105"/>
        </w:trPr>
        <w:tc>
          <w:tcPr>
            <w:tcW w:w="1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80" w:type="dxa"/>
            <w:vAlign w:val="bottom"/>
          </w:tcPr>
          <w:p>
            <w:pPr>
              <w:spacing w:after="0"/>
              <w:rPr>
                <w:sz w:val="5"/>
                <w:szCs w:val="5"/>
                <w:color w:val="auto"/>
              </w:rPr>
            </w:pPr>
          </w:p>
        </w:tc>
        <w:tc>
          <w:tcPr>
            <w:tcW w:w="49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r>
      <w:tr>
        <w:trPr>
          <w:trHeight w:val="223"/>
        </w:trPr>
        <w:tc>
          <w:tcPr>
            <w:tcW w:w="1180" w:type="dxa"/>
            <w:vAlign w:val="bottom"/>
            <w:tcBorders>
              <w:bottom w:val="single" w:sz="8" w:color="auto"/>
            </w:tcBorders>
          </w:tcPr>
          <w:p>
            <w:pPr>
              <w:spacing w:after="0"/>
              <w:rPr>
                <w:sz w:val="19"/>
                <w:szCs w:val="19"/>
                <w:color w:val="auto"/>
              </w:rPr>
            </w:pPr>
          </w:p>
        </w:tc>
        <w:tc>
          <w:tcPr>
            <w:tcW w:w="4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-7818120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-7818120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-7475220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-7475220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-7475220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-7475220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-7475220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-7475220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-7475220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-7475220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-7190105</wp:posOffset>
            </wp:positionV>
            <wp:extent cx="433070" cy="3873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433070"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-7190105</wp:posOffset>
            </wp:positionV>
            <wp:extent cx="29845" cy="387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-7190105</wp:posOffset>
            </wp:positionV>
            <wp:extent cx="29845" cy="387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-6881495</wp:posOffset>
            </wp:positionV>
            <wp:extent cx="433070" cy="387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433070" cy="3873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-6881495</wp:posOffset>
            </wp:positionV>
            <wp:extent cx="527050" cy="3873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-6881495</wp:posOffset>
            </wp:positionV>
            <wp:extent cx="29845" cy="387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-6881495</wp:posOffset>
            </wp:positionV>
            <wp:extent cx="458470" cy="3873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458470"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-6572250</wp:posOffset>
            </wp:positionV>
            <wp:extent cx="2984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-6572250</wp:posOffset>
            </wp:positionV>
            <wp:extent cx="458470" cy="3873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458470" cy="3873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-6263640</wp:posOffset>
            </wp:positionV>
            <wp:extent cx="433070"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433070" cy="3873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-6263640</wp:posOffset>
            </wp:positionV>
            <wp:extent cx="1221740"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21740" cy="3873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-5955030</wp:posOffset>
            </wp:positionV>
            <wp:extent cx="527050" cy="3873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-5955030</wp:posOffset>
            </wp:positionV>
            <wp:extent cx="29845" cy="3873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-5955030</wp:posOffset>
            </wp:positionV>
            <wp:extent cx="458470" cy="3873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458470" cy="3873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-5451475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-5451475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-5108575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-5108575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-5108575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-5108575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-5108575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-5108575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-5108575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-5108575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-4822825</wp:posOffset>
            </wp:positionV>
            <wp:extent cx="29845" cy="3873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-4822825</wp:posOffset>
            </wp:positionV>
            <wp:extent cx="29845" cy="3873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-4514215</wp:posOffset>
            </wp:positionV>
            <wp:extent cx="2984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-4514215</wp:posOffset>
            </wp:positionV>
            <wp:extent cx="458470" cy="3873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458470" cy="3873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-3924935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-3924935</wp:posOffset>
            </wp:positionV>
            <wp:extent cx="215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-3924935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-3924935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-3924935</wp:posOffset>
            </wp:positionV>
            <wp:extent cx="215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-3924935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-3924935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-3924935</wp:posOffset>
            </wp:positionV>
            <wp:extent cx="215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-3931285</wp:posOffset>
            </wp:positionV>
            <wp:extent cx="38735" cy="215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-3924935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-3924935</wp:posOffset>
            </wp:positionV>
            <wp:extent cx="215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-3931285</wp:posOffset>
            </wp:positionV>
            <wp:extent cx="38735" cy="215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-3359150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-3359150</wp:posOffset>
            </wp:positionV>
            <wp:extent cx="215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-3359150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-3359150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-3359150</wp:posOffset>
            </wp:positionV>
            <wp:extent cx="215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-3359150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-3359150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-3359150</wp:posOffset>
            </wp:positionV>
            <wp:extent cx="215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-3365500</wp:posOffset>
            </wp:positionV>
            <wp:extent cx="38735" cy="215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-3359150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-3359150</wp:posOffset>
            </wp:positionV>
            <wp:extent cx="215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-3365500</wp:posOffset>
            </wp:positionV>
            <wp:extent cx="38735" cy="215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-3073400</wp:posOffset>
            </wp:positionV>
            <wp:extent cx="29845" cy="3873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-3073400</wp:posOffset>
            </wp:positionV>
            <wp:extent cx="29845" cy="3873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-2484120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-2484120</wp:posOffset>
            </wp:positionV>
            <wp:extent cx="215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-2484120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-2484120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-2484120</wp:posOffset>
            </wp:positionV>
            <wp:extent cx="215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-2484120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-2484120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-2484120</wp:posOffset>
            </wp:positionV>
            <wp:extent cx="215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-2490470</wp:posOffset>
            </wp:positionV>
            <wp:extent cx="38735" cy="215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-2484120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-2484120</wp:posOffset>
            </wp:positionV>
            <wp:extent cx="215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-2490470</wp:posOffset>
            </wp:positionV>
            <wp:extent cx="38735" cy="215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-1918335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-1918335</wp:posOffset>
            </wp:positionV>
            <wp:extent cx="215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-1918335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-1918335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-1918335</wp:posOffset>
            </wp:positionV>
            <wp:extent cx="215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-1918335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-1918335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-1918335</wp:posOffset>
            </wp:positionV>
            <wp:extent cx="215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-1924685</wp:posOffset>
            </wp:positionV>
            <wp:extent cx="38735" cy="215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-1918335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-1918335</wp:posOffset>
            </wp:positionV>
            <wp:extent cx="215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-1924685</wp:posOffset>
            </wp:positionV>
            <wp:extent cx="38735" cy="215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-1632585</wp:posOffset>
            </wp:positionV>
            <wp:extent cx="29845" cy="3873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-1632585</wp:posOffset>
            </wp:positionV>
            <wp:extent cx="29845" cy="3873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-1043305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-1043305</wp:posOffset>
            </wp:positionV>
            <wp:extent cx="215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-1043305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-1043305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-1043305</wp:posOffset>
            </wp:positionV>
            <wp:extent cx="215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-1043305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-1043305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-1043305</wp:posOffset>
            </wp:positionV>
            <wp:extent cx="215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-1049655</wp:posOffset>
            </wp:positionV>
            <wp:extent cx="38735" cy="215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-1043305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-1043305</wp:posOffset>
            </wp:positionV>
            <wp:extent cx="215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-1049655</wp:posOffset>
            </wp:positionV>
            <wp:extent cx="38735" cy="215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-477520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-477520</wp:posOffset>
            </wp:positionV>
            <wp:extent cx="215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-477520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-477520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-477520</wp:posOffset>
            </wp:positionV>
            <wp:extent cx="215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-477520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-477520</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-477520</wp:posOffset>
            </wp:positionV>
            <wp:extent cx="215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-483870</wp:posOffset>
            </wp:positionV>
            <wp:extent cx="38735" cy="215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-477520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-477520</wp:posOffset>
            </wp:positionV>
            <wp:extent cx="215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-483870</wp:posOffset>
            </wp:positionV>
            <wp:extent cx="38735" cy="215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-192405</wp:posOffset>
            </wp:positionV>
            <wp:extent cx="29845" cy="3873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-192405</wp:posOffset>
            </wp:positionV>
            <wp:extent cx="29845" cy="3873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460" w:right="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April 1, 2001, we elected to early adopt SFAS No. 142, “Goodwill and Other Intangible Assets,” which among other provisions, states that goodwill shall not be amortized prospectively. Accordingly, no goodwill amortization was recorded during fiscal 2002. In accordance with SFAS No. 142, the add back of goodwill amortization, net of tax, is presented as proforma information for fiscal 2001.</w:t>
      </w:r>
    </w:p>
    <w:p>
      <w:pPr>
        <w:spacing w:after="0" w:line="12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receipt of $1.0 million, or $0.10 per basic share and $0.09 per diluted share, from an insurance settlement recovery related to a fiscal 2000 loss of product off the coast of Nigeria.</w:t>
      </w:r>
    </w:p>
    <w:p>
      <w:pPr>
        <w:spacing w:after="0" w:line="118"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 $1.9 million after-tax charge, or $0.18 per basic and diluted share, for the executive severance charge incurred in terminating the employment agreement with our former Chairman of the Board of Directors.</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proforma adjusted earnings per share resulting from the add back of goodwill amortization, net of tax, for fiscal 2001 differs from the sum of each of</w:t>
      </w:r>
    </w:p>
    <w:p>
      <w:pPr>
        <w:sectPr>
          <w:pgSz w:w="11900" w:h="16838" w:orient="portrait"/>
          <w:cols w:equalWidth="0" w:num="1">
            <w:col w:w="11380"/>
          </w:cols>
          <w:pgMar w:left="240" w:top="459" w:right="279" w:bottom="0" w:gutter="0" w:footer="0" w:header="0"/>
        </w:sectPr>
      </w:pPr>
    </w:p>
    <w:bookmarkStart w:id="62" w:name="page63"/>
    <w:bookmarkEnd w:id="62"/>
    <w:p>
      <w:pPr>
        <w:spacing w:after="0"/>
        <w:rPr>
          <w:sz w:val="20"/>
          <w:szCs w:val="20"/>
          <w:color w:val="auto"/>
        </w:rPr>
      </w:pPr>
      <w:r>
        <w:rPr>
          <w:rFonts w:ascii="Arial" w:cs="Arial" w:eastAsia="Arial" w:hAnsi="Arial"/>
          <w:sz w:val="15"/>
          <w:szCs w:val="15"/>
          <w:color w:val="auto"/>
        </w:rPr>
        <w:t>the quarterly proforma adjusted earnings per share data because of rounding.</w:t>
      </w:r>
    </w:p>
    <w:p>
      <w:pPr>
        <w:sectPr>
          <w:pgSz w:w="11900" w:h="16838" w:orient="portrait"/>
          <w:cols w:equalWidth="0" w:num="1">
            <w:col w:w="9759"/>
          </w:cols>
          <w:pgMar w:left="700" w:top="131" w:right="1440" w:bottom="1440" w:gutter="0" w:footer="0" w:header="0"/>
        </w:sect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759"/>
          </w:cols>
          <w:pgMar w:left="700" w:top="131" w:right="1440"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10(c)(i)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w:t>
      </w:r>
    </w:p>
    <w:p>
      <w:pPr>
        <w:spacing w:after="0" w:line="158"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 xml:space="preserve">This First Amendment to Credit Agreement (this “Amendment”), dated as of May 15, 2002, is entered into between </w:t>
      </w:r>
      <w:r>
        <w:rPr>
          <w:rFonts w:ascii="Arial" w:cs="Arial" w:eastAsia="Arial" w:hAnsi="Arial"/>
          <w:sz w:val="18"/>
          <w:szCs w:val="18"/>
          <w:b w:val="1"/>
          <w:bCs w:val="1"/>
          <w:color w:val="auto"/>
        </w:rPr>
        <w:t>WORLD FUEL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Florida corporation (“Borrower”), and</w:t>
      </w:r>
      <w:r>
        <w:rPr>
          <w:rFonts w:ascii="Arial" w:cs="Arial" w:eastAsia="Arial" w:hAnsi="Arial"/>
          <w:sz w:val="18"/>
          <w:szCs w:val="18"/>
          <w:b w:val="1"/>
          <w:bCs w:val="1"/>
          <w:color w:val="auto"/>
        </w:rPr>
        <w:t xml:space="preserve"> LASALLE BANK NATIONAL ASSOCIATION</w:t>
      </w:r>
      <w:r>
        <w:rPr>
          <w:rFonts w:ascii="Arial" w:cs="Arial" w:eastAsia="Arial" w:hAnsi="Arial"/>
          <w:sz w:val="18"/>
          <w:szCs w:val="18"/>
          <w:color w:val="auto"/>
        </w:rPr>
        <w:t>, a national banking association (“Bank”),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amends the Credit Agreement, dated as of December 7, 2001 (as heretofore or hereinafter modified, supplemented, restated or otherwise amended, hereinafter referred to as the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58"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has requested that Bank amend the Agreement to, among other things, increase the Letter of Credit Commitment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Bank is willing to so amend the Agreement, upon the terms and subject to the conditions set forth herein.</w:t>
      </w:r>
    </w:p>
    <w:p>
      <w:pPr>
        <w:spacing w:after="0" w:line="158"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06" w:lineRule="exact"/>
        <w:rPr>
          <w:sz w:val="20"/>
          <w:szCs w:val="20"/>
          <w:color w:val="auto"/>
        </w:rPr>
      </w:pPr>
    </w:p>
    <w:p>
      <w:pPr>
        <w:ind w:right="160" w:firstLine="464"/>
        <w:spacing w:after="0" w:line="275" w:lineRule="auto"/>
        <w:tabs>
          <w:tab w:leader="none" w:pos="76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Incorporation of Defined Terms</w:t>
      </w:r>
      <w:r>
        <w:rPr>
          <w:rFonts w:ascii="Arial" w:cs="Arial" w:eastAsia="Arial" w:hAnsi="Arial"/>
          <w:sz w:val="18"/>
          <w:szCs w:val="18"/>
          <w:color w:val="auto"/>
        </w:rPr>
        <w:t>. Each capitalized term used in this Amendment but not otherwise defined herein shall have the meaning ascribed</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Agreement.</w:t>
      </w:r>
    </w:p>
    <w:p>
      <w:pPr>
        <w:spacing w:after="0" w:line="106"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The reference to “$15,000,000” in Section 2.1.2 of the Agreement is amended to read “$25,000,000.”</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Section 11.6.3 of the Agreement is amended in its entirety to read:</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Not pay any dividend during any fiscal quarter if the cumulative amount of (i) such dividend, (ii) all other dividends paid during such quarter, and</w:t>
      </w:r>
    </w:p>
    <w:p>
      <w:pPr>
        <w:spacing w:after="0" w:line="38" w:lineRule="exact"/>
        <w:rPr>
          <w:sz w:val="20"/>
          <w:szCs w:val="20"/>
          <w:color w:val="auto"/>
        </w:rPr>
      </w:pPr>
    </w:p>
    <w:p>
      <w:pPr>
        <w:ind w:left="460" w:right="20" w:firstLine="4"/>
        <w:spacing w:after="0" w:line="261" w:lineRule="auto"/>
        <w:tabs>
          <w:tab w:leader="none" w:pos="7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dividends paid during the immediately preceding three fiscal quarters exceeds thirty-five percent (35%) of the Consolidated Net Income for the four fiscal quarters ended on the last day of such three fiscal quarter period.</w:t>
      </w:r>
    </w:p>
    <w:p>
      <w:pPr>
        <w:spacing w:after="0" w:line="118" w:lineRule="exact"/>
        <w:rPr>
          <w:sz w:val="20"/>
          <w:szCs w:val="20"/>
          <w:color w:val="auto"/>
        </w:rPr>
      </w:pPr>
    </w:p>
    <w:p>
      <w:pPr>
        <w:ind w:right="520" w:firstLine="464"/>
        <w:spacing w:after="0" w:line="275" w:lineRule="auto"/>
        <w:tabs>
          <w:tab w:leader="none" w:pos="76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Modifications</w:t>
      </w:r>
      <w:r>
        <w:rPr>
          <w:rFonts w:ascii="Arial" w:cs="Arial" w:eastAsia="Arial" w:hAnsi="Arial"/>
          <w:sz w:val="18"/>
          <w:szCs w:val="18"/>
          <w:color w:val="auto"/>
        </w:rPr>
        <w:t>. All references in the Agreement and the other Loan Documents to the term “Loan Documents” shall be deemed to include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p>
    <w:p>
      <w:pPr>
        <w:spacing w:after="0" w:line="106" w:lineRule="exact"/>
        <w:rPr>
          <w:rFonts w:ascii="Arial" w:cs="Arial" w:eastAsia="Arial" w:hAnsi="Arial"/>
          <w:sz w:val="18"/>
          <w:szCs w:val="18"/>
          <w:color w:val="auto"/>
        </w:rPr>
      </w:pPr>
    </w:p>
    <w:p>
      <w:pPr>
        <w:ind w:right="20" w:firstLine="464"/>
        <w:spacing w:after="0" w:line="275" w:lineRule="auto"/>
        <w:tabs>
          <w:tab w:leader="none" w:pos="76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Ratification</w:t>
      </w:r>
      <w:r>
        <w:rPr>
          <w:rFonts w:ascii="Arial" w:cs="Arial" w:eastAsia="Arial" w:hAnsi="Arial"/>
          <w:sz w:val="18"/>
          <w:szCs w:val="18"/>
          <w:color w:val="auto"/>
        </w:rPr>
        <w:t>. Except as modified hereby, the terms and conditions of the Agreement and the other Loan Documents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Pledge Agreements</w:t>
      </w:r>
    </w:p>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which Borrower is a party, shall remain in full force and effect and are hereby ratified and confirmed in all respects.</w:t>
      </w:r>
    </w:p>
    <w:p>
      <w:pPr>
        <w:spacing w:after="0" w:line="152" w:lineRule="exact"/>
        <w:rPr>
          <w:sz w:val="20"/>
          <w:szCs w:val="20"/>
          <w:color w:val="auto"/>
        </w:rPr>
      </w:pPr>
    </w:p>
    <w:p>
      <w:pPr>
        <w:ind w:right="40" w:firstLine="464"/>
        <w:spacing w:after="0" w:line="293" w:lineRule="auto"/>
        <w:tabs>
          <w:tab w:leader="none" w:pos="764"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Borrower represents and warrants to, and agrees with, Bank that (i) it has no defenses, set-offs or counterclaims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or nature whatsoever against Bank with respect to any Indebtedness created under the Agreement and the other Loan Documents, any of the agreements among the parties hereto, including, without limitation, the obligations of Borrower under the Agreement or any other Loan Document, or any action previously taken or not taken by Bank with respect thereto or with respect to any Lien or Collateral in connection therewith to secure such indebtedness, and (ii) this Amendment has been duly authorized by all necessary action on the part of Borrower, has been duly executed by Borrower, and constitutes the valid and binding obligation of Borrower, enforceable against Borrower in accordance with the terms hereof.</w:t>
      </w:r>
    </w:p>
    <w:p>
      <w:pPr>
        <w:spacing w:after="0" w:line="97" w:lineRule="exact"/>
        <w:rPr>
          <w:rFonts w:ascii="Arial" w:cs="Arial" w:eastAsia="Arial" w:hAnsi="Arial"/>
          <w:sz w:val="16"/>
          <w:szCs w:val="16"/>
          <w:color w:val="auto"/>
        </w:rPr>
      </w:pPr>
    </w:p>
    <w:p>
      <w:pPr>
        <w:ind w:right="540" w:firstLine="464"/>
        <w:spacing w:after="0" w:line="339" w:lineRule="auto"/>
        <w:tabs>
          <w:tab w:leader="none" w:pos="764"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Agreement Representations and Warranties</w:t>
      </w:r>
      <w:r>
        <w:rPr>
          <w:rFonts w:ascii="Arial" w:cs="Arial" w:eastAsia="Arial" w:hAnsi="Arial"/>
          <w:sz w:val="16"/>
          <w:szCs w:val="16"/>
          <w:color w:val="auto"/>
        </w:rPr>
        <w:t>. Borrower hereby certifies that the representations and warranties contained in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be true and correct and that no Unmatured Event of Default or Event of Default has occurred that has not been cured or waived.</w:t>
      </w:r>
    </w:p>
    <w:p>
      <w:pPr>
        <w:spacing w:after="0" w:line="60" w:lineRule="exact"/>
        <w:rPr>
          <w:rFonts w:ascii="Arial" w:cs="Arial" w:eastAsia="Arial" w:hAnsi="Arial"/>
          <w:sz w:val="16"/>
          <w:szCs w:val="16"/>
          <w:color w:val="auto"/>
        </w:rPr>
      </w:pPr>
    </w:p>
    <w:p>
      <w:pPr>
        <w:ind w:right="100" w:firstLine="464"/>
        <w:spacing w:after="0" w:line="262"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Conditions to Effectiveness of Amendment</w:t>
      </w:r>
      <w:r>
        <w:rPr>
          <w:rFonts w:ascii="Arial" w:cs="Arial" w:eastAsia="Arial" w:hAnsi="Arial"/>
          <w:sz w:val="18"/>
          <w:szCs w:val="18"/>
          <w:color w:val="auto"/>
        </w:rPr>
        <w:t>. This Amendment shall become effective when the Bank shall have received (i) counterparts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duly executed by the Borrower and (ii) counterparts of the Reaffirmation and Consents attached hereto executed by each Pledgor and Guarantor, as applicable.</w:t>
      </w:r>
    </w:p>
    <w:p>
      <w:pPr>
        <w:spacing w:after="0" w:line="118" w:lineRule="exact"/>
        <w:rPr>
          <w:rFonts w:ascii="Arial" w:cs="Arial" w:eastAsia="Arial" w:hAnsi="Arial"/>
          <w:sz w:val="18"/>
          <w:szCs w:val="18"/>
          <w:color w:val="auto"/>
        </w:rPr>
      </w:pPr>
    </w:p>
    <w:p>
      <w:pPr>
        <w:ind w:right="340" w:firstLine="464"/>
        <w:spacing w:after="0" w:line="275"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which, when taken together, shall constitute one original. Any</w:t>
      </w:r>
      <w:r>
        <w:rPr>
          <w:rFonts w:ascii="Arial" w:cs="Arial" w:eastAsia="Arial" w:hAnsi="Arial"/>
          <w:sz w:val="18"/>
          <w:szCs w:val="18"/>
          <w:b w:val="1"/>
          <w:bCs w:val="1"/>
          <w:color w:val="auto"/>
        </w:rPr>
        <w:t xml:space="preserve"> </w:t>
      </w:r>
      <w:r>
        <w:rPr>
          <w:rFonts w:ascii="Arial" w:cs="Arial" w:eastAsia="Arial" w:hAnsi="Arial"/>
          <w:sz w:val="18"/>
          <w:szCs w:val="18"/>
          <w:color w:val="auto"/>
        </w:rPr>
        <w:t>telecopied signature hereto shall be deemed a manually executed and delivered original.</w:t>
      </w:r>
    </w:p>
    <w:p>
      <w:pPr>
        <w:spacing w:after="0" w:line="106" w:lineRule="exact"/>
        <w:rPr>
          <w:rFonts w:ascii="Arial" w:cs="Arial" w:eastAsia="Arial" w:hAnsi="Arial"/>
          <w:sz w:val="18"/>
          <w:szCs w:val="18"/>
          <w:color w:val="auto"/>
        </w:rPr>
      </w:pPr>
    </w:p>
    <w:p>
      <w:pPr>
        <w:ind w:left="860" w:hanging="396"/>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Amendment shall be governed by, and construed and interpreted in accordance with, the laws of the State of Florida.</w:t>
      </w:r>
    </w:p>
    <w:p>
      <w:pPr>
        <w:spacing w:after="0" w:line="180" w:lineRule="exact"/>
        <w:rPr>
          <w:rFonts w:ascii="Arial" w:cs="Arial" w:eastAsia="Arial" w:hAnsi="Arial"/>
          <w:sz w:val="16"/>
          <w:szCs w:val="16"/>
          <w:color w:val="auto"/>
        </w:rPr>
      </w:pPr>
    </w:p>
    <w:p>
      <w:pPr>
        <w:ind w:firstLine="464"/>
        <w:spacing w:after="0" w:line="275" w:lineRule="auto"/>
        <w:tabs>
          <w:tab w:leader="none" w:pos="84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Titles</w:t>
      </w:r>
      <w:r>
        <w:rPr>
          <w:rFonts w:ascii="Arial" w:cs="Arial" w:eastAsia="Arial" w:hAnsi="Arial"/>
          <w:sz w:val="18"/>
          <w:szCs w:val="18"/>
          <w:color w:val="auto"/>
        </w:rPr>
        <w:t>. The section titles contained in this Amendment are and shall be without substantive meaning or content of any kind whatsoever and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for convenience of reference only.</w:t>
      </w:r>
    </w:p>
    <w:p>
      <w:pPr>
        <w:spacing w:after="0" w:line="106" w:lineRule="exact"/>
        <w:rPr>
          <w:rFonts w:ascii="Arial" w:cs="Arial" w:eastAsia="Arial" w:hAnsi="Arial"/>
          <w:sz w:val="18"/>
          <w:szCs w:val="18"/>
          <w:color w:val="auto"/>
        </w:rPr>
      </w:pPr>
    </w:p>
    <w:p>
      <w:pPr>
        <w:ind w:firstLine="464"/>
        <w:spacing w:after="0" w:line="301" w:lineRule="auto"/>
        <w:tabs>
          <w:tab w:leader="none" w:pos="852"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WAIVER OF TRIAL BY JURY. </w:t>
      </w:r>
      <w:r>
        <w:rPr>
          <w:rFonts w:ascii="Arial" w:cs="Arial" w:eastAsia="Arial" w:hAnsi="Arial"/>
          <w:sz w:val="16"/>
          <w:szCs w:val="16"/>
          <w:color w:val="auto"/>
        </w:rPr>
        <w:t>EACH OF THE BORROWER AND THE BANK HEREBY WAIVES ANY RIGHT TO A TRIAL BY JURY</w:t>
      </w:r>
      <w:r>
        <w:rPr>
          <w:rFonts w:ascii="Arial" w:cs="Arial" w:eastAsia="Arial" w:hAnsi="Arial"/>
          <w:sz w:val="16"/>
          <w:szCs w:val="16"/>
          <w:b w:val="1"/>
          <w:bCs w:val="1"/>
          <w:color w:val="auto"/>
        </w:rPr>
        <w:t xml:space="preserve"> </w:t>
      </w:r>
      <w:r>
        <w:rPr>
          <w:rFonts w:ascii="Arial" w:cs="Arial" w:eastAsia="Arial" w:hAnsi="Arial"/>
          <w:sz w:val="16"/>
          <w:szCs w:val="16"/>
          <w:color w:val="auto"/>
        </w:rPr>
        <w:t>IN ANY ACTION OR PROCEEDING TO ENFORCE OR DEFEND ANY RIGHTS UNDER THIS AMENDMENT, ANY OTHER LOAN DOCUMENT AND ANY AMENDMENT, INSTRUMENT, DOCUMENT OR AGREEMENT DELIVERED OR WHICH MAY IN THE FUTURE BE DELIVERED IN CONNECTION HEREWITH OR THEREWITH OR ARISING FROM ANY BANKING RELATIONSHIP EXISTING IN CONNECTION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65" w:name="page66"/>
    <w:bookmarkEnd w:id="6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ANY OF THE FOREGOING, AND AGREES THAT ANY SUCH ACTION OR PROCEEDING SHALL BE TRIED BEFORE A COURT AND NOT BEFORE A JURY.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executed as of the date first above written.</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WORLD FUEL SERVICES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CORPORATION, a Florida corporation</w:t>
      </w:r>
    </w:p>
    <w:p>
      <w:pPr>
        <w:spacing w:after="0" w:line="200" w:lineRule="exact"/>
        <w:rPr>
          <w:sz w:val="20"/>
          <w:szCs w:val="20"/>
          <w:color w:val="auto"/>
        </w:rPr>
      </w:pPr>
    </w:p>
    <w:p>
      <w:pPr>
        <w:spacing w:after="0" w:line="316" w:lineRule="exact"/>
        <w:rPr>
          <w:sz w:val="20"/>
          <w:szCs w:val="20"/>
          <w:color w:val="auto"/>
        </w:rPr>
      </w:pPr>
    </w:p>
    <w:p>
      <w:pPr>
        <w:ind w:left="6860"/>
        <w:spacing w:after="0"/>
        <w:tabs>
          <w:tab w:leader="none" w:pos="7660" w:val="left"/>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ARLOS</w:t>
      </w:r>
      <w:r>
        <w:rPr>
          <w:rFonts w:ascii="Arial" w:cs="Arial" w:eastAsia="Arial" w:hAnsi="Arial"/>
          <w:sz w:val="16"/>
          <w:szCs w:val="16"/>
          <w:color w:val="auto"/>
        </w:rPr>
        <w:t xml:space="preserve"> A</w:t>
      </w:r>
      <w:r>
        <w:rPr>
          <w:rFonts w:ascii="Arial" w:cs="Arial" w:eastAsia="Arial" w:hAnsi="Arial"/>
          <w:sz w:val="13"/>
          <w:szCs w:val="13"/>
          <w:color w:val="auto"/>
        </w:rPr>
        <w:t>BAUNZA</w:t>
      </w:r>
      <w:r>
        <w:rPr>
          <w:rFonts w:ascii="Arial" w:cs="Arial" w:eastAsia="Arial" w:hAnsi="Arial"/>
          <w:sz w:val="16"/>
          <w:szCs w:val="16"/>
          <w:color w:val="auto"/>
        </w:rPr>
        <w:t>,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Carlos Abaunza, Chief Financial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LASALLE BANK NATIONAL ASSOCIATION</w:t>
      </w:r>
    </w:p>
    <w:p>
      <w:pPr>
        <w:spacing w:after="0" w:line="200" w:lineRule="exact"/>
        <w:rPr>
          <w:sz w:val="20"/>
          <w:szCs w:val="20"/>
          <w:color w:val="auto"/>
        </w:rPr>
      </w:pPr>
    </w:p>
    <w:p>
      <w:pPr>
        <w:spacing w:after="0" w:line="322" w:lineRule="exact"/>
        <w:rPr>
          <w:sz w:val="20"/>
          <w:szCs w:val="20"/>
          <w:color w:val="auto"/>
        </w:rPr>
      </w:pPr>
    </w:p>
    <w:p>
      <w:pPr>
        <w:ind w:left="6860"/>
        <w:spacing w:after="0"/>
        <w:tabs>
          <w:tab w:leader="none" w:pos="7660" w:val="left"/>
          <w:tab w:leader="none" w:pos="8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T</w:t>
      </w:r>
      <w:r>
        <w:rPr>
          <w:rFonts w:ascii="Arial" w:cs="Arial" w:eastAsia="Arial" w:hAnsi="Arial"/>
          <w:sz w:val="13"/>
          <w:szCs w:val="13"/>
          <w:color w:val="auto"/>
        </w:rPr>
        <w:t>HURSTON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Vice President</w:t>
      </w: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280" w:right="49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REAFFIRMATION OF GUARANTY</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terms and conditions of the Continuing Unconditional Guaranty, dated as of December 7, 2001, executed by the undersigned are hereby ratified, reaffirmed and confirmed in all respects. The undersigned Guarantor acknowledges and agrees that the undersigned is and shall remain liable for the payment of all of the Indebtedness to the full extent provided in such Continuing Unconditional Guaranty, irrespective of the execution and delivery of this Amendment.</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TRANS-TEC SERVICES, INC.</w:t>
      </w:r>
      <w:r>
        <w:rPr>
          <w:rFonts w:ascii="Arial" w:cs="Arial" w:eastAsia="Arial" w:hAnsi="Arial"/>
          <w:sz w:val="18"/>
          <w:szCs w:val="18"/>
          <w:color w:val="auto"/>
        </w:rPr>
        <w:t>, a Delaware corporation</w:t>
      </w:r>
    </w:p>
    <w:p>
      <w:pPr>
        <w:spacing w:after="0" w:line="231"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ARLOS</w:t>
      </w:r>
      <w:r>
        <w:rPr>
          <w:rFonts w:ascii="Arial" w:cs="Arial" w:eastAsia="Arial" w:hAnsi="Arial"/>
          <w:sz w:val="16"/>
          <w:szCs w:val="16"/>
          <w:color w:val="auto"/>
        </w:rPr>
        <w:t xml:space="preserve"> A</w:t>
      </w:r>
      <w:r>
        <w:rPr>
          <w:rFonts w:ascii="Arial" w:cs="Arial" w:eastAsia="Arial" w:hAnsi="Arial"/>
          <w:sz w:val="13"/>
          <w:szCs w:val="13"/>
          <w:color w:val="auto"/>
        </w:rPr>
        <w:t>BAUNZA</w:t>
      </w:r>
      <w:r>
        <w:rPr>
          <w:rFonts w:ascii="Arial" w:cs="Arial" w:eastAsia="Arial" w:hAnsi="Arial"/>
          <w:sz w:val="16"/>
          <w:szCs w:val="16"/>
          <w:color w:val="auto"/>
        </w:rPr>
        <w:t>, CF0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Carlos Abaunza, Chief Financial Officer &amp; VP</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REAFFIRMATION OF PLEDGE AGREEMENT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terms and conditions of the Securities Pledge Agreement, dated as of December 7, 2001, between the Pledgor and Bank, as same has been amended or modified from time to time, are hereby ratified, reaffirmed and confirmed in all respects. The undersigned Pledgor acknowledges and agrees that the undersigned’s pledged Collateral is and shall remain as security for the full and prompt performance of the Indebtedness to the full extent provided in such Securities Pledge Agreement, irrespective of the execution and delivery of this Amendment.</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TRANS-TEC SERVICES (UK) Ltd., </w:t>
      </w:r>
      <w:r>
        <w:rPr>
          <w:rFonts w:ascii="Arial" w:cs="Arial" w:eastAsia="Arial" w:hAnsi="Arial"/>
          <w:sz w:val="18"/>
          <w:szCs w:val="18"/>
          <w:color w:val="auto"/>
        </w:rPr>
        <w:t>a United Kingdom</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6860"/>
        <w:spacing w:after="0"/>
        <w:tabs>
          <w:tab w:leader="none" w:pos="820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ARLOS</w:t>
      </w:r>
      <w:r>
        <w:rPr>
          <w:rFonts w:ascii="Arial" w:cs="Arial" w:eastAsia="Arial" w:hAnsi="Arial"/>
          <w:sz w:val="16"/>
          <w:szCs w:val="16"/>
          <w:color w:val="auto"/>
        </w:rPr>
        <w:t xml:space="preserve"> A</w:t>
      </w:r>
      <w:r>
        <w:rPr>
          <w:rFonts w:ascii="Arial" w:cs="Arial" w:eastAsia="Arial" w:hAnsi="Arial"/>
          <w:sz w:val="13"/>
          <w:szCs w:val="13"/>
          <w:color w:val="auto"/>
        </w:rPr>
        <w:t>BAUNZA</w:t>
      </w:r>
      <w:r>
        <w:rPr>
          <w:rFonts w:ascii="Arial" w:cs="Arial" w:eastAsia="Arial" w:hAnsi="Arial"/>
          <w:sz w:val="16"/>
          <w:szCs w:val="16"/>
          <w:color w:val="auto"/>
        </w:rPr>
        <w:t>,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Carlos Abaunza, Chief Financial Officer &amp; VP</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22"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 a Florida corporation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Advance Petroleum, Inc., a Florida corporation, operates under the name “World Fuel Services of FL.”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PetroServicios de Mexico S.A. de C.V., a Mexico corporation (1)</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Servicios Auxiliares de Mexico S.A. de C.V., a Mexico corporation (1)</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Atlantic Fuel Services, S.A., a Costa Rica corporation (3)</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Baseops International, Inc., a Texas corporation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Bunkerfuels Corporation, a Delaware corporation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Casa Petro S.A., a Costa Rica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PetroServicios de Costa Rica S.A., a Costa Rica corporation (2)</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Pacific Horizon Petroleum Services, Inc., a Delaware corporation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Resource Recovery of America, Inc., a Florida corporation (3)</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Trans-Tec Services, Inc., a Delaware corporation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World Fuel Cayman Holding Company I, a Cayman Islands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Trans-Tec International S.R.L., a Costa Rica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World Fuel ApS, a Denmark corporation (3)</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Norse Bunkers AS, a Norway corporation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Marine Energy Arabia Establishment Ltd., a British Virgin Islands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Marine Energy Arabia Co. LLC, a United Arab Emirate corporation, a majority controlled subsidiary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World Fuel International S.R.L., a Costa Rica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World Fuel Singapore Holding Company I Pte. Ltd., a Singapore corporation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Baseops Europe Ltd., a United Kingdom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AirData Limited, a United Kingdom corporation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Trans-Tec Services (UK) Ltd., a United Kingdom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Trans-Tec Services (Singapore) PTE. Ltd., a Singapore corporation</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Trans-Tec Services (Japan) Co., K.K., a Japan corporation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Oil Shipping B.V., a Netherlands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Oil Shipping (Bunkering) B.V., a Netherlands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Oil Shipping (Hong Kong) Ltd., a Hong Kong corporation</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Oil Shipping (Bunkering) Ltd., a Greece corporation, a majority owned subsidiary (3)</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Oil Shipping (Singapore) Pte. Ltd., a Singapore corporation (3)</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Oil Shipping (Rotherdam) B.V., a Netherlands corporation (3)</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World Fuel Services Limited, a United Kingdom corporation</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Bunkerfuels UK Limited, a United Kingdom corporation</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World Fuel Services (Singapore) PTE. Ltd., a Singapore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World Fuel Singapore Holding Company II Pte. Ltd., a Singapore corporation (3)</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World Fuel Cayman Holding Company II, a Cayman Islands corporation (3)</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World Fuel Services, Inc., a Texas corporation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PAFCO LLC, a Delaware corporation (4)</w:t>
      </w:r>
    </w:p>
    <w:p>
      <w:pPr>
        <w:spacing w:after="0" w:line="25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corporations are owned 50% by Advance Petroleum, Inc. and 50% by World Fuel Services Corporation.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corporation is owned 55% by Casa Petro S.A. and 45% by World Fuel Services Corporation.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corporations are inactive.</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unconsolidated corporation is a joint venture company which is equally owned by World Fuel Services, Inc. and Signature Flight Support Corporation, a Delaware corporation unrelated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-783590</wp:posOffset>
            </wp:positionV>
            <wp:extent cx="749935" cy="215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ectPr>
          <w:pgSz w:w="11900" w:h="16838" w:orient="portrait"/>
          <w:cols w:equalWidth="0" w:num="1">
            <w:col w:w="11420"/>
          </w:cols>
          <w:pgMar w:left="240" w:top="274" w:right="239" w:bottom="209"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333-68276) of World Fuel Services Corporation of our report dated May 21, 2002 relating to the consolidated financial statements, which appears in this Form 10-K.</w:t>
      </w:r>
    </w:p>
    <w:p>
      <w:pPr>
        <w:spacing w:after="0" w:line="118"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17, 2002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lvl w:ilvl="1">
      <w:lvlJc w:val="left"/>
      <w:lvlText w:val="(%2)"/>
      <w:numFmt w:val="lowerLetter"/>
      <w:start w:val="1"/>
    </w:lvl>
  </w:abstractNum>
  <w:abstractNum w:abstractNumId="4">
    <w:nsid w:val="DED726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
    <w:nsid w:val="7FDCC233"/>
    <w:multiLevelType w:val="hybridMultilevel"/>
    <w:lvl w:ilvl="0">
      <w:lvlJc w:val="left"/>
      <w:lvlText w:val="(%1)"/>
      <w:numFmt w:val="decimal"/>
      <w:start w:val="21"/>
    </w:lvl>
  </w:abstractNum>
  <w:abstractNum w:abstractNumId="6">
    <w:nsid w:val="1BEFD79F"/>
    <w:multiLevelType w:val="hybridMultilevel"/>
    <w:lvl w:ilvl="0">
      <w:lvlJc w:val="left"/>
      <w:lvlText w:val="%1"/>
      <w:numFmt w:val="lowerLetter"/>
      <w:start w:val="1"/>
    </w:lvl>
    <w:lvl w:ilvl="1">
      <w:lvlJc w:val="left"/>
      <w:lvlText w:val="(%2)"/>
      <w:numFmt w:val="decimal"/>
      <w:start w:val="23"/>
    </w:lvl>
  </w:abstractNum>
  <w:abstractNum w:abstractNumId="7">
    <w:nsid w:val="41A7C4C9"/>
    <w:multiLevelType w:val="hybridMultilevel"/>
    <w:lvl w:ilvl="0">
      <w:lvlJc w:val="left"/>
      <w:lvlText w:val="(%1)"/>
      <w:numFmt w:val="lowerLetter"/>
      <w:start w:val="2"/>
    </w:lvl>
    <w:lvl w:ilvl="1">
      <w:lvlJc w:val="left"/>
      <w:lvlText w:val="%2"/>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Roman"/>
      <w:start w:val="3"/>
    </w:lvl>
  </w:abstractNum>
  <w:abstractNum w:abstractNumId="20">
    <w:nsid w:val="721DA317"/>
    <w:multiLevelType w:val="hybridMultilevel"/>
    <w:lvl w:ilvl="0">
      <w:lvlJc w:val="left"/>
      <w:lvlText w:val="%1."/>
      <w:numFmt w:val="decimal"/>
      <w:start w:val="4"/>
    </w:lvl>
  </w:abstractNum>
  <w:abstractNum w:abstractNumId="21">
    <w:nsid w:val="2443A858"/>
    <w:multiLevelType w:val="hybridMultilevel"/>
    <w:lvl w:ilvl="0">
      <w:lvlJc w:val="left"/>
      <w:lvlText w:val="%1."/>
      <w:numFmt w:val="decimal"/>
      <w:start w:val="6"/>
    </w:lvl>
  </w:abstractNum>
  <w:abstractNum w:abstractNumId="22">
    <w:nsid w:val="2D1D5AE9"/>
    <w:multiLevelType w:val="hybridMultilevel"/>
    <w:lvl w:ilvl="0">
      <w:lvlJc w:val="left"/>
      <w:lvlText w:val="(%1)"/>
      <w:numFmt w:val="decimal"/>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lvl w:ilvl="5">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2019-12-13T16:03:00Z</dcterms:created>
  <dcterms:modified xsi:type="dcterms:W3CDTF">2019-12-13T16:03:00Z</dcterms:modified>
</cp:coreProperties>
</file>