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5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ind w:left="3680"/>
        <w:spacing w:after="0"/>
        <w:rPr>
          <w:sz w:val="20"/>
          <w:szCs w:val="20"/>
          <w:color w:val="auto"/>
        </w:rPr>
      </w:pPr>
      <w:r>
        <w:rPr>
          <w:rFonts w:ascii="Courier New" w:cs="Courier New" w:eastAsia="Courier New" w:hAnsi="Courier New"/>
          <w:sz w:val="17"/>
          <w:szCs w:val="17"/>
          <w:color w:val="auto"/>
        </w:rPr>
        <w:t>FORM 10-Q</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(Mark One)</w:t>
      </w:r>
    </w:p>
    <w:p>
      <w:pPr>
        <w:spacing w:after="0" w:line="201" w:lineRule="exact"/>
        <w:rPr>
          <w:sz w:val="24"/>
          <w:szCs w:val="24"/>
          <w:color w:val="auto"/>
        </w:rPr>
      </w:pPr>
    </w:p>
    <w:p>
      <w:pPr>
        <w:ind w:left="920" w:right="2559" w:hanging="915"/>
        <w:spacing w:after="0" w:line="243" w:lineRule="auto"/>
        <w:tabs>
          <w:tab w:leader="none" w:pos="9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15(d) OF THE SECURITIES EXCHANGE ACT OF 1934</w:t>
      </w:r>
    </w:p>
    <w:p>
      <w:pPr>
        <w:spacing w:after="0" w:line="197" w:lineRule="exact"/>
        <w:rPr>
          <w:rFonts w:ascii="Courier New" w:cs="Courier New" w:eastAsia="Courier New" w:hAnsi="Courier New"/>
          <w:sz w:val="17"/>
          <w:szCs w:val="17"/>
          <w:color w:val="auto"/>
        </w:rPr>
      </w:pPr>
    </w:p>
    <w:p>
      <w:pPr>
        <w:ind w:left="9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FOR THE QUARTERLY PERIOD ENDED SEPTEMBER 30, 1995</w:t>
      </w:r>
    </w:p>
    <w:p>
      <w:pPr>
        <w:spacing w:after="0" w:line="201" w:lineRule="exact"/>
        <w:rPr>
          <w:sz w:val="24"/>
          <w:szCs w:val="24"/>
          <w:color w:val="auto"/>
        </w:rPr>
      </w:pPr>
    </w:p>
    <w:p>
      <w:pPr>
        <w:ind w:left="920" w:right="2459" w:hanging="915"/>
        <w:spacing w:after="0" w:line="243" w:lineRule="auto"/>
        <w:tabs>
          <w:tab w:leader="none" w:pos="20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]TRANSITION REPORT PURSUANT TO SECTION 13 OR 15(d) OF THE SECURITIES EXCHANGE ACT OF 1934</w:t>
      </w:r>
    </w:p>
    <w:p>
      <w:pPr>
        <w:spacing w:after="0" w:line="199" w:lineRule="exact"/>
        <w:rPr>
          <w:sz w:val="24"/>
          <w:szCs w:val="24"/>
          <w:color w:val="auto"/>
        </w:rPr>
      </w:pPr>
    </w:p>
    <w:p>
      <w:pPr>
        <w:ind w:left="920"/>
        <w:spacing w:after="0"/>
        <w:rPr>
          <w:sz w:val="20"/>
          <w:szCs w:val="20"/>
          <w:color w:val="auto"/>
        </w:rPr>
      </w:pPr>
      <w:r>
        <w:rPr>
          <w:rFonts w:ascii="Courier New" w:cs="Courier New" w:eastAsia="Courier New" w:hAnsi="Courier New"/>
          <w:sz w:val="16"/>
          <w:szCs w:val="16"/>
          <w:color w:val="auto"/>
        </w:rPr>
        <w:t>FOR THE TRANSITION PERIOD FROM ______________ to _____________________</w:t>
      </w:r>
    </w:p>
    <w:p>
      <w:pPr>
        <w:spacing w:after="0" w:line="210"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COMMISSION FILE NUMBER 1-9533</w:t>
      </w:r>
    </w:p>
    <w:p>
      <w:pPr>
        <w:spacing w:after="0" w:line="200" w:lineRule="exact"/>
        <w:rPr>
          <w:sz w:val="24"/>
          <w:szCs w:val="24"/>
          <w:color w:val="auto"/>
        </w:rPr>
      </w:pPr>
    </w:p>
    <w:p>
      <w:pPr>
        <w:ind w:left="2560"/>
        <w:spacing w:after="0"/>
        <w:rPr>
          <w:sz w:val="20"/>
          <w:szCs w:val="20"/>
          <w:color w:val="auto"/>
        </w:rPr>
      </w:pPr>
      <w:r>
        <w:rPr>
          <w:rFonts w:ascii="Courier New" w:cs="Courier New" w:eastAsia="Courier New" w:hAnsi="Courier New"/>
          <w:sz w:val="17"/>
          <w:szCs w:val="17"/>
          <w:color w:val="auto"/>
        </w:rPr>
        <w:t>WORLD FUEL SERVICES CORPORATION</w:t>
      </w:r>
    </w:p>
    <w:p>
      <w:pPr>
        <w:spacing w:after="0" w:line="4" w:lineRule="exact"/>
        <w:rPr>
          <w:sz w:val="24"/>
          <w:szCs w:val="24"/>
          <w:color w:val="auto"/>
        </w:rPr>
      </w:pPr>
    </w:p>
    <w:p>
      <w:pPr>
        <w:ind w:left="2140"/>
        <w:spacing w:after="0"/>
        <w:rPr>
          <w:sz w:val="20"/>
          <w:szCs w:val="20"/>
          <w:color w:val="auto"/>
        </w:rPr>
      </w:pPr>
      <w:r>
        <w:rPr>
          <w:rFonts w:ascii="Courier New" w:cs="Courier New" w:eastAsia="Courier New" w:hAnsi="Courier New"/>
          <w:sz w:val="17"/>
          <w:szCs w:val="17"/>
          <w:color w:val="auto"/>
        </w:rPr>
        <w:t>(formerly International Recovery Corp.)</w:t>
      </w:r>
    </w:p>
    <w:p>
      <w:pPr>
        <w:spacing w:after="0" w:line="4" w:lineRule="exact"/>
        <w:rPr>
          <w:sz w:val="24"/>
          <w:szCs w:val="24"/>
          <w:color w:val="auto"/>
        </w:rPr>
      </w:pPr>
    </w:p>
    <w:p>
      <w:pPr>
        <w:ind w:left="134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45" w:right="1440" w:bottom="1440" w:gutter="0" w:footer="0" w:header="0"/>
        </w:sectPr>
      </w:pPr>
    </w:p>
    <w:p>
      <w:pPr>
        <w:spacing w:after="0" w:line="200" w:lineRule="exact"/>
        <w:rPr>
          <w:sz w:val="24"/>
          <w:szCs w:val="24"/>
          <w:color w:val="auto"/>
        </w:rPr>
      </w:pPr>
    </w:p>
    <w:p>
      <w:pPr>
        <w:ind w:left="1120"/>
        <w:spacing w:after="0"/>
        <w:rPr>
          <w:sz w:val="20"/>
          <w:szCs w:val="20"/>
          <w:color w:val="auto"/>
        </w:rPr>
      </w:pPr>
      <w:r>
        <w:rPr>
          <w:rFonts w:ascii="Courier New" w:cs="Courier New" w:eastAsia="Courier New" w:hAnsi="Courier New"/>
          <w:sz w:val="17"/>
          <w:szCs w:val="17"/>
          <w:color w:val="auto"/>
        </w:rPr>
        <w:t>Florida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400"/>
        <w:spacing w:after="0"/>
        <w:rPr>
          <w:sz w:val="20"/>
          <w:szCs w:val="20"/>
          <w:color w:val="auto"/>
        </w:rPr>
      </w:pPr>
      <w:r>
        <w:rPr>
          <w:rFonts w:ascii="Courier New" w:cs="Courier New" w:eastAsia="Courier New" w:hAnsi="Courier New"/>
          <w:sz w:val="17"/>
          <w:szCs w:val="17"/>
          <w:color w:val="auto"/>
        </w:rPr>
        <w:t>59-2459427</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Identification No.)</w:t>
      </w:r>
    </w:p>
    <w:p>
      <w:pPr>
        <w:spacing w:after="0" w:line="200" w:lineRule="exact"/>
        <w:rPr>
          <w:sz w:val="24"/>
          <w:szCs w:val="24"/>
          <w:color w:val="auto"/>
        </w:rPr>
      </w:pPr>
    </w:p>
    <w:p>
      <w:pPr>
        <w:sectPr>
          <w:pgSz w:w="11900" w:h="16838" w:orient="portrait"/>
          <w:cols w:equalWidth="0" w:num="2">
            <w:col w:w="5000" w:space="720"/>
            <w:col w:w="4499"/>
          </w:cols>
          <w:pgMar w:left="240" w:top="245" w:right="1440" w:bottom="1440" w:gutter="0" w:footer="0" w:header="0"/>
          <w:type w:val="continuous"/>
        </w:sectPr>
      </w:pPr>
    </w:p>
    <w:p>
      <w:pPr>
        <w:spacing w:after="0" w:line="1" w:lineRule="exact"/>
        <w:rPr>
          <w:sz w:val="24"/>
          <w:szCs w:val="24"/>
          <w:color w:val="auto"/>
        </w:rPr>
      </w:pPr>
    </w:p>
    <w:p>
      <w:pPr>
        <w:spacing w:after="0" w:line="243" w:lineRule="auto"/>
        <w:rPr>
          <w:sz w:val="20"/>
          <w:szCs w:val="20"/>
          <w:color w:val="auto"/>
        </w:rPr>
      </w:pPr>
      <w:r>
        <w:rPr>
          <w:rFonts w:ascii="Courier New" w:cs="Courier New" w:eastAsia="Courier New" w:hAnsi="Courier New"/>
          <w:sz w:val="17"/>
          <w:szCs w:val="17"/>
          <w:color w:val="auto"/>
        </w:rPr>
        <w:t>700 South Royal Poinciana Blvd., Suite 800, Miami Springs, Florida (Address of Principal Executive Offices)</w:t>
      </w:r>
    </w:p>
    <w:p>
      <w:pPr>
        <w:spacing w:after="0" w:line="20" w:lineRule="exact"/>
        <w:rPr>
          <w:sz w:val="24"/>
          <w:szCs w:val="24"/>
          <w:color w:val="auto"/>
        </w:rPr>
      </w:pPr>
      <w:r>
        <w:rPr>
          <w:sz w:val="24"/>
          <w:szCs w:val="24"/>
          <w:color w:val="auto"/>
        </w:rPr>
        <w:br w:type="column"/>
      </w:r>
    </w:p>
    <w:p>
      <w:pPr>
        <w:ind w:left="200"/>
        <w:spacing w:after="0"/>
        <w:rPr>
          <w:sz w:val="20"/>
          <w:szCs w:val="20"/>
          <w:color w:val="auto"/>
        </w:rPr>
      </w:pPr>
      <w:r>
        <w:rPr>
          <w:rFonts w:ascii="Courier New" w:cs="Courier New" w:eastAsia="Courier New" w:hAnsi="Courier New"/>
          <w:sz w:val="17"/>
          <w:szCs w:val="17"/>
          <w:color w:val="auto"/>
        </w:rPr>
        <w:t>33166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0" w:lineRule="exact"/>
        <w:rPr>
          <w:sz w:val="24"/>
          <w:szCs w:val="24"/>
          <w:color w:val="auto"/>
        </w:rPr>
      </w:pPr>
    </w:p>
    <w:p>
      <w:pPr>
        <w:sectPr>
          <w:pgSz w:w="11900" w:h="16838" w:orient="portrait"/>
          <w:cols w:equalWidth="0" w:num="2">
            <w:col w:w="6740" w:space="200"/>
            <w:col w:w="3279"/>
          </w:cols>
          <w:pgMar w:left="240" w:top="245" w:right="1440" w:bottom="1440" w:gutter="0" w:footer="0" w:header="0"/>
          <w:type w:val="continuous"/>
        </w:sectPr>
      </w:pPr>
    </w:p>
    <w:p>
      <w:pPr>
        <w:ind w:left="920"/>
        <w:spacing w:after="0"/>
        <w:rPr>
          <w:sz w:val="20"/>
          <w:szCs w:val="20"/>
          <w:color w:val="auto"/>
        </w:rPr>
      </w:pPr>
      <w:r>
        <w:rPr>
          <w:rFonts w:ascii="Courier New" w:cs="Courier New" w:eastAsia="Courier New" w:hAnsi="Courier New"/>
          <w:sz w:val="17"/>
          <w:szCs w:val="17"/>
          <w:color w:val="auto"/>
        </w:rPr>
        <w:t>Registrant's Telephone Number, including area code: (305) 884-2001</w:t>
      </w:r>
    </w:p>
    <w:p>
      <w:pPr>
        <w:spacing w:after="0" w:line="201" w:lineRule="exact"/>
        <w:rPr>
          <w:sz w:val="24"/>
          <w:szCs w:val="24"/>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97" w:lineRule="exact"/>
        <w:rPr>
          <w:sz w:val="24"/>
          <w:szCs w:val="24"/>
          <w:color w:val="auto"/>
        </w:rPr>
      </w:pPr>
    </w:p>
    <w:p>
      <w:pPr>
        <w:ind w:left="2240"/>
        <w:spacing w:after="0"/>
        <w:rPr>
          <w:sz w:val="20"/>
          <w:szCs w:val="20"/>
          <w:color w:val="auto"/>
        </w:rPr>
      </w:pPr>
      <w:r>
        <w:rPr>
          <w:rFonts w:ascii="Courier New" w:cs="Courier New" w:eastAsia="Courier New" w:hAnsi="Courier New"/>
          <w:sz w:val="17"/>
          <w:szCs w:val="17"/>
          <w:color w:val="auto"/>
        </w:rPr>
        <w:t>APPLICABLE ONLY TO CORPORATE ISSUERS:</w:t>
      </w:r>
    </w:p>
    <w:p>
      <w:pPr>
        <w:spacing w:after="0" w:line="201" w:lineRule="exact"/>
        <w:rPr>
          <w:sz w:val="24"/>
          <w:szCs w:val="24"/>
          <w:color w:val="auto"/>
        </w:rPr>
      </w:pPr>
    </w:p>
    <w:p>
      <w:pPr>
        <w:jc w:val="both"/>
        <w:ind w:right="2659" w:firstLine="918"/>
        <w:spacing w:after="0" w:line="243" w:lineRule="auto"/>
        <w:rPr>
          <w:sz w:val="20"/>
          <w:szCs w:val="20"/>
          <w:color w:val="auto"/>
        </w:rPr>
      </w:pPr>
      <w:r>
        <w:rPr>
          <w:rFonts w:ascii="Courier New" w:cs="Courier New" w:eastAsia="Courier New" w:hAnsi="Courier New"/>
          <w:sz w:val="17"/>
          <w:szCs w:val="17"/>
          <w:color w:val="auto"/>
        </w:rPr>
        <w:t>As of September 30, 1995, the Registrant had a total of 7,922,518 shares of Common Stock, par value $0.01 per share, issued and outstanding.</w:t>
      </w:r>
    </w:p>
    <w:p>
      <w:pPr>
        <w:spacing w:after="0" w:line="198" w:lineRule="exact"/>
        <w:rPr>
          <w:sz w:val="24"/>
          <w:szCs w:val="24"/>
          <w:color w:val="auto"/>
        </w:rPr>
      </w:pPr>
    </w:p>
    <w:p>
      <w:pPr>
        <w:ind w:left="3480"/>
        <w:spacing w:after="0"/>
        <w:rPr>
          <w:sz w:val="20"/>
          <w:szCs w:val="20"/>
          <w:color w:val="auto"/>
        </w:rPr>
      </w:pPr>
      <w:r>
        <w:rPr>
          <w:rFonts w:ascii="Courier New" w:cs="Courier New" w:eastAsia="Courier New" w:hAnsi="Courier New"/>
          <w:sz w:val="17"/>
          <w:szCs w:val="17"/>
          <w:color w:val="auto"/>
        </w:rPr>
        <w:t>Page 1 of 19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ind w:left="2660"/>
        <w:spacing w:after="0"/>
        <w:rPr>
          <w:sz w:val="20"/>
          <w:szCs w:val="20"/>
          <w:color w:val="auto"/>
        </w:rPr>
      </w:pPr>
      <w:r>
        <w:rPr>
          <w:rFonts w:ascii="Courier New" w:cs="Courier New" w:eastAsia="Courier New" w:hAnsi="Courier New"/>
          <w:sz w:val="17"/>
          <w:szCs w:val="17"/>
          <w:color w:val="auto"/>
        </w:rPr>
        <w:t>PART I. FINANCIAL INFORMATION</w:t>
      </w:r>
    </w:p>
    <w:p>
      <w:pPr>
        <w:spacing w:after="0" w:line="200" w:lineRule="exact"/>
        <w:rPr>
          <w:sz w:val="24"/>
          <w:szCs w:val="24"/>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4"/>
          <w:szCs w:val="24"/>
          <w:color w:val="auto"/>
        </w:rPr>
      </w:pPr>
    </w:p>
    <w:p>
      <w:pPr>
        <w:ind w:right="2059"/>
        <w:spacing w:after="0" w:line="261" w:lineRule="auto"/>
        <w:rPr>
          <w:sz w:val="20"/>
          <w:szCs w:val="20"/>
          <w:color w:val="auto"/>
        </w:rPr>
      </w:pPr>
      <w:r>
        <w:rPr>
          <w:rFonts w:ascii="Courier New" w:cs="Courier New" w:eastAsia="Courier New" w:hAnsi="Courier New"/>
          <w:sz w:val="16"/>
          <w:szCs w:val="16"/>
          <w:color w:val="auto"/>
        </w:rPr>
        <w:t>The following unaudited, condensed consolidated financial statements of World Fuel Services Corporation (the "Company") have been prepared in accordance with the instructions to Form 10-Q and, therefore, omit or condense certain footnotes and other information normally included in financial statements prepared in accordance with generally accepted accounting principles. In the opinion of management, all adjustments necessary for a fair presentation of the financial information for the interim periods reported have been made. Results of operations for the six months ended September 30, 1995 will not be necessarily indicative of the results for the entire fiscal year ending March 31, 1996.</w:t>
      </w:r>
    </w:p>
    <w:p>
      <w:pPr>
        <w:spacing w:after="0" w:line="187" w:lineRule="exact"/>
        <w:rPr>
          <w:sz w:val="24"/>
          <w:szCs w:val="24"/>
          <w:color w:val="auto"/>
        </w:rPr>
      </w:pPr>
    </w:p>
    <w:p>
      <w:pPr>
        <w:ind w:left="3480"/>
        <w:spacing w:after="0"/>
        <w:rPr>
          <w:sz w:val="20"/>
          <w:szCs w:val="20"/>
          <w:color w:val="auto"/>
        </w:rPr>
      </w:pPr>
      <w:r>
        <w:rPr>
          <w:rFonts w:ascii="Courier New" w:cs="Courier New" w:eastAsia="Courier New" w:hAnsi="Courier New"/>
          <w:sz w:val="17"/>
          <w:szCs w:val="17"/>
          <w:color w:val="auto"/>
        </w:rPr>
        <w:t>Page 2 of 19</w:t>
      </w:r>
    </w:p>
    <w:p>
      <w:pPr>
        <w:sectPr>
          <w:pgSz w:w="11900" w:h="16838" w:orient="portrait"/>
          <w:cols w:equalWidth="0" w:num="1">
            <w:col w:w="10219"/>
          </w:cols>
          <w:pgMar w:left="240" w:top="245"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3"/>
        </w:trPr>
        <w:tc>
          <w:tcPr>
            <w:tcW w:w="7400" w:type="dxa"/>
            <w:vAlign w:val="bottom"/>
          </w:tcPr>
          <w:p>
            <w:pPr>
              <w:ind w:left="1640"/>
              <w:spacing w:after="0"/>
              <w:rPr>
                <w:sz w:val="20"/>
                <w:szCs w:val="20"/>
                <w:color w:val="auto"/>
              </w:rPr>
            </w:pPr>
            <w:r>
              <w:rPr>
                <w:rFonts w:ascii="Courier New" w:cs="Courier New" w:eastAsia="Courier New" w:hAnsi="Courier New"/>
                <w:sz w:val="17"/>
                <w:szCs w:val="17"/>
                <w:color w:val="auto"/>
              </w:rPr>
              <w:t>WORLD FUEL SERVICES CORPORATION AND SUBSIDIARIES</w:t>
            </w:r>
          </w:p>
        </w:tc>
        <w:tc>
          <w:tcPr>
            <w:tcW w:w="23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92"/>
        </w:trPr>
        <w:tc>
          <w:tcPr>
            <w:tcW w:w="7400" w:type="dxa"/>
            <w:vAlign w:val="bottom"/>
          </w:tcPr>
          <w:p>
            <w:pPr>
              <w:ind w:left="2760"/>
              <w:spacing w:after="0"/>
              <w:rPr>
                <w:sz w:val="20"/>
                <w:szCs w:val="20"/>
                <w:color w:val="auto"/>
              </w:rPr>
            </w:pPr>
            <w:r>
              <w:rPr>
                <w:rFonts w:ascii="Courier New" w:cs="Courier New" w:eastAsia="Courier New" w:hAnsi="Courier New"/>
                <w:sz w:val="17"/>
                <w:szCs w:val="17"/>
                <w:color w:val="auto"/>
              </w:rPr>
              <w:t>CONSOLIDATED BALANCE SHEETS</w:t>
            </w:r>
          </w:p>
        </w:tc>
        <w:tc>
          <w:tcPr>
            <w:tcW w:w="2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2"/>
        </w:trPr>
        <w:tc>
          <w:tcPr>
            <w:tcW w:w="7400" w:type="dxa"/>
            <w:vAlign w:val="bottom"/>
          </w:tcPr>
          <w:p>
            <w:pPr>
              <w:ind w:left="3580"/>
              <w:spacing w:after="0"/>
              <w:rPr>
                <w:sz w:val="20"/>
                <w:szCs w:val="20"/>
                <w:color w:val="auto"/>
              </w:rPr>
            </w:pPr>
            <w:r>
              <w:rPr>
                <w:rFonts w:ascii="Courier New" w:cs="Courier New" w:eastAsia="Courier New" w:hAnsi="Courier New"/>
                <w:sz w:val="17"/>
                <w:szCs w:val="17"/>
                <w:color w:val="auto"/>
              </w:rPr>
              <w:t>(UNAUDITED)</w:t>
            </w:r>
          </w:p>
        </w:tc>
        <w:tc>
          <w:tcPr>
            <w:tcW w:w="2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2"/>
        </w:trPr>
        <w:tc>
          <w:tcPr>
            <w:tcW w:w="7400" w:type="dxa"/>
            <w:vAlign w:val="bottom"/>
          </w:tcPr>
          <w:p>
            <w:pPr>
              <w:ind w:left="3780"/>
              <w:spacing w:after="0"/>
              <w:rPr>
                <w:sz w:val="20"/>
                <w:szCs w:val="20"/>
                <w:color w:val="auto"/>
              </w:rPr>
            </w:pPr>
            <w:r>
              <w:rPr>
                <w:rFonts w:ascii="Courier New" w:cs="Courier New" w:eastAsia="Courier New" w:hAnsi="Courier New"/>
                <w:sz w:val="17"/>
                <w:szCs w:val="17"/>
                <w:color w:val="auto"/>
              </w:rPr>
              <w:t>ASSETS</w:t>
            </w:r>
          </w:p>
        </w:tc>
        <w:tc>
          <w:tcPr>
            <w:tcW w:w="2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2"/>
        </w:trPr>
        <w:tc>
          <w:tcPr>
            <w:tcW w:w="7400" w:type="dxa"/>
            <w:vAlign w:val="bottom"/>
          </w:tcPr>
          <w:p>
            <w:pPr>
              <w:spacing w:after="0"/>
              <w:rPr>
                <w:sz w:val="24"/>
                <w:szCs w:val="24"/>
                <w:color w:val="auto"/>
              </w:rPr>
            </w:pPr>
          </w:p>
        </w:tc>
        <w:tc>
          <w:tcPr>
            <w:tcW w:w="23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SEPTEMBER 30,</w:t>
            </w: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MARCH 31,</w:t>
            </w:r>
          </w:p>
        </w:tc>
      </w:tr>
      <w:tr>
        <w:trPr>
          <w:trHeight w:val="196"/>
        </w:trPr>
        <w:tc>
          <w:tcPr>
            <w:tcW w:w="7400" w:type="dxa"/>
            <w:vAlign w:val="bottom"/>
          </w:tcPr>
          <w:p>
            <w:pPr>
              <w:spacing w:after="0"/>
              <w:rPr>
                <w:sz w:val="17"/>
                <w:szCs w:val="17"/>
                <w:color w:val="auto"/>
              </w:rPr>
            </w:pPr>
          </w:p>
        </w:tc>
        <w:tc>
          <w:tcPr>
            <w:tcW w:w="23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1995</w:t>
            </w:r>
          </w:p>
        </w:tc>
        <w:tc>
          <w:tcPr>
            <w:tcW w:w="12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1995</w:t>
            </w:r>
          </w:p>
        </w:tc>
      </w:tr>
      <w:tr>
        <w:trPr>
          <w:trHeight w:val="196"/>
        </w:trPr>
        <w:tc>
          <w:tcPr>
            <w:tcW w:w="7400" w:type="dxa"/>
            <w:vAlign w:val="bottom"/>
          </w:tcPr>
          <w:p>
            <w:pPr>
              <w:spacing w:after="0"/>
              <w:rPr>
                <w:sz w:val="17"/>
                <w:szCs w:val="17"/>
                <w:color w:val="auto"/>
              </w:rPr>
            </w:pPr>
          </w:p>
        </w:tc>
        <w:tc>
          <w:tcPr>
            <w:tcW w:w="23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740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2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7400" w:type="dxa"/>
            <w:vAlign w:val="bottom"/>
          </w:tcPr>
          <w:p>
            <w:pPr>
              <w:ind w:left="200"/>
              <w:spacing w:after="0"/>
              <w:rPr>
                <w:sz w:val="20"/>
                <w:szCs w:val="20"/>
                <w:color w:val="auto"/>
              </w:rPr>
            </w:pPr>
            <w:r>
              <w:rPr>
                <w:rFonts w:ascii="Courier New" w:cs="Courier New" w:eastAsia="Courier New" w:hAnsi="Courier New"/>
                <w:sz w:val="17"/>
                <w:szCs w:val="17"/>
                <w:color w:val="auto"/>
              </w:rPr>
              <w:t>Cash and cash equivalents</w:t>
            </w:r>
          </w:p>
        </w:tc>
        <w:tc>
          <w:tcPr>
            <w:tcW w:w="23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$ 17,042,000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$10,907,000</w:t>
            </w:r>
          </w:p>
        </w:tc>
      </w:tr>
      <w:tr>
        <w:trPr>
          <w:trHeight w:val="196"/>
        </w:trPr>
        <w:tc>
          <w:tcPr>
            <w:tcW w:w="7400" w:type="dxa"/>
            <w:vAlign w:val="bottom"/>
          </w:tcPr>
          <w:p>
            <w:pPr>
              <w:ind w:left="200"/>
              <w:spacing w:after="0"/>
              <w:rPr>
                <w:sz w:val="20"/>
                <w:szCs w:val="20"/>
                <w:color w:val="auto"/>
              </w:rPr>
            </w:pPr>
            <w:r>
              <w:rPr>
                <w:rFonts w:ascii="Courier New" w:cs="Courier New" w:eastAsia="Courier New" w:hAnsi="Courier New"/>
                <w:sz w:val="17"/>
                <w:szCs w:val="17"/>
                <w:color w:val="auto"/>
              </w:rPr>
              <w:t>Accounts receivable, net of allowance</w:t>
            </w:r>
          </w:p>
        </w:tc>
        <w:tc>
          <w:tcPr>
            <w:tcW w:w="23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400" w:type="dxa"/>
            <w:vAlign w:val="bottom"/>
          </w:tcPr>
          <w:p>
            <w:pPr>
              <w:ind w:left="420"/>
              <w:spacing w:after="0"/>
              <w:rPr>
                <w:sz w:val="20"/>
                <w:szCs w:val="20"/>
                <w:color w:val="auto"/>
              </w:rPr>
            </w:pPr>
            <w:r>
              <w:rPr>
                <w:rFonts w:ascii="Courier New" w:cs="Courier New" w:eastAsia="Courier New" w:hAnsi="Courier New"/>
                <w:sz w:val="17"/>
                <w:szCs w:val="17"/>
                <w:color w:val="auto"/>
              </w:rPr>
              <w:t>for bad debts of $5,000,000 and</w:t>
            </w:r>
          </w:p>
        </w:tc>
        <w:tc>
          <w:tcPr>
            <w:tcW w:w="23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400" w:type="dxa"/>
            <w:vAlign w:val="bottom"/>
          </w:tcPr>
          <w:p>
            <w:pPr>
              <w:ind w:left="420"/>
              <w:spacing w:after="0"/>
              <w:rPr>
                <w:sz w:val="20"/>
                <w:szCs w:val="20"/>
                <w:color w:val="auto"/>
              </w:rPr>
            </w:pPr>
            <w:r>
              <w:rPr>
                <w:rFonts w:ascii="Courier New" w:cs="Courier New" w:eastAsia="Courier New" w:hAnsi="Courier New"/>
                <w:sz w:val="17"/>
                <w:szCs w:val="17"/>
                <w:color w:val="auto"/>
              </w:rPr>
              <w:t>$4,566,000 at September 30, 1995</w:t>
            </w:r>
          </w:p>
        </w:tc>
        <w:tc>
          <w:tcPr>
            <w:tcW w:w="23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400" w:type="dxa"/>
            <w:vAlign w:val="bottom"/>
          </w:tcPr>
          <w:p>
            <w:pPr>
              <w:ind w:left="420"/>
              <w:spacing w:after="0"/>
              <w:rPr>
                <w:sz w:val="20"/>
                <w:szCs w:val="20"/>
                <w:color w:val="auto"/>
              </w:rPr>
            </w:pPr>
            <w:r>
              <w:rPr>
                <w:rFonts w:ascii="Courier New" w:cs="Courier New" w:eastAsia="Courier New" w:hAnsi="Courier New"/>
                <w:sz w:val="17"/>
                <w:szCs w:val="17"/>
                <w:color w:val="auto"/>
              </w:rPr>
              <w:t>and March 31, 1995, respectively</w:t>
            </w:r>
          </w:p>
        </w:tc>
        <w:tc>
          <w:tcPr>
            <w:tcW w:w="23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45,504,000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38,800,000</w:t>
            </w:r>
          </w:p>
        </w:tc>
      </w:tr>
      <w:tr>
        <w:trPr>
          <w:trHeight w:val="196"/>
        </w:trPr>
        <w:tc>
          <w:tcPr>
            <w:tcW w:w="7400" w:type="dxa"/>
            <w:vAlign w:val="bottom"/>
          </w:tcPr>
          <w:p>
            <w:pPr>
              <w:ind w:left="200"/>
              <w:spacing w:after="0"/>
              <w:rPr>
                <w:sz w:val="20"/>
                <w:szCs w:val="20"/>
                <w:color w:val="auto"/>
              </w:rPr>
            </w:pPr>
            <w:r>
              <w:rPr>
                <w:rFonts w:ascii="Courier New" w:cs="Courier New" w:eastAsia="Courier New" w:hAnsi="Courier New"/>
                <w:sz w:val="17"/>
                <w:szCs w:val="17"/>
                <w:color w:val="auto"/>
              </w:rPr>
              <w:t>Inventories</w:t>
            </w:r>
          </w:p>
        </w:tc>
        <w:tc>
          <w:tcPr>
            <w:tcW w:w="23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3,772,000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3,714,000</w:t>
            </w:r>
          </w:p>
        </w:tc>
      </w:tr>
      <w:tr>
        <w:trPr>
          <w:trHeight w:val="196"/>
        </w:trPr>
        <w:tc>
          <w:tcPr>
            <w:tcW w:w="7400" w:type="dxa"/>
            <w:vAlign w:val="bottom"/>
          </w:tcPr>
          <w:p>
            <w:pPr>
              <w:ind w:left="200"/>
              <w:spacing w:after="0"/>
              <w:rPr>
                <w:sz w:val="20"/>
                <w:szCs w:val="20"/>
                <w:color w:val="auto"/>
              </w:rPr>
            </w:pPr>
            <w:r>
              <w:rPr>
                <w:rFonts w:ascii="Courier New" w:cs="Courier New" w:eastAsia="Courier New" w:hAnsi="Courier New"/>
                <w:sz w:val="17"/>
                <w:szCs w:val="17"/>
                <w:color w:val="auto"/>
              </w:rPr>
              <w:t>Prepaid expenses and other current assets</w:t>
            </w:r>
          </w:p>
        </w:tc>
        <w:tc>
          <w:tcPr>
            <w:tcW w:w="23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3,695,000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4,585,000</w:t>
            </w:r>
          </w:p>
        </w:tc>
      </w:tr>
      <w:tr>
        <w:trPr>
          <w:trHeight w:val="196"/>
        </w:trPr>
        <w:tc>
          <w:tcPr>
            <w:tcW w:w="7400" w:type="dxa"/>
            <w:vAlign w:val="bottom"/>
          </w:tcPr>
          <w:p>
            <w:pPr>
              <w:spacing w:after="0"/>
              <w:rPr>
                <w:sz w:val="17"/>
                <w:szCs w:val="17"/>
                <w:color w:val="auto"/>
              </w:rPr>
            </w:pPr>
          </w:p>
        </w:tc>
        <w:tc>
          <w:tcPr>
            <w:tcW w:w="23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7400" w:type="dxa"/>
            <w:vAlign w:val="bottom"/>
          </w:tcPr>
          <w:p>
            <w:pPr>
              <w:ind w:left="1220"/>
              <w:spacing w:after="0"/>
              <w:rPr>
                <w:sz w:val="20"/>
                <w:szCs w:val="20"/>
                <w:color w:val="auto"/>
              </w:rPr>
            </w:pPr>
            <w:r>
              <w:rPr>
                <w:rFonts w:ascii="Courier New" w:cs="Courier New" w:eastAsia="Courier New" w:hAnsi="Courier New"/>
                <w:sz w:val="17"/>
                <w:szCs w:val="17"/>
                <w:color w:val="auto"/>
              </w:rPr>
              <w:t>Total current assets</w:t>
            </w:r>
          </w:p>
        </w:tc>
        <w:tc>
          <w:tcPr>
            <w:tcW w:w="23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70,013,000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58,006,000</w:t>
            </w:r>
          </w:p>
        </w:tc>
      </w:tr>
      <w:tr>
        <w:trPr>
          <w:trHeight w:val="196"/>
        </w:trPr>
        <w:tc>
          <w:tcPr>
            <w:tcW w:w="7400" w:type="dxa"/>
            <w:vAlign w:val="bottom"/>
          </w:tcPr>
          <w:p>
            <w:pPr>
              <w:spacing w:after="0"/>
              <w:rPr>
                <w:sz w:val="17"/>
                <w:szCs w:val="17"/>
                <w:color w:val="auto"/>
              </w:rPr>
            </w:pPr>
          </w:p>
        </w:tc>
        <w:tc>
          <w:tcPr>
            <w:tcW w:w="23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740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at cost:</w:t>
            </w:r>
          </w:p>
        </w:tc>
        <w:tc>
          <w:tcPr>
            <w:tcW w:w="2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7400" w:type="dxa"/>
            <w:vAlign w:val="bottom"/>
          </w:tcPr>
          <w:p>
            <w:pPr>
              <w:ind w:left="200"/>
              <w:spacing w:after="0"/>
              <w:rPr>
                <w:sz w:val="20"/>
                <w:szCs w:val="20"/>
                <w:color w:val="auto"/>
              </w:rPr>
            </w:pPr>
            <w:r>
              <w:rPr>
                <w:rFonts w:ascii="Courier New" w:cs="Courier New" w:eastAsia="Courier New" w:hAnsi="Courier New"/>
                <w:sz w:val="17"/>
                <w:szCs w:val="17"/>
                <w:color w:val="auto"/>
              </w:rPr>
              <w:t>Land</w:t>
            </w:r>
          </w:p>
        </w:tc>
        <w:tc>
          <w:tcPr>
            <w:tcW w:w="23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601,000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705,000</w:t>
            </w:r>
          </w:p>
        </w:tc>
      </w:tr>
      <w:tr>
        <w:trPr>
          <w:trHeight w:val="196"/>
        </w:trPr>
        <w:tc>
          <w:tcPr>
            <w:tcW w:w="7400" w:type="dxa"/>
            <w:vAlign w:val="bottom"/>
          </w:tcPr>
          <w:p>
            <w:pPr>
              <w:ind w:left="200"/>
              <w:spacing w:after="0"/>
              <w:rPr>
                <w:sz w:val="20"/>
                <w:szCs w:val="20"/>
                <w:color w:val="auto"/>
              </w:rPr>
            </w:pPr>
            <w:r>
              <w:rPr>
                <w:rFonts w:ascii="Courier New" w:cs="Courier New" w:eastAsia="Courier New" w:hAnsi="Courier New"/>
                <w:sz w:val="17"/>
                <w:szCs w:val="17"/>
                <w:color w:val="auto"/>
              </w:rPr>
              <w:t>Buildings and improvements</w:t>
            </w:r>
          </w:p>
        </w:tc>
        <w:tc>
          <w:tcPr>
            <w:tcW w:w="23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2,818,000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2,929,000</w:t>
            </w:r>
          </w:p>
        </w:tc>
      </w:tr>
      <w:tr>
        <w:trPr>
          <w:trHeight w:val="196"/>
        </w:trPr>
        <w:tc>
          <w:tcPr>
            <w:tcW w:w="7400" w:type="dxa"/>
            <w:vAlign w:val="bottom"/>
          </w:tcPr>
          <w:p>
            <w:pPr>
              <w:ind w:left="200"/>
              <w:spacing w:after="0"/>
              <w:rPr>
                <w:sz w:val="20"/>
                <w:szCs w:val="20"/>
                <w:color w:val="auto"/>
              </w:rPr>
            </w:pPr>
            <w:r>
              <w:rPr>
                <w:rFonts w:ascii="Courier New" w:cs="Courier New" w:eastAsia="Courier New" w:hAnsi="Courier New"/>
                <w:sz w:val="17"/>
                <w:szCs w:val="17"/>
                <w:color w:val="auto"/>
              </w:rPr>
              <w:t>Office equipment and furniture</w:t>
            </w:r>
          </w:p>
        </w:tc>
        <w:tc>
          <w:tcPr>
            <w:tcW w:w="23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2,572,000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2,394,000</w:t>
            </w:r>
          </w:p>
        </w:tc>
      </w:tr>
      <w:tr>
        <w:trPr>
          <w:trHeight w:val="196"/>
        </w:trPr>
        <w:tc>
          <w:tcPr>
            <w:tcW w:w="7400" w:type="dxa"/>
            <w:vAlign w:val="bottom"/>
          </w:tcPr>
          <w:p>
            <w:pPr>
              <w:ind w:left="200"/>
              <w:spacing w:after="0"/>
              <w:rPr>
                <w:sz w:val="20"/>
                <w:szCs w:val="20"/>
                <w:color w:val="auto"/>
              </w:rPr>
            </w:pPr>
            <w:r>
              <w:rPr>
                <w:rFonts w:ascii="Courier New" w:cs="Courier New" w:eastAsia="Courier New" w:hAnsi="Courier New"/>
                <w:sz w:val="17"/>
                <w:szCs w:val="17"/>
                <w:color w:val="auto"/>
              </w:rPr>
              <w:t>Plant, machinery and equipment</w:t>
            </w:r>
          </w:p>
        </w:tc>
        <w:tc>
          <w:tcPr>
            <w:tcW w:w="23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14,143,000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15,052,000</w:t>
            </w:r>
          </w:p>
        </w:tc>
      </w:tr>
      <w:tr>
        <w:trPr>
          <w:trHeight w:val="196"/>
        </w:trPr>
        <w:tc>
          <w:tcPr>
            <w:tcW w:w="7400" w:type="dxa"/>
            <w:vAlign w:val="bottom"/>
          </w:tcPr>
          <w:p>
            <w:pPr>
              <w:ind w:left="200"/>
              <w:spacing w:after="0"/>
              <w:rPr>
                <w:sz w:val="20"/>
                <w:szCs w:val="20"/>
                <w:color w:val="auto"/>
              </w:rPr>
            </w:pPr>
            <w:r>
              <w:rPr>
                <w:rFonts w:ascii="Courier New" w:cs="Courier New" w:eastAsia="Courier New" w:hAnsi="Courier New"/>
                <w:sz w:val="17"/>
                <w:szCs w:val="17"/>
                <w:color w:val="auto"/>
              </w:rPr>
              <w:t>Construction in progress</w:t>
            </w:r>
          </w:p>
        </w:tc>
        <w:tc>
          <w:tcPr>
            <w:tcW w:w="23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8,000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184,000</w:t>
            </w:r>
          </w:p>
        </w:tc>
      </w:tr>
      <w:tr>
        <w:trPr>
          <w:trHeight w:val="196"/>
        </w:trPr>
        <w:tc>
          <w:tcPr>
            <w:tcW w:w="7400" w:type="dxa"/>
            <w:vAlign w:val="bottom"/>
          </w:tcPr>
          <w:p>
            <w:pPr>
              <w:spacing w:after="0"/>
              <w:rPr>
                <w:sz w:val="17"/>
                <w:szCs w:val="17"/>
                <w:color w:val="auto"/>
              </w:rPr>
            </w:pPr>
          </w:p>
        </w:tc>
        <w:tc>
          <w:tcPr>
            <w:tcW w:w="23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7400" w:type="dxa"/>
            <w:vAlign w:val="bottom"/>
          </w:tcPr>
          <w:p>
            <w:pPr>
              <w:spacing w:after="0"/>
              <w:rPr>
                <w:sz w:val="17"/>
                <w:szCs w:val="17"/>
                <w:color w:val="auto"/>
              </w:rPr>
            </w:pPr>
          </w:p>
        </w:tc>
        <w:tc>
          <w:tcPr>
            <w:tcW w:w="23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20,142,000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21,264,000</w:t>
            </w:r>
          </w:p>
        </w:tc>
      </w:tr>
      <w:tr>
        <w:trPr>
          <w:trHeight w:val="196"/>
        </w:trPr>
        <w:tc>
          <w:tcPr>
            <w:tcW w:w="7400" w:type="dxa"/>
            <w:vAlign w:val="bottom"/>
          </w:tcPr>
          <w:p>
            <w:pPr>
              <w:ind w:left="200"/>
              <w:spacing w:after="0"/>
              <w:rPr>
                <w:sz w:val="20"/>
                <w:szCs w:val="20"/>
                <w:color w:val="auto"/>
              </w:rPr>
            </w:pPr>
            <w:r>
              <w:rPr>
                <w:rFonts w:ascii="Courier New" w:cs="Courier New" w:eastAsia="Courier New" w:hAnsi="Courier New"/>
                <w:sz w:val="17"/>
                <w:szCs w:val="17"/>
                <w:color w:val="auto"/>
              </w:rPr>
              <w:t>Less accumulated depreciation</w:t>
            </w:r>
          </w:p>
        </w:tc>
        <w:tc>
          <w:tcPr>
            <w:tcW w:w="23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400" w:type="dxa"/>
            <w:vAlign w:val="bottom"/>
          </w:tcPr>
          <w:p>
            <w:pPr>
              <w:ind w:left="420"/>
              <w:spacing w:after="0"/>
              <w:rPr>
                <w:sz w:val="20"/>
                <w:szCs w:val="20"/>
                <w:color w:val="auto"/>
              </w:rPr>
            </w:pPr>
            <w:r>
              <w:rPr>
                <w:rFonts w:ascii="Courier New" w:cs="Courier New" w:eastAsia="Courier New" w:hAnsi="Courier New"/>
                <w:sz w:val="17"/>
                <w:szCs w:val="17"/>
                <w:color w:val="auto"/>
              </w:rPr>
              <w:t>and amortization</w:t>
            </w:r>
          </w:p>
        </w:tc>
        <w:tc>
          <w:tcPr>
            <w:tcW w:w="23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5,799,000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5,680,000</w:t>
            </w:r>
          </w:p>
        </w:tc>
      </w:tr>
      <w:tr>
        <w:trPr>
          <w:trHeight w:val="196"/>
        </w:trPr>
        <w:tc>
          <w:tcPr>
            <w:tcW w:w="7400" w:type="dxa"/>
            <w:vAlign w:val="bottom"/>
          </w:tcPr>
          <w:p>
            <w:pPr>
              <w:spacing w:after="0"/>
              <w:rPr>
                <w:sz w:val="17"/>
                <w:szCs w:val="17"/>
                <w:color w:val="auto"/>
              </w:rPr>
            </w:pPr>
          </w:p>
        </w:tc>
        <w:tc>
          <w:tcPr>
            <w:tcW w:w="23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7400" w:type="dxa"/>
            <w:vAlign w:val="bottom"/>
          </w:tcPr>
          <w:p>
            <w:pPr>
              <w:spacing w:after="0"/>
              <w:rPr>
                <w:sz w:val="17"/>
                <w:szCs w:val="17"/>
                <w:color w:val="auto"/>
              </w:rPr>
            </w:pPr>
          </w:p>
        </w:tc>
        <w:tc>
          <w:tcPr>
            <w:tcW w:w="23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14,343,000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15,584,000</w:t>
            </w:r>
          </w:p>
        </w:tc>
      </w:tr>
      <w:tr>
        <w:trPr>
          <w:trHeight w:val="196"/>
        </w:trPr>
        <w:tc>
          <w:tcPr>
            <w:tcW w:w="7400" w:type="dxa"/>
            <w:vAlign w:val="bottom"/>
          </w:tcPr>
          <w:p>
            <w:pPr>
              <w:spacing w:after="0"/>
              <w:rPr>
                <w:sz w:val="17"/>
                <w:szCs w:val="17"/>
                <w:color w:val="auto"/>
              </w:rPr>
            </w:pPr>
          </w:p>
        </w:tc>
        <w:tc>
          <w:tcPr>
            <w:tcW w:w="23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740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23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400" w:type="dxa"/>
            <w:vAlign w:val="bottom"/>
          </w:tcPr>
          <w:p>
            <w:pPr>
              <w:ind w:left="200"/>
              <w:spacing w:after="0"/>
              <w:rPr>
                <w:sz w:val="20"/>
                <w:szCs w:val="20"/>
                <w:color w:val="auto"/>
              </w:rPr>
            </w:pPr>
            <w:r>
              <w:rPr>
                <w:rFonts w:ascii="Courier New" w:cs="Courier New" w:eastAsia="Courier New" w:hAnsi="Courier New"/>
                <w:sz w:val="17"/>
                <w:szCs w:val="17"/>
                <w:color w:val="auto"/>
              </w:rPr>
              <w:t>Unamortized cost in excess of net</w:t>
            </w:r>
          </w:p>
        </w:tc>
        <w:tc>
          <w:tcPr>
            <w:tcW w:w="23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400" w:type="dxa"/>
            <w:vAlign w:val="bottom"/>
          </w:tcPr>
          <w:p>
            <w:pPr>
              <w:ind w:left="420"/>
              <w:spacing w:after="0"/>
              <w:rPr>
                <w:sz w:val="20"/>
                <w:szCs w:val="20"/>
                <w:color w:val="auto"/>
              </w:rPr>
            </w:pPr>
            <w:r>
              <w:rPr>
                <w:rFonts w:ascii="Courier New" w:cs="Courier New" w:eastAsia="Courier New" w:hAnsi="Courier New"/>
                <w:sz w:val="17"/>
                <w:szCs w:val="17"/>
                <w:color w:val="auto"/>
              </w:rPr>
              <w:t>assets of acquired companies, net of</w:t>
            </w:r>
          </w:p>
        </w:tc>
        <w:tc>
          <w:tcPr>
            <w:tcW w:w="23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400" w:type="dxa"/>
            <w:vAlign w:val="bottom"/>
          </w:tcPr>
          <w:p>
            <w:pPr>
              <w:ind w:left="420"/>
              <w:spacing w:after="0"/>
              <w:rPr>
                <w:sz w:val="20"/>
                <w:szCs w:val="20"/>
                <w:color w:val="auto"/>
              </w:rPr>
            </w:pPr>
            <w:r>
              <w:rPr>
                <w:rFonts w:ascii="Courier New" w:cs="Courier New" w:eastAsia="Courier New" w:hAnsi="Courier New"/>
                <w:sz w:val="17"/>
                <w:szCs w:val="17"/>
                <w:color w:val="auto"/>
              </w:rPr>
              <w:t>accumulated amortization</w:t>
            </w:r>
          </w:p>
        </w:tc>
        <w:tc>
          <w:tcPr>
            <w:tcW w:w="23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12,303,000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12,391,000</w:t>
            </w:r>
          </w:p>
        </w:tc>
      </w:tr>
      <w:tr>
        <w:trPr>
          <w:trHeight w:val="196"/>
        </w:trPr>
        <w:tc>
          <w:tcPr>
            <w:tcW w:w="7400" w:type="dxa"/>
            <w:vAlign w:val="bottom"/>
          </w:tcPr>
          <w:p>
            <w:pPr>
              <w:ind w:left="200"/>
              <w:spacing w:after="0"/>
              <w:rPr>
                <w:sz w:val="20"/>
                <w:szCs w:val="20"/>
                <w:color w:val="auto"/>
              </w:rPr>
            </w:pPr>
            <w:r>
              <w:rPr>
                <w:rFonts w:ascii="Courier New" w:cs="Courier New" w:eastAsia="Courier New" w:hAnsi="Courier New"/>
                <w:sz w:val="17"/>
                <w:szCs w:val="17"/>
                <w:color w:val="auto"/>
              </w:rPr>
              <w:t>Other</w:t>
            </w:r>
          </w:p>
        </w:tc>
        <w:tc>
          <w:tcPr>
            <w:tcW w:w="23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3,581,000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3,555,000</w:t>
            </w:r>
          </w:p>
        </w:tc>
      </w:tr>
      <w:tr>
        <w:trPr>
          <w:trHeight w:val="196"/>
        </w:trPr>
        <w:tc>
          <w:tcPr>
            <w:tcW w:w="7400" w:type="dxa"/>
            <w:vAlign w:val="bottom"/>
          </w:tcPr>
          <w:p>
            <w:pPr>
              <w:spacing w:after="0"/>
              <w:rPr>
                <w:sz w:val="17"/>
                <w:szCs w:val="17"/>
                <w:color w:val="auto"/>
              </w:rPr>
            </w:pPr>
          </w:p>
        </w:tc>
        <w:tc>
          <w:tcPr>
            <w:tcW w:w="23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7400" w:type="dxa"/>
            <w:vAlign w:val="bottom"/>
          </w:tcPr>
          <w:p>
            <w:pPr>
              <w:spacing w:after="0"/>
              <w:rPr>
                <w:sz w:val="17"/>
                <w:szCs w:val="17"/>
                <w:color w:val="auto"/>
              </w:rPr>
            </w:pPr>
          </w:p>
        </w:tc>
        <w:tc>
          <w:tcPr>
            <w:tcW w:w="23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$100,240,000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$89,536,000</w:t>
            </w:r>
          </w:p>
        </w:tc>
      </w:tr>
      <w:tr>
        <w:trPr>
          <w:trHeight w:val="196"/>
        </w:trPr>
        <w:tc>
          <w:tcPr>
            <w:tcW w:w="7400" w:type="dxa"/>
            <w:vAlign w:val="bottom"/>
          </w:tcPr>
          <w:p>
            <w:pPr>
              <w:spacing w:after="0"/>
              <w:rPr>
                <w:sz w:val="17"/>
                <w:szCs w:val="17"/>
                <w:color w:val="auto"/>
              </w:rPr>
            </w:pPr>
          </w:p>
        </w:tc>
        <w:tc>
          <w:tcPr>
            <w:tcW w:w="23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(Continued)</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Page 3 of 19</w:t>
      </w:r>
    </w:p>
    <w:p>
      <w:pPr>
        <w:sectPr>
          <w:pgSz w:w="11900" w:h="16838" w:orient="portrait"/>
          <w:cols w:equalWidth="0" w:num="1">
            <w:col w:w="11020"/>
          </w:cols>
          <w:pgMar w:left="240" w:top="1096" w:right="6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3"/>
        </w:trPr>
        <w:tc>
          <w:tcPr>
            <w:tcW w:w="7360" w:type="dxa"/>
            <w:vAlign w:val="bottom"/>
          </w:tcPr>
          <w:p>
            <w:pPr>
              <w:ind w:left="1640"/>
              <w:spacing w:after="0"/>
              <w:rPr>
                <w:sz w:val="20"/>
                <w:szCs w:val="20"/>
                <w:color w:val="auto"/>
              </w:rPr>
            </w:pPr>
            <w:r>
              <w:rPr>
                <w:rFonts w:ascii="Courier New" w:cs="Courier New" w:eastAsia="Courier New" w:hAnsi="Courier New"/>
                <w:sz w:val="17"/>
                <w:szCs w:val="17"/>
                <w:color w:val="auto"/>
              </w:rPr>
              <w:t>WORLD FUEL SERVICES CORPORATION AND SUBSIDIARIES</w:t>
            </w:r>
          </w:p>
        </w:tc>
        <w:tc>
          <w:tcPr>
            <w:tcW w:w="2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92"/>
        </w:trPr>
        <w:tc>
          <w:tcPr>
            <w:tcW w:w="7360" w:type="dxa"/>
            <w:vAlign w:val="bottom"/>
          </w:tcPr>
          <w:p>
            <w:pPr>
              <w:ind w:left="2760"/>
              <w:spacing w:after="0"/>
              <w:rPr>
                <w:sz w:val="20"/>
                <w:szCs w:val="20"/>
                <w:color w:val="auto"/>
              </w:rPr>
            </w:pPr>
            <w:r>
              <w:rPr>
                <w:rFonts w:ascii="Courier New" w:cs="Courier New" w:eastAsia="Courier New" w:hAnsi="Courier New"/>
                <w:sz w:val="17"/>
                <w:szCs w:val="17"/>
                <w:color w:val="auto"/>
              </w:rPr>
              <w:t>CONSOLIDATED BALANCE SHEETS</w:t>
            </w:r>
          </w:p>
        </w:tc>
        <w:tc>
          <w:tcPr>
            <w:tcW w:w="2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2"/>
        </w:trPr>
        <w:tc>
          <w:tcPr>
            <w:tcW w:w="7360" w:type="dxa"/>
            <w:vAlign w:val="bottom"/>
          </w:tcPr>
          <w:p>
            <w:pPr>
              <w:ind w:left="3580"/>
              <w:spacing w:after="0"/>
              <w:rPr>
                <w:sz w:val="20"/>
                <w:szCs w:val="20"/>
                <w:color w:val="auto"/>
              </w:rPr>
            </w:pPr>
            <w:r>
              <w:rPr>
                <w:rFonts w:ascii="Courier New" w:cs="Courier New" w:eastAsia="Courier New" w:hAnsi="Courier New"/>
                <w:sz w:val="17"/>
                <w:szCs w:val="17"/>
                <w:color w:val="auto"/>
              </w:rPr>
              <w:t>(UNAUDITED)</w:t>
            </w:r>
          </w:p>
        </w:tc>
        <w:tc>
          <w:tcPr>
            <w:tcW w:w="2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2"/>
        </w:trPr>
        <w:tc>
          <w:tcPr>
            <w:tcW w:w="7360" w:type="dxa"/>
            <w:vAlign w:val="bottom"/>
          </w:tcPr>
          <w:p>
            <w:pPr>
              <w:ind w:left="3580"/>
              <w:spacing w:after="0"/>
              <w:rPr>
                <w:sz w:val="20"/>
                <w:szCs w:val="20"/>
                <w:color w:val="auto"/>
              </w:rPr>
            </w:pPr>
            <w:r>
              <w:rPr>
                <w:rFonts w:ascii="Courier New" w:cs="Courier New" w:eastAsia="Courier New" w:hAnsi="Courier New"/>
                <w:sz w:val="17"/>
                <w:szCs w:val="17"/>
                <w:color w:val="auto"/>
              </w:rPr>
              <w:t>(Continued)</w:t>
            </w:r>
          </w:p>
        </w:tc>
        <w:tc>
          <w:tcPr>
            <w:tcW w:w="2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2"/>
        </w:trPr>
        <w:tc>
          <w:tcPr>
            <w:tcW w:w="7360" w:type="dxa"/>
            <w:vAlign w:val="bottom"/>
          </w:tcPr>
          <w:p>
            <w:pPr>
              <w:ind w:left="2240"/>
              <w:spacing w:after="0"/>
              <w:rPr>
                <w:sz w:val="20"/>
                <w:szCs w:val="20"/>
                <w:color w:val="auto"/>
              </w:rPr>
            </w:pPr>
            <w:r>
              <w:rPr>
                <w:rFonts w:ascii="Courier New" w:cs="Courier New" w:eastAsia="Courier New" w:hAnsi="Courier New"/>
                <w:sz w:val="17"/>
                <w:szCs w:val="17"/>
                <w:color w:val="auto"/>
              </w:rPr>
              <w:t>LIABILITIES AND STOCKHOLDERS' EQUITY</w:t>
            </w:r>
          </w:p>
        </w:tc>
        <w:tc>
          <w:tcPr>
            <w:tcW w:w="2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2"/>
        </w:trPr>
        <w:tc>
          <w:tcPr>
            <w:tcW w:w="7360" w:type="dxa"/>
            <w:vAlign w:val="bottom"/>
          </w:tcPr>
          <w:p>
            <w:pPr>
              <w:spacing w:after="0"/>
              <w:rPr>
                <w:sz w:val="24"/>
                <w:szCs w:val="24"/>
                <w:color w:val="auto"/>
              </w:rPr>
            </w:pPr>
          </w:p>
        </w:tc>
        <w:tc>
          <w:tcPr>
            <w:tcW w:w="2280" w:type="dxa"/>
            <w:vAlign w:val="bottom"/>
          </w:tcPr>
          <w:p>
            <w:pPr>
              <w:jc w:val="right"/>
              <w:ind w:right="55"/>
              <w:spacing w:after="0"/>
              <w:rPr>
                <w:sz w:val="20"/>
                <w:szCs w:val="20"/>
                <w:color w:val="auto"/>
              </w:rPr>
            </w:pPr>
            <w:r>
              <w:rPr>
                <w:rFonts w:ascii="Courier New" w:cs="Courier New" w:eastAsia="Courier New" w:hAnsi="Courier New"/>
                <w:sz w:val="17"/>
                <w:szCs w:val="17"/>
                <w:color w:val="auto"/>
              </w:rPr>
              <w:t>SEPTEMBER 30,</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MARCH 31,</w:t>
            </w:r>
          </w:p>
        </w:tc>
      </w:tr>
      <w:tr>
        <w:trPr>
          <w:trHeight w:val="196"/>
        </w:trPr>
        <w:tc>
          <w:tcPr>
            <w:tcW w:w="7360" w:type="dxa"/>
            <w:vAlign w:val="bottom"/>
          </w:tcPr>
          <w:p>
            <w:pPr>
              <w:spacing w:after="0"/>
              <w:rPr>
                <w:sz w:val="17"/>
                <w:szCs w:val="17"/>
                <w:color w:val="auto"/>
              </w:rPr>
            </w:pPr>
          </w:p>
        </w:tc>
        <w:tc>
          <w:tcPr>
            <w:tcW w:w="22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1995</w:t>
            </w:r>
          </w:p>
        </w:tc>
        <w:tc>
          <w:tcPr>
            <w:tcW w:w="12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1995</w:t>
            </w:r>
          </w:p>
        </w:tc>
      </w:tr>
      <w:tr>
        <w:trPr>
          <w:trHeight w:val="196"/>
        </w:trPr>
        <w:tc>
          <w:tcPr>
            <w:tcW w:w="7360" w:type="dxa"/>
            <w:vAlign w:val="bottom"/>
          </w:tcPr>
          <w:p>
            <w:pPr>
              <w:spacing w:after="0"/>
              <w:rPr>
                <w:sz w:val="17"/>
                <w:szCs w:val="17"/>
                <w:color w:val="auto"/>
              </w:rPr>
            </w:pPr>
          </w:p>
        </w:tc>
        <w:tc>
          <w:tcPr>
            <w:tcW w:w="22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736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2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7360" w:type="dxa"/>
            <w:vAlign w:val="bottom"/>
          </w:tcPr>
          <w:p>
            <w:pPr>
              <w:ind w:left="200"/>
              <w:spacing w:after="0"/>
              <w:rPr>
                <w:sz w:val="20"/>
                <w:szCs w:val="20"/>
                <w:color w:val="auto"/>
              </w:rPr>
            </w:pPr>
            <w:r>
              <w:rPr>
                <w:rFonts w:ascii="Courier New" w:cs="Courier New" w:eastAsia="Courier New" w:hAnsi="Courier New"/>
                <w:sz w:val="17"/>
                <w:szCs w:val="17"/>
                <w:color w:val="auto"/>
              </w:rPr>
              <w:t>Current maturities of long-term debt</w:t>
            </w:r>
          </w:p>
        </w:tc>
        <w:tc>
          <w:tcPr>
            <w:tcW w:w="22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  1,957,000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$ 2,128,000</w:t>
            </w:r>
          </w:p>
        </w:tc>
      </w:tr>
      <w:tr>
        <w:trPr>
          <w:trHeight w:val="196"/>
        </w:trPr>
        <w:tc>
          <w:tcPr>
            <w:tcW w:w="7360" w:type="dxa"/>
            <w:vAlign w:val="bottom"/>
          </w:tcPr>
          <w:p>
            <w:pPr>
              <w:ind w:left="200"/>
              <w:spacing w:after="0"/>
              <w:rPr>
                <w:sz w:val="20"/>
                <w:szCs w:val="20"/>
                <w:color w:val="auto"/>
              </w:rPr>
            </w:pPr>
            <w:r>
              <w:rPr>
                <w:rFonts w:ascii="Courier New" w:cs="Courier New" w:eastAsia="Courier New" w:hAnsi="Courier New"/>
                <w:sz w:val="17"/>
                <w:szCs w:val="17"/>
                <w:color w:val="auto"/>
              </w:rPr>
              <w:t>Accounts payable and accrued expenses</w:t>
            </w:r>
          </w:p>
        </w:tc>
        <w:tc>
          <w:tcPr>
            <w:tcW w:w="22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30,946,000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24,334,000</w:t>
            </w:r>
          </w:p>
        </w:tc>
      </w:tr>
      <w:tr>
        <w:trPr>
          <w:trHeight w:val="196"/>
        </w:trPr>
        <w:tc>
          <w:tcPr>
            <w:tcW w:w="7360" w:type="dxa"/>
            <w:vAlign w:val="bottom"/>
          </w:tcPr>
          <w:p>
            <w:pPr>
              <w:ind w:left="200"/>
              <w:spacing w:after="0"/>
              <w:rPr>
                <w:sz w:val="20"/>
                <w:szCs w:val="20"/>
                <w:color w:val="auto"/>
              </w:rPr>
            </w:pPr>
            <w:r>
              <w:rPr>
                <w:rFonts w:ascii="Courier New" w:cs="Courier New" w:eastAsia="Courier New" w:hAnsi="Courier New"/>
                <w:sz w:val="17"/>
                <w:szCs w:val="17"/>
                <w:color w:val="auto"/>
              </w:rPr>
              <w:t>Customer deposits</w:t>
            </w:r>
          </w:p>
        </w:tc>
        <w:tc>
          <w:tcPr>
            <w:tcW w:w="22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1,358,000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1,559,000</w:t>
            </w:r>
          </w:p>
        </w:tc>
      </w:tr>
      <w:tr>
        <w:trPr>
          <w:trHeight w:val="196"/>
        </w:trPr>
        <w:tc>
          <w:tcPr>
            <w:tcW w:w="7360" w:type="dxa"/>
            <w:vAlign w:val="bottom"/>
          </w:tcPr>
          <w:p>
            <w:pPr>
              <w:ind w:left="200"/>
              <w:spacing w:after="0"/>
              <w:rPr>
                <w:sz w:val="20"/>
                <w:szCs w:val="20"/>
                <w:color w:val="auto"/>
              </w:rPr>
            </w:pPr>
            <w:r>
              <w:rPr>
                <w:rFonts w:ascii="Courier New" w:cs="Courier New" w:eastAsia="Courier New" w:hAnsi="Courier New"/>
                <w:sz w:val="17"/>
                <w:szCs w:val="17"/>
                <w:color w:val="auto"/>
              </w:rPr>
              <w:t>Accrued salaries and wages</w:t>
            </w:r>
          </w:p>
        </w:tc>
        <w:tc>
          <w:tcPr>
            <w:tcW w:w="22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1,511,000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747,000</w:t>
            </w:r>
          </w:p>
        </w:tc>
      </w:tr>
      <w:tr>
        <w:trPr>
          <w:trHeight w:val="196"/>
        </w:trPr>
        <w:tc>
          <w:tcPr>
            <w:tcW w:w="7360" w:type="dxa"/>
            <w:vAlign w:val="bottom"/>
          </w:tcPr>
          <w:p>
            <w:pPr>
              <w:ind w:left="200"/>
              <w:spacing w:after="0"/>
              <w:rPr>
                <w:sz w:val="20"/>
                <w:szCs w:val="20"/>
                <w:color w:val="auto"/>
              </w:rPr>
            </w:pPr>
            <w:r>
              <w:rPr>
                <w:rFonts w:ascii="Courier New" w:cs="Courier New" w:eastAsia="Courier New" w:hAnsi="Courier New"/>
                <w:sz w:val="17"/>
                <w:szCs w:val="17"/>
                <w:color w:val="auto"/>
              </w:rPr>
              <w:t>Income taxes payable</w:t>
            </w:r>
          </w:p>
        </w:tc>
        <w:tc>
          <w:tcPr>
            <w:tcW w:w="22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953,000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1,718,000</w:t>
            </w:r>
          </w:p>
        </w:tc>
      </w:tr>
      <w:tr>
        <w:trPr>
          <w:trHeight w:val="196"/>
        </w:trPr>
        <w:tc>
          <w:tcPr>
            <w:tcW w:w="7360" w:type="dxa"/>
            <w:vAlign w:val="bottom"/>
          </w:tcPr>
          <w:p>
            <w:pPr>
              <w:spacing w:after="0"/>
              <w:rPr>
                <w:sz w:val="17"/>
                <w:szCs w:val="17"/>
                <w:color w:val="auto"/>
              </w:rPr>
            </w:pPr>
          </w:p>
        </w:tc>
        <w:tc>
          <w:tcPr>
            <w:tcW w:w="22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7360" w:type="dxa"/>
            <w:vAlign w:val="bottom"/>
          </w:tcPr>
          <w:p>
            <w:pPr>
              <w:ind w:left="1220"/>
              <w:spacing w:after="0"/>
              <w:rPr>
                <w:sz w:val="20"/>
                <w:szCs w:val="20"/>
                <w:color w:val="auto"/>
              </w:rPr>
            </w:pPr>
            <w:r>
              <w:rPr>
                <w:rFonts w:ascii="Courier New" w:cs="Courier New" w:eastAsia="Courier New" w:hAnsi="Courier New"/>
                <w:sz w:val="17"/>
                <w:szCs w:val="17"/>
                <w:color w:val="auto"/>
              </w:rPr>
              <w:t>Total current liabilities</w:t>
            </w:r>
          </w:p>
        </w:tc>
        <w:tc>
          <w:tcPr>
            <w:tcW w:w="22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36,725,000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30,486,000</w:t>
            </w:r>
          </w:p>
        </w:tc>
      </w:tr>
      <w:tr>
        <w:trPr>
          <w:trHeight w:val="196"/>
        </w:trPr>
        <w:tc>
          <w:tcPr>
            <w:tcW w:w="7360" w:type="dxa"/>
            <w:vAlign w:val="bottom"/>
          </w:tcPr>
          <w:p>
            <w:pPr>
              <w:spacing w:after="0"/>
              <w:rPr>
                <w:sz w:val="17"/>
                <w:szCs w:val="17"/>
                <w:color w:val="auto"/>
              </w:rPr>
            </w:pPr>
          </w:p>
        </w:tc>
        <w:tc>
          <w:tcPr>
            <w:tcW w:w="22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7360" w:type="dxa"/>
            <w:vAlign w:val="bottom"/>
          </w:tcPr>
          <w:p>
            <w:pPr>
              <w:spacing w:after="0"/>
              <w:rPr>
                <w:sz w:val="20"/>
                <w:szCs w:val="20"/>
                <w:color w:val="auto"/>
              </w:rPr>
            </w:pPr>
            <w:r>
              <w:rPr>
                <w:rFonts w:ascii="Courier New" w:cs="Courier New" w:eastAsia="Courier New" w:hAnsi="Courier New"/>
                <w:sz w:val="17"/>
                <w:szCs w:val="17"/>
                <w:color w:val="auto"/>
              </w:rPr>
              <w:t>LONG-TERM LIABILITIES:</w:t>
            </w:r>
          </w:p>
        </w:tc>
        <w:tc>
          <w:tcPr>
            <w:tcW w:w="2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7360" w:type="dxa"/>
            <w:vAlign w:val="bottom"/>
          </w:tcPr>
          <w:p>
            <w:pPr>
              <w:ind w:left="200"/>
              <w:spacing w:after="0"/>
              <w:rPr>
                <w:sz w:val="20"/>
                <w:szCs w:val="20"/>
                <w:color w:val="auto"/>
              </w:rPr>
            </w:pPr>
            <w:r>
              <w:rPr>
                <w:rFonts w:ascii="Courier New" w:cs="Courier New" w:eastAsia="Courier New" w:hAnsi="Courier New"/>
                <w:sz w:val="17"/>
                <w:szCs w:val="17"/>
                <w:color w:val="auto"/>
              </w:rPr>
              <w:t>Long-term debt, net of current maturities</w:t>
            </w:r>
          </w:p>
        </w:tc>
        <w:tc>
          <w:tcPr>
            <w:tcW w:w="22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4,104,000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4,447,000</w:t>
            </w:r>
          </w:p>
        </w:tc>
      </w:tr>
      <w:tr>
        <w:trPr>
          <w:trHeight w:val="196"/>
        </w:trPr>
        <w:tc>
          <w:tcPr>
            <w:tcW w:w="7360" w:type="dxa"/>
            <w:vAlign w:val="bottom"/>
          </w:tcPr>
          <w:p>
            <w:pPr>
              <w:ind w:left="200"/>
              <w:spacing w:after="0"/>
              <w:rPr>
                <w:sz w:val="20"/>
                <w:szCs w:val="20"/>
                <w:color w:val="auto"/>
              </w:rPr>
            </w:pPr>
            <w:r>
              <w:rPr>
                <w:rFonts w:ascii="Courier New" w:cs="Courier New" w:eastAsia="Courier New" w:hAnsi="Courier New"/>
                <w:sz w:val="17"/>
                <w:szCs w:val="17"/>
                <w:color w:val="auto"/>
              </w:rPr>
              <w:t>Accrued litigation settlement expense</w:t>
            </w:r>
          </w:p>
        </w:tc>
        <w:tc>
          <w:tcPr>
            <w:tcW w:w="22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1,300,000</w:t>
            </w:r>
          </w:p>
        </w:tc>
      </w:tr>
      <w:tr>
        <w:trPr>
          <w:trHeight w:val="196"/>
        </w:trPr>
        <w:tc>
          <w:tcPr>
            <w:tcW w:w="7360" w:type="dxa"/>
            <w:vAlign w:val="bottom"/>
          </w:tcPr>
          <w:p>
            <w:pPr>
              <w:ind w:left="200"/>
              <w:spacing w:after="0"/>
              <w:rPr>
                <w:sz w:val="20"/>
                <w:szCs w:val="20"/>
                <w:color w:val="auto"/>
              </w:rPr>
            </w:pPr>
            <w:r>
              <w:rPr>
                <w:rFonts w:ascii="Courier New" w:cs="Courier New" w:eastAsia="Courier New" w:hAnsi="Courier New"/>
                <w:sz w:val="17"/>
                <w:szCs w:val="17"/>
                <w:color w:val="auto"/>
              </w:rPr>
              <w:t>Deferred compensation</w:t>
            </w:r>
          </w:p>
        </w:tc>
        <w:tc>
          <w:tcPr>
            <w:tcW w:w="22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1,184,000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1,237,000</w:t>
            </w:r>
          </w:p>
        </w:tc>
      </w:tr>
      <w:tr>
        <w:trPr>
          <w:trHeight w:val="196"/>
        </w:trPr>
        <w:tc>
          <w:tcPr>
            <w:tcW w:w="7360" w:type="dxa"/>
            <w:vAlign w:val="bottom"/>
          </w:tcPr>
          <w:p>
            <w:pPr>
              <w:ind w:left="200"/>
              <w:spacing w:after="0"/>
              <w:rPr>
                <w:sz w:val="20"/>
                <w:szCs w:val="20"/>
                <w:color w:val="auto"/>
              </w:rPr>
            </w:pPr>
            <w:r>
              <w:rPr>
                <w:rFonts w:ascii="Courier New" w:cs="Courier New" w:eastAsia="Courier New" w:hAnsi="Courier New"/>
                <w:sz w:val="17"/>
                <w:szCs w:val="17"/>
                <w:color w:val="auto"/>
              </w:rPr>
              <w:t>Deferred income taxes</w:t>
            </w:r>
          </w:p>
        </w:tc>
        <w:tc>
          <w:tcPr>
            <w:tcW w:w="22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294,000</w:t>
            </w:r>
          </w:p>
        </w:tc>
        <w:tc>
          <w:tcPr>
            <w:tcW w:w="12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r>
      <w:tr>
        <w:trPr>
          <w:trHeight w:val="196"/>
        </w:trPr>
        <w:tc>
          <w:tcPr>
            <w:tcW w:w="7360" w:type="dxa"/>
            <w:vAlign w:val="bottom"/>
          </w:tcPr>
          <w:p>
            <w:pPr>
              <w:spacing w:after="0"/>
              <w:rPr>
                <w:sz w:val="17"/>
                <w:szCs w:val="17"/>
                <w:color w:val="auto"/>
              </w:rPr>
            </w:pPr>
          </w:p>
        </w:tc>
        <w:tc>
          <w:tcPr>
            <w:tcW w:w="22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7360" w:type="dxa"/>
            <w:vAlign w:val="bottom"/>
          </w:tcPr>
          <w:p>
            <w:pPr>
              <w:spacing w:after="0"/>
              <w:rPr>
                <w:sz w:val="17"/>
                <w:szCs w:val="17"/>
                <w:color w:val="auto"/>
              </w:rPr>
            </w:pPr>
          </w:p>
        </w:tc>
        <w:tc>
          <w:tcPr>
            <w:tcW w:w="22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5,582,000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6,984,000</w:t>
            </w:r>
          </w:p>
        </w:tc>
      </w:tr>
      <w:tr>
        <w:trPr>
          <w:trHeight w:val="196"/>
        </w:trPr>
        <w:tc>
          <w:tcPr>
            <w:tcW w:w="7360" w:type="dxa"/>
            <w:vAlign w:val="bottom"/>
          </w:tcPr>
          <w:p>
            <w:pPr>
              <w:spacing w:after="0"/>
              <w:rPr>
                <w:sz w:val="17"/>
                <w:szCs w:val="17"/>
                <w:color w:val="auto"/>
              </w:rPr>
            </w:pPr>
          </w:p>
        </w:tc>
        <w:tc>
          <w:tcPr>
            <w:tcW w:w="22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7360" w:type="dxa"/>
            <w:vAlign w:val="bottom"/>
          </w:tcPr>
          <w:p>
            <w:pPr>
              <w:spacing w:after="0"/>
              <w:rPr>
                <w:sz w:val="20"/>
                <w:szCs w:val="20"/>
                <w:color w:val="auto"/>
              </w:rPr>
            </w:pPr>
            <w:r>
              <w:rPr>
                <w:rFonts w:ascii="Courier New" w:cs="Courier New" w:eastAsia="Courier New" w:hAnsi="Courier New"/>
                <w:sz w:val="17"/>
                <w:szCs w:val="17"/>
                <w:color w:val="auto"/>
              </w:rPr>
              <w:t>COMMITMENTS AND CONTINGENCIES</w:t>
            </w:r>
          </w:p>
        </w:tc>
        <w:tc>
          <w:tcPr>
            <w:tcW w:w="2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392"/>
        </w:trPr>
        <w:tc>
          <w:tcPr>
            <w:tcW w:w="736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2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7360" w:type="dxa"/>
            <w:vAlign w:val="bottom"/>
          </w:tcPr>
          <w:p>
            <w:pPr>
              <w:ind w:left="200"/>
              <w:spacing w:after="0"/>
              <w:rPr>
                <w:sz w:val="20"/>
                <w:szCs w:val="20"/>
                <w:color w:val="auto"/>
              </w:rPr>
            </w:pPr>
            <w:r>
              <w:rPr>
                <w:rFonts w:ascii="Courier New" w:cs="Courier New" w:eastAsia="Courier New" w:hAnsi="Courier New"/>
                <w:sz w:val="17"/>
                <w:szCs w:val="17"/>
                <w:color w:val="auto"/>
              </w:rPr>
              <w:t>Preferred stock, $1.00 par value;</w:t>
            </w:r>
          </w:p>
        </w:tc>
        <w:tc>
          <w:tcPr>
            <w:tcW w:w="2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360" w:type="dxa"/>
            <w:vAlign w:val="bottom"/>
          </w:tcPr>
          <w:p>
            <w:pPr>
              <w:ind w:left="420"/>
              <w:spacing w:after="0"/>
              <w:rPr>
                <w:sz w:val="20"/>
                <w:szCs w:val="20"/>
                <w:color w:val="auto"/>
              </w:rPr>
            </w:pPr>
            <w:r>
              <w:rPr>
                <w:rFonts w:ascii="Courier New" w:cs="Courier New" w:eastAsia="Courier New" w:hAnsi="Courier New"/>
                <w:sz w:val="17"/>
                <w:szCs w:val="17"/>
                <w:color w:val="auto"/>
              </w:rPr>
              <w:t>100,000 shares authorized,</w:t>
            </w:r>
          </w:p>
        </w:tc>
        <w:tc>
          <w:tcPr>
            <w:tcW w:w="2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360" w:type="dxa"/>
            <w:vAlign w:val="bottom"/>
          </w:tcPr>
          <w:p>
            <w:pPr>
              <w:ind w:left="420"/>
              <w:spacing w:after="0"/>
              <w:rPr>
                <w:sz w:val="20"/>
                <w:szCs w:val="20"/>
                <w:color w:val="auto"/>
              </w:rPr>
            </w:pPr>
            <w:r>
              <w:rPr>
                <w:rFonts w:ascii="Courier New" w:cs="Courier New" w:eastAsia="Courier New" w:hAnsi="Courier New"/>
                <w:sz w:val="17"/>
                <w:szCs w:val="17"/>
                <w:color w:val="auto"/>
              </w:rPr>
              <w:t>none issued</w:t>
            </w:r>
          </w:p>
        </w:tc>
        <w:tc>
          <w:tcPr>
            <w:tcW w:w="22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7360" w:type="dxa"/>
            <w:vAlign w:val="bottom"/>
          </w:tcPr>
          <w:p>
            <w:pPr>
              <w:ind w:left="200"/>
              <w:spacing w:after="0"/>
              <w:rPr>
                <w:sz w:val="20"/>
                <w:szCs w:val="20"/>
                <w:color w:val="auto"/>
              </w:rPr>
            </w:pPr>
            <w:r>
              <w:rPr>
                <w:rFonts w:ascii="Courier New" w:cs="Courier New" w:eastAsia="Courier New" w:hAnsi="Courier New"/>
                <w:sz w:val="17"/>
                <w:szCs w:val="17"/>
                <w:color w:val="auto"/>
              </w:rPr>
              <w:t>Common stock, $.01 par value;</w:t>
            </w:r>
          </w:p>
        </w:tc>
        <w:tc>
          <w:tcPr>
            <w:tcW w:w="2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360" w:type="dxa"/>
            <w:vAlign w:val="bottom"/>
          </w:tcPr>
          <w:p>
            <w:pPr>
              <w:ind w:left="420"/>
              <w:spacing w:after="0"/>
              <w:rPr>
                <w:sz w:val="20"/>
                <w:szCs w:val="20"/>
                <w:color w:val="auto"/>
              </w:rPr>
            </w:pPr>
            <w:r>
              <w:rPr>
                <w:rFonts w:ascii="Courier New" w:cs="Courier New" w:eastAsia="Courier New" w:hAnsi="Courier New"/>
                <w:sz w:val="17"/>
                <w:szCs w:val="17"/>
                <w:color w:val="auto"/>
              </w:rPr>
              <w:t>10,000,000 shares authorized,</w:t>
            </w:r>
          </w:p>
        </w:tc>
        <w:tc>
          <w:tcPr>
            <w:tcW w:w="2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360" w:type="dxa"/>
            <w:vAlign w:val="bottom"/>
          </w:tcPr>
          <w:p>
            <w:pPr>
              <w:ind w:left="420"/>
              <w:spacing w:after="0"/>
              <w:rPr>
                <w:sz w:val="20"/>
                <w:szCs w:val="20"/>
                <w:color w:val="auto"/>
              </w:rPr>
            </w:pPr>
            <w:r>
              <w:rPr>
                <w:rFonts w:ascii="Courier New" w:cs="Courier New" w:eastAsia="Courier New" w:hAnsi="Courier New"/>
                <w:sz w:val="17"/>
                <w:szCs w:val="17"/>
                <w:color w:val="auto"/>
              </w:rPr>
              <w:t>7,923,000 and 7,805,000 shares issued and</w:t>
            </w:r>
          </w:p>
        </w:tc>
        <w:tc>
          <w:tcPr>
            <w:tcW w:w="2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360" w:type="dxa"/>
            <w:vAlign w:val="bottom"/>
          </w:tcPr>
          <w:p>
            <w:pPr>
              <w:ind w:left="420"/>
              <w:spacing w:after="0"/>
              <w:rPr>
                <w:sz w:val="20"/>
                <w:szCs w:val="20"/>
                <w:color w:val="auto"/>
              </w:rPr>
            </w:pPr>
            <w:r>
              <w:rPr>
                <w:rFonts w:ascii="Courier New" w:cs="Courier New" w:eastAsia="Courier New" w:hAnsi="Courier New"/>
                <w:sz w:val="17"/>
                <w:szCs w:val="17"/>
                <w:color w:val="auto"/>
              </w:rPr>
              <w:t>outstanding at September 30, 1995</w:t>
            </w:r>
          </w:p>
        </w:tc>
        <w:tc>
          <w:tcPr>
            <w:tcW w:w="2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360" w:type="dxa"/>
            <w:vAlign w:val="bottom"/>
          </w:tcPr>
          <w:p>
            <w:pPr>
              <w:ind w:left="420"/>
              <w:spacing w:after="0"/>
              <w:rPr>
                <w:sz w:val="20"/>
                <w:szCs w:val="20"/>
                <w:color w:val="auto"/>
              </w:rPr>
            </w:pPr>
            <w:r>
              <w:rPr>
                <w:rFonts w:ascii="Courier New" w:cs="Courier New" w:eastAsia="Courier New" w:hAnsi="Courier New"/>
                <w:sz w:val="17"/>
                <w:szCs w:val="17"/>
                <w:color w:val="auto"/>
              </w:rPr>
              <w:t>and March 31, 1995, respectively,</w:t>
            </w:r>
          </w:p>
        </w:tc>
        <w:tc>
          <w:tcPr>
            <w:tcW w:w="2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360" w:type="dxa"/>
            <w:vAlign w:val="bottom"/>
          </w:tcPr>
          <w:p>
            <w:pPr>
              <w:ind w:left="420"/>
              <w:spacing w:after="0"/>
              <w:rPr>
                <w:sz w:val="20"/>
                <w:szCs w:val="20"/>
                <w:color w:val="auto"/>
              </w:rPr>
            </w:pPr>
            <w:r>
              <w:rPr>
                <w:rFonts w:ascii="Courier New" w:cs="Courier New" w:eastAsia="Courier New" w:hAnsi="Courier New"/>
                <w:sz w:val="17"/>
                <w:szCs w:val="17"/>
                <w:color w:val="auto"/>
              </w:rPr>
              <w:t>net of treasury shares</w:t>
            </w:r>
          </w:p>
        </w:tc>
        <w:tc>
          <w:tcPr>
            <w:tcW w:w="22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79,000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78,000</w:t>
            </w:r>
          </w:p>
        </w:tc>
      </w:tr>
      <w:tr>
        <w:trPr>
          <w:trHeight w:val="196"/>
        </w:trPr>
        <w:tc>
          <w:tcPr>
            <w:tcW w:w="7360" w:type="dxa"/>
            <w:vAlign w:val="bottom"/>
          </w:tcPr>
          <w:p>
            <w:pPr>
              <w:ind w:left="200"/>
              <w:spacing w:after="0"/>
              <w:rPr>
                <w:sz w:val="20"/>
                <w:szCs w:val="20"/>
                <w:color w:val="auto"/>
              </w:rPr>
            </w:pPr>
            <w:r>
              <w:rPr>
                <w:rFonts w:ascii="Courier New" w:cs="Courier New" w:eastAsia="Courier New" w:hAnsi="Courier New"/>
                <w:sz w:val="17"/>
                <w:szCs w:val="17"/>
                <w:color w:val="auto"/>
              </w:rPr>
              <w:t>Capital in excess of par value</w:t>
            </w:r>
          </w:p>
        </w:tc>
        <w:tc>
          <w:tcPr>
            <w:tcW w:w="22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21,740,000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20,414,000</w:t>
            </w:r>
          </w:p>
        </w:tc>
      </w:tr>
      <w:tr>
        <w:trPr>
          <w:trHeight w:val="196"/>
        </w:trPr>
        <w:tc>
          <w:tcPr>
            <w:tcW w:w="7360" w:type="dxa"/>
            <w:vAlign w:val="bottom"/>
          </w:tcPr>
          <w:p>
            <w:pPr>
              <w:ind w:left="200"/>
              <w:spacing w:after="0"/>
              <w:rPr>
                <w:sz w:val="20"/>
                <w:szCs w:val="20"/>
                <w:color w:val="auto"/>
              </w:rPr>
            </w:pPr>
            <w:r>
              <w:rPr>
                <w:rFonts w:ascii="Courier New" w:cs="Courier New" w:eastAsia="Courier New" w:hAnsi="Courier New"/>
                <w:sz w:val="17"/>
                <w:szCs w:val="17"/>
                <w:color w:val="auto"/>
              </w:rPr>
              <w:t>Retained earnings</w:t>
            </w:r>
          </w:p>
        </w:tc>
        <w:tc>
          <w:tcPr>
            <w:tcW w:w="22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36,171,000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31,631,000</w:t>
            </w:r>
          </w:p>
        </w:tc>
      </w:tr>
      <w:tr>
        <w:trPr>
          <w:trHeight w:val="196"/>
        </w:trPr>
        <w:tc>
          <w:tcPr>
            <w:tcW w:w="7360" w:type="dxa"/>
            <w:vAlign w:val="bottom"/>
          </w:tcPr>
          <w:p>
            <w:pPr>
              <w:ind w:left="200"/>
              <w:spacing w:after="0"/>
              <w:rPr>
                <w:sz w:val="20"/>
                <w:szCs w:val="20"/>
                <w:color w:val="auto"/>
              </w:rPr>
            </w:pPr>
            <w:r>
              <w:rPr>
                <w:rFonts w:ascii="Courier New" w:cs="Courier New" w:eastAsia="Courier New" w:hAnsi="Courier New"/>
                <w:sz w:val="17"/>
                <w:szCs w:val="17"/>
                <w:color w:val="auto"/>
              </w:rPr>
              <w:t>Less treasury stock, at cost</w:t>
            </w:r>
          </w:p>
        </w:tc>
        <w:tc>
          <w:tcPr>
            <w:tcW w:w="22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57,000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57,000</w:t>
            </w:r>
          </w:p>
        </w:tc>
      </w:tr>
      <w:tr>
        <w:trPr>
          <w:trHeight w:val="196"/>
        </w:trPr>
        <w:tc>
          <w:tcPr>
            <w:tcW w:w="7360" w:type="dxa"/>
            <w:vAlign w:val="bottom"/>
          </w:tcPr>
          <w:p>
            <w:pPr>
              <w:spacing w:after="0"/>
              <w:rPr>
                <w:sz w:val="17"/>
                <w:szCs w:val="17"/>
                <w:color w:val="auto"/>
              </w:rPr>
            </w:pPr>
          </w:p>
        </w:tc>
        <w:tc>
          <w:tcPr>
            <w:tcW w:w="22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7360" w:type="dxa"/>
            <w:vAlign w:val="bottom"/>
          </w:tcPr>
          <w:p>
            <w:pPr>
              <w:spacing w:after="0"/>
              <w:rPr>
                <w:sz w:val="17"/>
                <w:szCs w:val="17"/>
                <w:color w:val="auto"/>
              </w:rPr>
            </w:pPr>
          </w:p>
        </w:tc>
        <w:tc>
          <w:tcPr>
            <w:tcW w:w="22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57,933,000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52,066,000</w:t>
            </w:r>
          </w:p>
        </w:tc>
      </w:tr>
      <w:tr>
        <w:trPr>
          <w:trHeight w:val="196"/>
        </w:trPr>
        <w:tc>
          <w:tcPr>
            <w:tcW w:w="7360" w:type="dxa"/>
            <w:vAlign w:val="bottom"/>
          </w:tcPr>
          <w:p>
            <w:pPr>
              <w:spacing w:after="0"/>
              <w:rPr>
                <w:sz w:val="17"/>
                <w:szCs w:val="17"/>
                <w:color w:val="auto"/>
              </w:rPr>
            </w:pPr>
          </w:p>
        </w:tc>
        <w:tc>
          <w:tcPr>
            <w:tcW w:w="22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7360" w:type="dxa"/>
            <w:vAlign w:val="bottom"/>
          </w:tcPr>
          <w:p>
            <w:pPr>
              <w:spacing w:after="0"/>
              <w:rPr>
                <w:sz w:val="17"/>
                <w:szCs w:val="17"/>
                <w:color w:val="auto"/>
              </w:rPr>
            </w:pPr>
          </w:p>
        </w:tc>
        <w:tc>
          <w:tcPr>
            <w:tcW w:w="22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$100,240,000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$89,536,000</w:t>
            </w:r>
          </w:p>
        </w:tc>
      </w:tr>
      <w:tr>
        <w:trPr>
          <w:trHeight w:val="196"/>
        </w:trPr>
        <w:tc>
          <w:tcPr>
            <w:tcW w:w="7360" w:type="dxa"/>
            <w:vAlign w:val="bottom"/>
          </w:tcPr>
          <w:p>
            <w:pPr>
              <w:spacing w:after="0"/>
              <w:rPr>
                <w:sz w:val="17"/>
                <w:szCs w:val="17"/>
                <w:color w:val="auto"/>
              </w:rPr>
            </w:pPr>
          </w:p>
        </w:tc>
        <w:tc>
          <w:tcPr>
            <w:tcW w:w="22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7" w:lineRule="exact"/>
        <w:rPr>
          <w:sz w:val="20"/>
          <w:szCs w:val="20"/>
          <w:color w:val="auto"/>
        </w:rPr>
      </w:pPr>
    </w:p>
    <w:p>
      <w:pPr>
        <w:ind w:left="920" w:right="3260" w:hanging="407"/>
        <w:spacing w:after="0" w:line="243" w:lineRule="auto"/>
        <w:rPr>
          <w:sz w:val="20"/>
          <w:szCs w:val="20"/>
          <w:color w:val="auto"/>
        </w:rPr>
      </w:pPr>
      <w:r>
        <w:rPr>
          <w:rFonts w:ascii="Courier New" w:cs="Courier New" w:eastAsia="Courier New" w:hAnsi="Courier New"/>
          <w:sz w:val="17"/>
          <w:szCs w:val="17"/>
          <w:color w:val="auto"/>
        </w:rPr>
        <w:t>The accompanying notes to the consolidated financial statements are an integral part of these consolidated balance sheets (unaudited).</w:t>
      </w:r>
    </w:p>
    <w:p>
      <w:pPr>
        <w:spacing w:after="0" w:line="198"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Page 4 of 19</w:t>
      </w:r>
    </w:p>
    <w:p>
      <w:pPr>
        <w:sectPr>
          <w:pgSz w:w="11900" w:h="16838" w:orient="portrait"/>
          <w:cols w:equalWidth="0" w:num="1">
            <w:col w:w="10920"/>
          </w:cols>
          <w:pgMar w:left="240" w:top="1096" w:right="7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3"/>
        </w:trPr>
        <w:tc>
          <w:tcPr>
            <w:tcW w:w="6940" w:type="dxa"/>
            <w:vAlign w:val="bottom"/>
          </w:tcPr>
          <w:p>
            <w:pPr>
              <w:ind w:left="1640"/>
              <w:spacing w:after="0"/>
              <w:rPr>
                <w:sz w:val="20"/>
                <w:szCs w:val="20"/>
                <w:color w:val="auto"/>
              </w:rPr>
            </w:pPr>
            <w:r>
              <w:rPr>
                <w:rFonts w:ascii="Courier New" w:cs="Courier New" w:eastAsia="Courier New" w:hAnsi="Courier New"/>
                <w:sz w:val="17"/>
                <w:szCs w:val="17"/>
                <w:color w:val="auto"/>
              </w:rPr>
              <w:t>WORLD FUEL SERVICES CORPORATION AND SUBSIDIARIES</w:t>
            </w:r>
          </w:p>
        </w:tc>
        <w:tc>
          <w:tcPr>
            <w:tcW w:w="5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92"/>
        </w:trPr>
        <w:tc>
          <w:tcPr>
            <w:tcW w:w="6940" w:type="dxa"/>
            <w:vAlign w:val="bottom"/>
          </w:tcPr>
          <w:p>
            <w:pPr>
              <w:ind w:left="2460"/>
              <w:spacing w:after="0"/>
              <w:rPr>
                <w:sz w:val="20"/>
                <w:szCs w:val="20"/>
                <w:color w:val="auto"/>
              </w:rPr>
            </w:pPr>
            <w:r>
              <w:rPr>
                <w:rFonts w:ascii="Courier New" w:cs="Courier New" w:eastAsia="Courier New" w:hAnsi="Courier New"/>
                <w:sz w:val="17"/>
                <w:szCs w:val="17"/>
                <w:color w:val="auto"/>
              </w:rPr>
              <w:t>CONSOLIDATED STATEMENTS OF INCOME</w:t>
            </w: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2"/>
        </w:trPr>
        <w:tc>
          <w:tcPr>
            <w:tcW w:w="6940" w:type="dxa"/>
            <w:vAlign w:val="bottom"/>
          </w:tcPr>
          <w:p>
            <w:pPr>
              <w:ind w:left="3580"/>
              <w:spacing w:after="0"/>
              <w:rPr>
                <w:sz w:val="20"/>
                <w:szCs w:val="20"/>
                <w:color w:val="auto"/>
              </w:rPr>
            </w:pPr>
            <w:r>
              <w:rPr>
                <w:rFonts w:ascii="Courier New" w:cs="Courier New" w:eastAsia="Courier New" w:hAnsi="Courier New"/>
                <w:sz w:val="17"/>
                <w:szCs w:val="17"/>
                <w:color w:val="auto"/>
              </w:rPr>
              <w:t>(UNAUDITED)</w:t>
            </w: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2"/>
        </w:trPr>
        <w:tc>
          <w:tcPr>
            <w:tcW w:w="6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40" w:type="dxa"/>
            <w:vAlign w:val="bottom"/>
            <w:gridSpan w:val="3"/>
          </w:tcPr>
          <w:p>
            <w:pPr>
              <w:jc w:val="right"/>
              <w:ind w:right="515"/>
              <w:spacing w:after="0"/>
              <w:rPr>
                <w:sz w:val="20"/>
                <w:szCs w:val="20"/>
                <w:color w:val="auto"/>
              </w:rPr>
            </w:pPr>
            <w:r>
              <w:rPr>
                <w:rFonts w:ascii="Courier New" w:cs="Courier New" w:eastAsia="Courier New" w:hAnsi="Courier New"/>
                <w:sz w:val="17"/>
                <w:szCs w:val="17"/>
                <w:color w:val="auto"/>
              </w:rPr>
              <w:t>SIX MONTHS ENDED</w:t>
            </w:r>
          </w:p>
        </w:tc>
      </w:tr>
      <w:tr>
        <w:trPr>
          <w:trHeight w:val="196"/>
        </w:trPr>
        <w:tc>
          <w:tcPr>
            <w:tcW w:w="6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740" w:type="dxa"/>
            <w:vAlign w:val="bottom"/>
            <w:gridSpan w:val="3"/>
          </w:tcPr>
          <w:p>
            <w:pPr>
              <w:jc w:val="right"/>
              <w:ind w:right="615"/>
              <w:spacing w:after="0"/>
              <w:rPr>
                <w:sz w:val="20"/>
                <w:szCs w:val="20"/>
                <w:color w:val="auto"/>
              </w:rPr>
            </w:pPr>
            <w:r>
              <w:rPr>
                <w:rFonts w:ascii="Courier New" w:cs="Courier New" w:eastAsia="Courier New" w:hAnsi="Courier New"/>
                <w:sz w:val="17"/>
                <w:szCs w:val="17"/>
                <w:color w:val="auto"/>
              </w:rPr>
              <w:t>SEPTEMBER 30,</w:t>
            </w:r>
          </w:p>
        </w:tc>
      </w:tr>
      <w:tr>
        <w:trPr>
          <w:trHeight w:val="196"/>
        </w:trPr>
        <w:tc>
          <w:tcPr>
            <w:tcW w:w="6940" w:type="dxa"/>
            <w:vAlign w:val="bottom"/>
          </w:tcPr>
          <w:p>
            <w:pPr>
              <w:spacing w:after="0"/>
              <w:rPr>
                <w:sz w:val="17"/>
                <w:szCs w:val="17"/>
                <w:color w:val="auto"/>
              </w:rPr>
            </w:pPr>
          </w:p>
        </w:tc>
        <w:tc>
          <w:tcPr>
            <w:tcW w:w="32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1995</w:t>
            </w:r>
          </w:p>
        </w:tc>
        <w:tc>
          <w:tcPr>
            <w:tcW w:w="300" w:type="dxa"/>
            <w:vAlign w:val="bottom"/>
          </w:tcPr>
          <w:p>
            <w:pPr>
              <w:spacing w:after="0"/>
              <w:rPr>
                <w:sz w:val="17"/>
                <w:szCs w:val="17"/>
                <w:color w:val="auto"/>
              </w:rPr>
            </w:pP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1994</w:t>
            </w:r>
          </w:p>
        </w:tc>
      </w:tr>
      <w:tr>
        <w:trPr>
          <w:trHeight w:val="196"/>
        </w:trPr>
        <w:tc>
          <w:tcPr>
            <w:tcW w:w="6940" w:type="dxa"/>
            <w:vAlign w:val="bottom"/>
          </w:tcPr>
          <w:p>
            <w:pPr>
              <w:spacing w:after="0"/>
              <w:rPr>
                <w:sz w:val="17"/>
                <w:szCs w:val="17"/>
                <w:color w:val="auto"/>
              </w:rPr>
            </w:pPr>
          </w:p>
        </w:tc>
        <w:tc>
          <w:tcPr>
            <w:tcW w:w="18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94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18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$284,618,000</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$149,184,000</w:t>
            </w:r>
          </w:p>
        </w:tc>
      </w:tr>
      <w:tr>
        <w:trPr>
          <w:trHeight w:val="392"/>
        </w:trPr>
        <w:tc>
          <w:tcPr>
            <w:tcW w:w="6940" w:type="dxa"/>
            <w:vAlign w:val="bottom"/>
          </w:tcPr>
          <w:p>
            <w:pPr>
              <w:spacing w:after="0"/>
              <w:rPr>
                <w:sz w:val="20"/>
                <w:szCs w:val="20"/>
                <w:color w:val="auto"/>
              </w:rPr>
            </w:pPr>
            <w:r>
              <w:rPr>
                <w:rFonts w:ascii="Courier New" w:cs="Courier New" w:eastAsia="Courier New" w:hAnsi="Courier New"/>
                <w:sz w:val="17"/>
                <w:szCs w:val="17"/>
                <w:color w:val="auto"/>
              </w:rPr>
              <w:t>Cost of sales</w:t>
            </w:r>
          </w:p>
        </w:tc>
        <w:tc>
          <w:tcPr>
            <w:tcW w:w="520" w:type="dxa"/>
            <w:vAlign w:val="bottom"/>
          </w:tcPr>
          <w:p>
            <w:pPr>
              <w:spacing w:after="0"/>
              <w:rPr>
                <w:sz w:val="24"/>
                <w:szCs w:val="24"/>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265,533,000</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w w:val="97"/>
              </w:rPr>
              <w:t>136,211,000</w:t>
            </w:r>
          </w:p>
        </w:tc>
      </w:tr>
      <w:tr>
        <w:trPr>
          <w:trHeight w:val="196"/>
        </w:trPr>
        <w:tc>
          <w:tcPr>
            <w:tcW w:w="6940" w:type="dxa"/>
            <w:vAlign w:val="bottom"/>
          </w:tcPr>
          <w:p>
            <w:pPr>
              <w:spacing w:after="0"/>
              <w:rPr>
                <w:sz w:val="17"/>
                <w:szCs w:val="17"/>
                <w:color w:val="auto"/>
              </w:rPr>
            </w:pPr>
          </w:p>
        </w:tc>
        <w:tc>
          <w:tcPr>
            <w:tcW w:w="18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940" w:type="dxa"/>
            <w:vAlign w:val="bottom"/>
          </w:tcPr>
          <w:p>
            <w:pPr>
              <w:ind w:left="520"/>
              <w:spacing w:after="0"/>
              <w:rPr>
                <w:sz w:val="20"/>
                <w:szCs w:val="20"/>
                <w:color w:val="auto"/>
              </w:rPr>
            </w:pPr>
            <w:r>
              <w:rPr>
                <w:rFonts w:ascii="Courier New" w:cs="Courier New" w:eastAsia="Courier New" w:hAnsi="Courier New"/>
                <w:sz w:val="17"/>
                <w:szCs w:val="17"/>
                <w:color w:val="auto"/>
              </w:rPr>
              <w:t>Gross profit</w:t>
            </w:r>
          </w:p>
        </w:tc>
        <w:tc>
          <w:tcPr>
            <w:tcW w:w="520" w:type="dxa"/>
            <w:vAlign w:val="bottom"/>
          </w:tcPr>
          <w:p>
            <w:pPr>
              <w:spacing w:after="0"/>
              <w:rPr>
                <w:sz w:val="17"/>
                <w:szCs w:val="17"/>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19,085,000</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12,973,000</w:t>
            </w:r>
          </w:p>
        </w:tc>
      </w:tr>
      <w:tr>
        <w:trPr>
          <w:trHeight w:val="196"/>
        </w:trPr>
        <w:tc>
          <w:tcPr>
            <w:tcW w:w="6940" w:type="dxa"/>
            <w:vAlign w:val="bottom"/>
          </w:tcPr>
          <w:p>
            <w:pPr>
              <w:spacing w:after="0"/>
              <w:rPr>
                <w:sz w:val="17"/>
                <w:szCs w:val="17"/>
                <w:color w:val="auto"/>
              </w:rPr>
            </w:pPr>
          </w:p>
        </w:tc>
        <w:tc>
          <w:tcPr>
            <w:tcW w:w="18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94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6"/>
        </w:trPr>
        <w:tc>
          <w:tcPr>
            <w:tcW w:w="6940" w:type="dxa"/>
            <w:vAlign w:val="bottom"/>
          </w:tcPr>
          <w:p>
            <w:pPr>
              <w:ind w:left="520"/>
              <w:spacing w:after="0"/>
              <w:rPr>
                <w:sz w:val="20"/>
                <w:szCs w:val="20"/>
                <w:color w:val="auto"/>
              </w:rPr>
            </w:pPr>
            <w:r>
              <w:rPr>
                <w:rFonts w:ascii="Courier New" w:cs="Courier New" w:eastAsia="Courier New" w:hAnsi="Courier New"/>
                <w:sz w:val="17"/>
                <w:szCs w:val="17"/>
                <w:color w:val="auto"/>
              </w:rPr>
              <w:t>Salaries and wages</w:t>
            </w:r>
          </w:p>
        </w:tc>
        <w:tc>
          <w:tcPr>
            <w:tcW w:w="520" w:type="dxa"/>
            <w:vAlign w:val="bottom"/>
          </w:tcPr>
          <w:p>
            <w:pPr>
              <w:spacing w:after="0"/>
              <w:rPr>
                <w:sz w:val="17"/>
                <w:szCs w:val="17"/>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6,195,000</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3,371,000</w:t>
            </w:r>
          </w:p>
        </w:tc>
      </w:tr>
      <w:tr>
        <w:trPr>
          <w:trHeight w:val="196"/>
        </w:trPr>
        <w:tc>
          <w:tcPr>
            <w:tcW w:w="6940" w:type="dxa"/>
            <w:vAlign w:val="bottom"/>
          </w:tcPr>
          <w:p>
            <w:pPr>
              <w:ind w:left="520"/>
              <w:spacing w:after="0"/>
              <w:rPr>
                <w:sz w:val="20"/>
                <w:szCs w:val="20"/>
                <w:color w:val="auto"/>
              </w:rPr>
            </w:pPr>
            <w:r>
              <w:rPr>
                <w:rFonts w:ascii="Courier New" w:cs="Courier New" w:eastAsia="Courier New" w:hAnsi="Courier New"/>
                <w:sz w:val="17"/>
                <w:szCs w:val="17"/>
                <w:color w:val="auto"/>
              </w:rPr>
              <w:t>Provision for bad debts</w:t>
            </w:r>
          </w:p>
        </w:tc>
        <w:tc>
          <w:tcPr>
            <w:tcW w:w="520" w:type="dxa"/>
            <w:vAlign w:val="bottom"/>
          </w:tcPr>
          <w:p>
            <w:pPr>
              <w:spacing w:after="0"/>
              <w:rPr>
                <w:sz w:val="17"/>
                <w:szCs w:val="17"/>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836,000</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1,288,000</w:t>
            </w:r>
          </w:p>
        </w:tc>
      </w:tr>
      <w:tr>
        <w:trPr>
          <w:trHeight w:val="196"/>
        </w:trPr>
        <w:tc>
          <w:tcPr>
            <w:tcW w:w="6940" w:type="dxa"/>
            <w:vAlign w:val="bottom"/>
          </w:tcPr>
          <w:p>
            <w:pPr>
              <w:ind w:left="520"/>
              <w:spacing w:after="0"/>
              <w:rPr>
                <w:sz w:val="20"/>
                <w:szCs w:val="20"/>
                <w:color w:val="auto"/>
              </w:rPr>
            </w:pPr>
            <w:r>
              <w:rPr>
                <w:rFonts w:ascii="Courier New" w:cs="Courier New" w:eastAsia="Courier New" w:hAnsi="Courier New"/>
                <w:sz w:val="17"/>
                <w:szCs w:val="17"/>
                <w:color w:val="auto"/>
              </w:rPr>
              <w:t>Other</w:t>
            </w:r>
          </w:p>
        </w:tc>
        <w:tc>
          <w:tcPr>
            <w:tcW w:w="520" w:type="dxa"/>
            <w:vAlign w:val="bottom"/>
          </w:tcPr>
          <w:p>
            <w:pPr>
              <w:spacing w:after="0"/>
              <w:rPr>
                <w:sz w:val="17"/>
                <w:szCs w:val="17"/>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4,648,000</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2,766,000</w:t>
            </w:r>
          </w:p>
        </w:tc>
      </w:tr>
      <w:tr>
        <w:trPr>
          <w:trHeight w:val="196"/>
        </w:trPr>
        <w:tc>
          <w:tcPr>
            <w:tcW w:w="6940" w:type="dxa"/>
            <w:vAlign w:val="bottom"/>
          </w:tcPr>
          <w:p>
            <w:pPr>
              <w:spacing w:after="0"/>
              <w:rPr>
                <w:sz w:val="17"/>
                <w:szCs w:val="17"/>
                <w:color w:val="auto"/>
              </w:rPr>
            </w:pPr>
          </w:p>
        </w:tc>
        <w:tc>
          <w:tcPr>
            <w:tcW w:w="18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11,679,000</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7,425,000</w:t>
            </w:r>
          </w:p>
        </w:tc>
      </w:tr>
      <w:tr>
        <w:trPr>
          <w:trHeight w:val="196"/>
        </w:trPr>
        <w:tc>
          <w:tcPr>
            <w:tcW w:w="6940" w:type="dxa"/>
            <w:vAlign w:val="bottom"/>
          </w:tcPr>
          <w:p>
            <w:pPr>
              <w:spacing w:after="0"/>
              <w:rPr>
                <w:sz w:val="17"/>
                <w:szCs w:val="17"/>
                <w:color w:val="auto"/>
              </w:rPr>
            </w:pPr>
          </w:p>
        </w:tc>
        <w:tc>
          <w:tcPr>
            <w:tcW w:w="18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940" w:type="dxa"/>
            <w:vAlign w:val="bottom"/>
          </w:tcPr>
          <w:p>
            <w:pPr>
              <w:ind w:left="520"/>
              <w:spacing w:after="0"/>
              <w:rPr>
                <w:sz w:val="20"/>
                <w:szCs w:val="20"/>
                <w:color w:val="auto"/>
              </w:rPr>
            </w:pPr>
            <w:r>
              <w:rPr>
                <w:rFonts w:ascii="Courier New" w:cs="Courier New" w:eastAsia="Courier New" w:hAnsi="Courier New"/>
                <w:sz w:val="17"/>
                <w:szCs w:val="17"/>
                <w:color w:val="auto"/>
              </w:rPr>
              <w:t>Income from operations</w:t>
            </w:r>
          </w:p>
        </w:tc>
        <w:tc>
          <w:tcPr>
            <w:tcW w:w="520" w:type="dxa"/>
            <w:vAlign w:val="bottom"/>
          </w:tcPr>
          <w:p>
            <w:pPr>
              <w:spacing w:after="0"/>
              <w:rPr>
                <w:sz w:val="17"/>
                <w:szCs w:val="17"/>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7,406,000</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5,548,000</w:t>
            </w:r>
          </w:p>
        </w:tc>
      </w:tr>
      <w:tr>
        <w:trPr>
          <w:trHeight w:val="392"/>
        </w:trPr>
        <w:tc>
          <w:tcPr>
            <w:tcW w:w="6940" w:type="dxa"/>
            <w:vAlign w:val="bottom"/>
          </w:tcPr>
          <w:p>
            <w:pPr>
              <w:spacing w:after="0"/>
              <w:rPr>
                <w:sz w:val="20"/>
                <w:szCs w:val="20"/>
                <w:color w:val="auto"/>
              </w:rPr>
            </w:pPr>
            <w:r>
              <w:rPr>
                <w:rFonts w:ascii="Courier New" w:cs="Courier New" w:eastAsia="Courier New" w:hAnsi="Courier New"/>
                <w:sz w:val="17"/>
                <w:szCs w:val="17"/>
                <w:color w:val="auto"/>
              </w:rPr>
              <w:t>Other income, net</w:t>
            </w:r>
          </w:p>
        </w:tc>
        <w:tc>
          <w:tcPr>
            <w:tcW w:w="520" w:type="dxa"/>
            <w:vAlign w:val="bottom"/>
          </w:tcPr>
          <w:p>
            <w:pPr>
              <w:spacing w:after="0"/>
              <w:rPr>
                <w:sz w:val="24"/>
                <w:szCs w:val="24"/>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824,000</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372,000</w:t>
            </w:r>
          </w:p>
        </w:tc>
      </w:tr>
      <w:tr>
        <w:trPr>
          <w:trHeight w:val="196"/>
        </w:trPr>
        <w:tc>
          <w:tcPr>
            <w:tcW w:w="6940" w:type="dxa"/>
            <w:vAlign w:val="bottom"/>
          </w:tcPr>
          <w:p>
            <w:pPr>
              <w:spacing w:after="0"/>
              <w:rPr>
                <w:sz w:val="17"/>
                <w:szCs w:val="17"/>
                <w:color w:val="auto"/>
              </w:rPr>
            </w:pPr>
          </w:p>
        </w:tc>
        <w:tc>
          <w:tcPr>
            <w:tcW w:w="18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940" w:type="dxa"/>
            <w:vAlign w:val="bottom"/>
          </w:tcPr>
          <w:p>
            <w:pPr>
              <w:ind w:left="520"/>
              <w:spacing w:after="0"/>
              <w:rPr>
                <w:sz w:val="20"/>
                <w:szCs w:val="20"/>
                <w:color w:val="auto"/>
              </w:rPr>
            </w:pPr>
            <w:r>
              <w:rPr>
                <w:rFonts w:ascii="Courier New" w:cs="Courier New" w:eastAsia="Courier New" w:hAnsi="Courier New"/>
                <w:sz w:val="17"/>
                <w:szCs w:val="17"/>
                <w:color w:val="auto"/>
              </w:rPr>
              <w:t>Income before income taxes</w:t>
            </w:r>
          </w:p>
        </w:tc>
        <w:tc>
          <w:tcPr>
            <w:tcW w:w="520" w:type="dxa"/>
            <w:vAlign w:val="bottom"/>
          </w:tcPr>
          <w:p>
            <w:pPr>
              <w:spacing w:after="0"/>
              <w:rPr>
                <w:sz w:val="17"/>
                <w:szCs w:val="17"/>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8,230,000</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5,920,000</w:t>
            </w:r>
          </w:p>
        </w:tc>
      </w:tr>
      <w:tr>
        <w:trPr>
          <w:trHeight w:val="392"/>
        </w:trPr>
        <w:tc>
          <w:tcPr>
            <w:tcW w:w="694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520" w:type="dxa"/>
            <w:vAlign w:val="bottom"/>
          </w:tcPr>
          <w:p>
            <w:pPr>
              <w:spacing w:after="0"/>
              <w:rPr>
                <w:sz w:val="24"/>
                <w:szCs w:val="24"/>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3,030,000</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2,216,000</w:t>
            </w:r>
          </w:p>
        </w:tc>
      </w:tr>
      <w:tr>
        <w:trPr>
          <w:trHeight w:val="196"/>
        </w:trPr>
        <w:tc>
          <w:tcPr>
            <w:tcW w:w="6940" w:type="dxa"/>
            <w:vAlign w:val="bottom"/>
          </w:tcPr>
          <w:p>
            <w:pPr>
              <w:spacing w:after="0"/>
              <w:rPr>
                <w:sz w:val="17"/>
                <w:szCs w:val="17"/>
                <w:color w:val="auto"/>
              </w:rPr>
            </w:pPr>
          </w:p>
        </w:tc>
        <w:tc>
          <w:tcPr>
            <w:tcW w:w="18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94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5,200,000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3,704,000</w:t>
            </w:r>
          </w:p>
        </w:tc>
      </w:tr>
      <w:tr>
        <w:trPr>
          <w:trHeight w:val="196"/>
        </w:trPr>
        <w:tc>
          <w:tcPr>
            <w:tcW w:w="6940" w:type="dxa"/>
            <w:vAlign w:val="bottom"/>
          </w:tcPr>
          <w:p>
            <w:pPr>
              <w:spacing w:after="0"/>
              <w:rPr>
                <w:sz w:val="17"/>
                <w:szCs w:val="17"/>
                <w:color w:val="auto"/>
              </w:rPr>
            </w:pPr>
          </w:p>
        </w:tc>
        <w:tc>
          <w:tcPr>
            <w:tcW w:w="18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89"/>
        </w:trPr>
        <w:tc>
          <w:tcPr>
            <w:tcW w:w="6940" w:type="dxa"/>
            <w:vAlign w:val="bottom"/>
          </w:tcPr>
          <w:p>
            <w:pPr>
              <w:spacing w:after="0"/>
              <w:rPr>
                <w:sz w:val="20"/>
                <w:szCs w:val="20"/>
                <w:color w:val="auto"/>
              </w:rPr>
            </w:pPr>
            <w:r>
              <w:rPr>
                <w:rFonts w:ascii="Courier New" w:cs="Courier New" w:eastAsia="Courier New" w:hAnsi="Courier New"/>
                <w:sz w:val="17"/>
                <w:szCs w:val="17"/>
                <w:color w:val="auto"/>
              </w:rPr>
              <w:t>Net income per share</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.65</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.52</w:t>
            </w:r>
          </w:p>
        </w:tc>
      </w:tr>
      <w:tr>
        <w:trPr>
          <w:trHeight w:val="196"/>
        </w:trPr>
        <w:tc>
          <w:tcPr>
            <w:tcW w:w="6940" w:type="dxa"/>
            <w:vAlign w:val="bottom"/>
          </w:tcPr>
          <w:p>
            <w:pPr>
              <w:spacing w:after="0"/>
              <w:rPr>
                <w:sz w:val="17"/>
                <w:szCs w:val="17"/>
                <w:color w:val="auto"/>
              </w:rPr>
            </w:pPr>
          </w:p>
        </w:tc>
        <w:tc>
          <w:tcPr>
            <w:tcW w:w="18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89"/>
        </w:trPr>
        <w:tc>
          <w:tcPr>
            <w:tcW w:w="6940" w:type="dxa"/>
            <w:vAlign w:val="bottom"/>
          </w:tcPr>
          <w:p>
            <w:pPr>
              <w:spacing w:after="0"/>
              <w:rPr>
                <w:sz w:val="20"/>
                <w:szCs w:val="20"/>
                <w:color w:val="auto"/>
              </w:rPr>
            </w:pPr>
            <w:r>
              <w:rPr>
                <w:rFonts w:ascii="Courier New" w:cs="Courier New" w:eastAsia="Courier New" w:hAnsi="Courier New"/>
                <w:sz w:val="17"/>
                <w:szCs w:val="17"/>
                <w:color w:val="auto"/>
              </w:rPr>
              <w:t>Weighted average shares outstanding</w:t>
            </w:r>
          </w:p>
        </w:tc>
        <w:tc>
          <w:tcPr>
            <w:tcW w:w="520" w:type="dxa"/>
            <w:vAlign w:val="bottom"/>
          </w:tcPr>
          <w:p>
            <w:pPr>
              <w:spacing w:after="0"/>
              <w:rPr>
                <w:sz w:val="24"/>
                <w:szCs w:val="24"/>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8,050,000</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7,191,000</w:t>
            </w:r>
          </w:p>
        </w:tc>
      </w:tr>
      <w:tr>
        <w:trPr>
          <w:trHeight w:val="196"/>
        </w:trPr>
        <w:tc>
          <w:tcPr>
            <w:tcW w:w="6940" w:type="dxa"/>
            <w:vAlign w:val="bottom"/>
          </w:tcPr>
          <w:p>
            <w:pPr>
              <w:spacing w:after="0"/>
              <w:rPr>
                <w:sz w:val="17"/>
                <w:szCs w:val="17"/>
                <w:color w:val="auto"/>
              </w:rPr>
            </w:pPr>
          </w:p>
        </w:tc>
        <w:tc>
          <w:tcPr>
            <w:tcW w:w="18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The accompanying notes to the consolidated financial statements are an integral</w:t>
      </w:r>
    </w:p>
    <w:p>
      <w:pPr>
        <w:spacing w:after="0" w:line="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part of these consolidated statements (unaudited).</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Page 5 of 19</w:t>
      </w:r>
    </w:p>
    <w:p>
      <w:pPr>
        <w:sectPr>
          <w:pgSz w:w="11900" w:h="16838" w:orient="portrait"/>
          <w:cols w:equalWidth="0" w:num="1">
            <w:col w:w="10219"/>
          </w:cols>
          <w:pgMar w:left="240" w:top="1096"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3"/>
        </w:trPr>
        <w:tc>
          <w:tcPr>
            <w:tcW w:w="6900" w:type="dxa"/>
            <w:vAlign w:val="bottom"/>
          </w:tcPr>
          <w:p>
            <w:pPr>
              <w:ind w:left="1640"/>
              <w:spacing w:after="0"/>
              <w:rPr>
                <w:sz w:val="20"/>
                <w:szCs w:val="20"/>
                <w:color w:val="auto"/>
              </w:rPr>
            </w:pPr>
            <w:r>
              <w:rPr>
                <w:rFonts w:ascii="Courier New" w:cs="Courier New" w:eastAsia="Courier New" w:hAnsi="Courier New"/>
                <w:sz w:val="17"/>
                <w:szCs w:val="17"/>
                <w:color w:val="auto"/>
              </w:rPr>
              <w:t>WORLD FUEL SERVICES CORPORATION AND SUBSIDIARIES</w:t>
            </w:r>
          </w:p>
        </w:tc>
        <w:tc>
          <w:tcPr>
            <w:tcW w:w="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92"/>
        </w:trPr>
        <w:tc>
          <w:tcPr>
            <w:tcW w:w="6900" w:type="dxa"/>
            <w:vAlign w:val="bottom"/>
          </w:tcPr>
          <w:p>
            <w:pPr>
              <w:ind w:left="2460"/>
              <w:spacing w:after="0"/>
              <w:rPr>
                <w:sz w:val="20"/>
                <w:szCs w:val="20"/>
                <w:color w:val="auto"/>
              </w:rPr>
            </w:pPr>
            <w:r>
              <w:rPr>
                <w:rFonts w:ascii="Courier New" w:cs="Courier New" w:eastAsia="Courier New" w:hAnsi="Courier New"/>
                <w:sz w:val="17"/>
                <w:szCs w:val="17"/>
                <w:color w:val="auto"/>
              </w:rPr>
              <w:t>CONSOLIDATED STATEMENTS OF INCOME</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92"/>
        </w:trPr>
        <w:tc>
          <w:tcPr>
            <w:tcW w:w="6900" w:type="dxa"/>
            <w:vAlign w:val="bottom"/>
          </w:tcPr>
          <w:p>
            <w:pPr>
              <w:ind w:left="3580"/>
              <w:spacing w:after="0"/>
              <w:rPr>
                <w:sz w:val="20"/>
                <w:szCs w:val="20"/>
                <w:color w:val="auto"/>
              </w:rPr>
            </w:pPr>
            <w:r>
              <w:rPr>
                <w:rFonts w:ascii="Courier New" w:cs="Courier New" w:eastAsia="Courier New" w:hAnsi="Courier New"/>
                <w:sz w:val="17"/>
                <w:szCs w:val="17"/>
                <w:color w:val="auto"/>
              </w:rPr>
              <w:t>(UNAUDITED)</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92"/>
        </w:trPr>
        <w:tc>
          <w:tcPr>
            <w:tcW w:w="6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40" w:type="dxa"/>
            <w:vAlign w:val="bottom"/>
            <w:gridSpan w:val="3"/>
          </w:tcPr>
          <w:p>
            <w:pPr>
              <w:jc w:val="right"/>
              <w:ind w:right="315"/>
              <w:spacing w:after="0"/>
              <w:rPr>
                <w:sz w:val="20"/>
                <w:szCs w:val="20"/>
                <w:color w:val="auto"/>
              </w:rPr>
            </w:pPr>
            <w:r>
              <w:rPr>
                <w:rFonts w:ascii="Courier New" w:cs="Courier New" w:eastAsia="Courier New" w:hAnsi="Courier New"/>
                <w:sz w:val="17"/>
                <w:szCs w:val="17"/>
                <w:color w:val="auto"/>
              </w:rPr>
              <w:t>THREE MONTHS ENDED</w:t>
            </w:r>
          </w:p>
        </w:tc>
      </w:tr>
      <w:tr>
        <w:trPr>
          <w:trHeight w:val="196"/>
        </w:trPr>
        <w:tc>
          <w:tcPr>
            <w:tcW w:w="6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40" w:type="dxa"/>
            <w:vAlign w:val="bottom"/>
            <w:gridSpan w:val="3"/>
          </w:tcPr>
          <w:p>
            <w:pPr>
              <w:jc w:val="right"/>
              <w:ind w:right="635"/>
              <w:spacing w:after="0"/>
              <w:rPr>
                <w:sz w:val="20"/>
                <w:szCs w:val="20"/>
                <w:color w:val="auto"/>
              </w:rPr>
            </w:pPr>
            <w:r>
              <w:rPr>
                <w:rFonts w:ascii="Courier New" w:cs="Courier New" w:eastAsia="Courier New" w:hAnsi="Courier New"/>
                <w:sz w:val="17"/>
                <w:szCs w:val="17"/>
                <w:color w:val="auto"/>
              </w:rPr>
              <w:t>SEPTEMBER 30,</w:t>
            </w:r>
          </w:p>
        </w:tc>
      </w:tr>
      <w:tr>
        <w:trPr>
          <w:trHeight w:val="196"/>
        </w:trPr>
        <w:tc>
          <w:tcPr>
            <w:tcW w:w="6900" w:type="dxa"/>
            <w:vAlign w:val="bottom"/>
          </w:tcPr>
          <w:p>
            <w:pPr>
              <w:spacing w:after="0"/>
              <w:rPr>
                <w:sz w:val="17"/>
                <w:szCs w:val="17"/>
                <w:color w:val="auto"/>
              </w:rPr>
            </w:pPr>
          </w:p>
        </w:tc>
        <w:tc>
          <w:tcPr>
            <w:tcW w:w="30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1995</w:t>
            </w:r>
          </w:p>
        </w:tc>
        <w:tc>
          <w:tcPr>
            <w:tcW w:w="260" w:type="dxa"/>
            <w:vAlign w:val="bottom"/>
          </w:tcPr>
          <w:p>
            <w:pPr>
              <w:spacing w:after="0"/>
              <w:rPr>
                <w:sz w:val="17"/>
                <w:szCs w:val="17"/>
                <w:color w:val="auto"/>
              </w:rPr>
            </w:pPr>
          </w:p>
        </w:tc>
        <w:tc>
          <w:tcPr>
            <w:tcW w:w="10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1994</w:t>
            </w:r>
          </w:p>
        </w:tc>
      </w:tr>
      <w:tr>
        <w:trPr>
          <w:trHeight w:val="196"/>
        </w:trPr>
        <w:tc>
          <w:tcPr>
            <w:tcW w:w="6900" w:type="dxa"/>
            <w:vAlign w:val="bottom"/>
          </w:tcPr>
          <w:p>
            <w:pPr>
              <w:spacing w:after="0"/>
              <w:rPr>
                <w:sz w:val="17"/>
                <w:szCs w:val="17"/>
                <w:color w:val="auto"/>
              </w:rPr>
            </w:pPr>
          </w:p>
        </w:tc>
        <w:tc>
          <w:tcPr>
            <w:tcW w:w="17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90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17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$145,658,000</w:t>
            </w: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$76,660,000</w:t>
            </w:r>
          </w:p>
        </w:tc>
      </w:tr>
      <w:tr>
        <w:trPr>
          <w:trHeight w:val="392"/>
        </w:trPr>
        <w:tc>
          <w:tcPr>
            <w:tcW w:w="6900" w:type="dxa"/>
            <w:vAlign w:val="bottom"/>
          </w:tcPr>
          <w:p>
            <w:pPr>
              <w:spacing w:after="0"/>
              <w:rPr>
                <w:sz w:val="20"/>
                <w:szCs w:val="20"/>
                <w:color w:val="auto"/>
              </w:rPr>
            </w:pPr>
            <w:r>
              <w:rPr>
                <w:rFonts w:ascii="Courier New" w:cs="Courier New" w:eastAsia="Courier New" w:hAnsi="Courier New"/>
                <w:sz w:val="17"/>
                <w:szCs w:val="17"/>
                <w:color w:val="auto"/>
              </w:rPr>
              <w:t>Cost of sales</w:t>
            </w:r>
          </w:p>
        </w:tc>
        <w:tc>
          <w:tcPr>
            <w:tcW w:w="460" w:type="dxa"/>
            <w:vAlign w:val="bottom"/>
          </w:tcPr>
          <w:p>
            <w:pPr>
              <w:spacing w:after="0"/>
              <w:rPr>
                <w:sz w:val="24"/>
                <w:szCs w:val="24"/>
                <w:color w:val="auto"/>
              </w:rPr>
            </w:pPr>
          </w:p>
        </w:tc>
        <w:tc>
          <w:tcPr>
            <w:tcW w:w="12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135,747,000</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w w:val="97"/>
              </w:rPr>
              <w:t>70,929,000</w:t>
            </w:r>
          </w:p>
        </w:tc>
      </w:tr>
      <w:tr>
        <w:trPr>
          <w:trHeight w:val="196"/>
        </w:trPr>
        <w:tc>
          <w:tcPr>
            <w:tcW w:w="6900" w:type="dxa"/>
            <w:vAlign w:val="bottom"/>
          </w:tcPr>
          <w:p>
            <w:pPr>
              <w:spacing w:after="0"/>
              <w:rPr>
                <w:sz w:val="17"/>
                <w:szCs w:val="17"/>
                <w:color w:val="auto"/>
              </w:rPr>
            </w:pPr>
          </w:p>
        </w:tc>
        <w:tc>
          <w:tcPr>
            <w:tcW w:w="17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900" w:type="dxa"/>
            <w:vAlign w:val="bottom"/>
          </w:tcPr>
          <w:p>
            <w:pPr>
              <w:ind w:left="520"/>
              <w:spacing w:after="0"/>
              <w:rPr>
                <w:sz w:val="20"/>
                <w:szCs w:val="20"/>
                <w:color w:val="auto"/>
              </w:rPr>
            </w:pPr>
            <w:r>
              <w:rPr>
                <w:rFonts w:ascii="Courier New" w:cs="Courier New" w:eastAsia="Courier New" w:hAnsi="Courier New"/>
                <w:sz w:val="17"/>
                <w:szCs w:val="17"/>
                <w:color w:val="auto"/>
              </w:rPr>
              <w:t>Gross profit</w:t>
            </w:r>
          </w:p>
        </w:tc>
        <w:tc>
          <w:tcPr>
            <w:tcW w:w="460" w:type="dxa"/>
            <w:vAlign w:val="bottom"/>
          </w:tcPr>
          <w:p>
            <w:pPr>
              <w:spacing w:after="0"/>
              <w:rPr>
                <w:sz w:val="24"/>
                <w:szCs w:val="24"/>
                <w:color w:val="auto"/>
              </w:rPr>
            </w:pPr>
          </w:p>
        </w:tc>
        <w:tc>
          <w:tcPr>
            <w:tcW w:w="12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9,911,000</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5,731,000</w:t>
            </w:r>
          </w:p>
        </w:tc>
      </w:tr>
      <w:tr>
        <w:trPr>
          <w:trHeight w:val="196"/>
        </w:trPr>
        <w:tc>
          <w:tcPr>
            <w:tcW w:w="6900" w:type="dxa"/>
            <w:vAlign w:val="bottom"/>
          </w:tcPr>
          <w:p>
            <w:pPr>
              <w:spacing w:after="0"/>
              <w:rPr>
                <w:sz w:val="17"/>
                <w:szCs w:val="17"/>
                <w:color w:val="auto"/>
              </w:rPr>
            </w:pPr>
          </w:p>
        </w:tc>
        <w:tc>
          <w:tcPr>
            <w:tcW w:w="17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90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6900" w:type="dxa"/>
            <w:vAlign w:val="bottom"/>
          </w:tcPr>
          <w:p>
            <w:pPr>
              <w:ind w:left="520"/>
              <w:spacing w:after="0"/>
              <w:rPr>
                <w:sz w:val="20"/>
                <w:szCs w:val="20"/>
                <w:color w:val="auto"/>
              </w:rPr>
            </w:pPr>
            <w:r>
              <w:rPr>
                <w:rFonts w:ascii="Courier New" w:cs="Courier New" w:eastAsia="Courier New" w:hAnsi="Courier New"/>
                <w:sz w:val="17"/>
                <w:szCs w:val="17"/>
                <w:color w:val="auto"/>
              </w:rPr>
              <w:t>Salaries and wages</w:t>
            </w:r>
          </w:p>
        </w:tc>
        <w:tc>
          <w:tcPr>
            <w:tcW w:w="460" w:type="dxa"/>
            <w:vAlign w:val="bottom"/>
          </w:tcPr>
          <w:p>
            <w:pPr>
              <w:spacing w:after="0"/>
              <w:rPr>
                <w:sz w:val="17"/>
                <w:szCs w:val="17"/>
                <w:color w:val="auto"/>
              </w:rPr>
            </w:pPr>
          </w:p>
        </w:tc>
        <w:tc>
          <w:tcPr>
            <w:tcW w:w="12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3,189,000</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1,753,000</w:t>
            </w:r>
          </w:p>
        </w:tc>
      </w:tr>
      <w:tr>
        <w:trPr>
          <w:trHeight w:val="196"/>
        </w:trPr>
        <w:tc>
          <w:tcPr>
            <w:tcW w:w="6900" w:type="dxa"/>
            <w:vAlign w:val="bottom"/>
          </w:tcPr>
          <w:p>
            <w:pPr>
              <w:ind w:left="520"/>
              <w:spacing w:after="0"/>
              <w:rPr>
                <w:sz w:val="20"/>
                <w:szCs w:val="20"/>
                <w:color w:val="auto"/>
              </w:rPr>
            </w:pPr>
            <w:r>
              <w:rPr>
                <w:rFonts w:ascii="Courier New" w:cs="Courier New" w:eastAsia="Courier New" w:hAnsi="Courier New"/>
                <w:sz w:val="17"/>
                <w:szCs w:val="17"/>
                <w:color w:val="auto"/>
              </w:rPr>
              <w:t>Provision for bad debts</w:t>
            </w:r>
          </w:p>
        </w:tc>
        <w:tc>
          <w:tcPr>
            <w:tcW w:w="460" w:type="dxa"/>
            <w:vAlign w:val="bottom"/>
          </w:tcPr>
          <w:p>
            <w:pPr>
              <w:spacing w:after="0"/>
              <w:rPr>
                <w:sz w:val="17"/>
                <w:szCs w:val="17"/>
                <w:color w:val="auto"/>
              </w:rPr>
            </w:pPr>
          </w:p>
        </w:tc>
        <w:tc>
          <w:tcPr>
            <w:tcW w:w="12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686,000</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77,000</w:t>
            </w:r>
          </w:p>
        </w:tc>
      </w:tr>
      <w:tr>
        <w:trPr>
          <w:trHeight w:val="196"/>
        </w:trPr>
        <w:tc>
          <w:tcPr>
            <w:tcW w:w="6900" w:type="dxa"/>
            <w:vAlign w:val="bottom"/>
          </w:tcPr>
          <w:p>
            <w:pPr>
              <w:ind w:left="520"/>
              <w:spacing w:after="0"/>
              <w:rPr>
                <w:sz w:val="20"/>
                <w:szCs w:val="20"/>
                <w:color w:val="auto"/>
              </w:rPr>
            </w:pPr>
            <w:r>
              <w:rPr>
                <w:rFonts w:ascii="Courier New" w:cs="Courier New" w:eastAsia="Courier New" w:hAnsi="Courier New"/>
                <w:sz w:val="17"/>
                <w:szCs w:val="17"/>
                <w:color w:val="auto"/>
              </w:rPr>
              <w:t>Other</w:t>
            </w:r>
          </w:p>
        </w:tc>
        <w:tc>
          <w:tcPr>
            <w:tcW w:w="460" w:type="dxa"/>
            <w:vAlign w:val="bottom"/>
          </w:tcPr>
          <w:p>
            <w:pPr>
              <w:spacing w:after="0"/>
              <w:rPr>
                <w:sz w:val="17"/>
                <w:szCs w:val="17"/>
                <w:color w:val="auto"/>
              </w:rPr>
            </w:pPr>
          </w:p>
        </w:tc>
        <w:tc>
          <w:tcPr>
            <w:tcW w:w="12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2,292,000</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1,322,000</w:t>
            </w:r>
          </w:p>
        </w:tc>
      </w:tr>
      <w:tr>
        <w:trPr>
          <w:trHeight w:val="196"/>
        </w:trPr>
        <w:tc>
          <w:tcPr>
            <w:tcW w:w="6900" w:type="dxa"/>
            <w:vAlign w:val="bottom"/>
          </w:tcPr>
          <w:p>
            <w:pPr>
              <w:spacing w:after="0"/>
              <w:rPr>
                <w:sz w:val="17"/>
                <w:szCs w:val="17"/>
                <w:color w:val="auto"/>
              </w:rPr>
            </w:pPr>
          </w:p>
        </w:tc>
        <w:tc>
          <w:tcPr>
            <w:tcW w:w="17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6,167,000</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3,152,000</w:t>
            </w:r>
          </w:p>
        </w:tc>
      </w:tr>
      <w:tr>
        <w:trPr>
          <w:trHeight w:val="196"/>
        </w:trPr>
        <w:tc>
          <w:tcPr>
            <w:tcW w:w="6900" w:type="dxa"/>
            <w:vAlign w:val="bottom"/>
          </w:tcPr>
          <w:p>
            <w:pPr>
              <w:spacing w:after="0"/>
              <w:rPr>
                <w:sz w:val="17"/>
                <w:szCs w:val="17"/>
                <w:color w:val="auto"/>
              </w:rPr>
            </w:pPr>
          </w:p>
        </w:tc>
        <w:tc>
          <w:tcPr>
            <w:tcW w:w="17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900" w:type="dxa"/>
            <w:vAlign w:val="bottom"/>
          </w:tcPr>
          <w:p>
            <w:pPr>
              <w:ind w:left="520"/>
              <w:spacing w:after="0"/>
              <w:rPr>
                <w:sz w:val="20"/>
                <w:szCs w:val="20"/>
                <w:color w:val="auto"/>
              </w:rPr>
            </w:pPr>
            <w:r>
              <w:rPr>
                <w:rFonts w:ascii="Courier New" w:cs="Courier New" w:eastAsia="Courier New" w:hAnsi="Courier New"/>
                <w:sz w:val="17"/>
                <w:szCs w:val="17"/>
                <w:color w:val="auto"/>
              </w:rPr>
              <w:t>Income from operations</w:t>
            </w:r>
          </w:p>
        </w:tc>
        <w:tc>
          <w:tcPr>
            <w:tcW w:w="460" w:type="dxa"/>
            <w:vAlign w:val="bottom"/>
          </w:tcPr>
          <w:p>
            <w:pPr>
              <w:spacing w:after="0"/>
              <w:rPr>
                <w:sz w:val="24"/>
                <w:szCs w:val="24"/>
                <w:color w:val="auto"/>
              </w:rPr>
            </w:pPr>
          </w:p>
        </w:tc>
        <w:tc>
          <w:tcPr>
            <w:tcW w:w="12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3,744,000</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2,579,000</w:t>
            </w:r>
          </w:p>
        </w:tc>
      </w:tr>
      <w:tr>
        <w:trPr>
          <w:trHeight w:val="392"/>
        </w:trPr>
        <w:tc>
          <w:tcPr>
            <w:tcW w:w="6900" w:type="dxa"/>
            <w:vAlign w:val="bottom"/>
          </w:tcPr>
          <w:p>
            <w:pPr>
              <w:spacing w:after="0"/>
              <w:rPr>
                <w:sz w:val="20"/>
                <w:szCs w:val="20"/>
                <w:color w:val="auto"/>
              </w:rPr>
            </w:pPr>
            <w:r>
              <w:rPr>
                <w:rFonts w:ascii="Courier New" w:cs="Courier New" w:eastAsia="Courier New" w:hAnsi="Courier New"/>
                <w:sz w:val="17"/>
                <w:szCs w:val="17"/>
                <w:color w:val="auto"/>
              </w:rPr>
              <w:t>Other income, net</w:t>
            </w:r>
          </w:p>
        </w:tc>
        <w:tc>
          <w:tcPr>
            <w:tcW w:w="460" w:type="dxa"/>
            <w:vAlign w:val="bottom"/>
          </w:tcPr>
          <w:p>
            <w:pPr>
              <w:spacing w:after="0"/>
              <w:rPr>
                <w:sz w:val="24"/>
                <w:szCs w:val="24"/>
                <w:color w:val="auto"/>
              </w:rPr>
            </w:pPr>
          </w:p>
        </w:tc>
        <w:tc>
          <w:tcPr>
            <w:tcW w:w="12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438,000</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242,000</w:t>
            </w:r>
          </w:p>
        </w:tc>
      </w:tr>
      <w:tr>
        <w:trPr>
          <w:trHeight w:val="196"/>
        </w:trPr>
        <w:tc>
          <w:tcPr>
            <w:tcW w:w="6900" w:type="dxa"/>
            <w:vAlign w:val="bottom"/>
          </w:tcPr>
          <w:p>
            <w:pPr>
              <w:spacing w:after="0"/>
              <w:rPr>
                <w:sz w:val="17"/>
                <w:szCs w:val="17"/>
                <w:color w:val="auto"/>
              </w:rPr>
            </w:pPr>
          </w:p>
        </w:tc>
        <w:tc>
          <w:tcPr>
            <w:tcW w:w="17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900" w:type="dxa"/>
            <w:vAlign w:val="bottom"/>
          </w:tcPr>
          <w:p>
            <w:pPr>
              <w:ind w:left="520"/>
              <w:spacing w:after="0"/>
              <w:rPr>
                <w:sz w:val="20"/>
                <w:szCs w:val="20"/>
                <w:color w:val="auto"/>
              </w:rPr>
            </w:pPr>
            <w:r>
              <w:rPr>
                <w:rFonts w:ascii="Courier New" w:cs="Courier New" w:eastAsia="Courier New" w:hAnsi="Courier New"/>
                <w:sz w:val="17"/>
                <w:szCs w:val="17"/>
                <w:color w:val="auto"/>
              </w:rPr>
              <w:t>Income before income taxes</w:t>
            </w:r>
          </w:p>
        </w:tc>
        <w:tc>
          <w:tcPr>
            <w:tcW w:w="460" w:type="dxa"/>
            <w:vAlign w:val="bottom"/>
          </w:tcPr>
          <w:p>
            <w:pPr>
              <w:spacing w:after="0"/>
              <w:rPr>
                <w:sz w:val="24"/>
                <w:szCs w:val="24"/>
                <w:color w:val="auto"/>
              </w:rPr>
            </w:pPr>
          </w:p>
        </w:tc>
        <w:tc>
          <w:tcPr>
            <w:tcW w:w="12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4,182,000</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2,821,000</w:t>
            </w:r>
          </w:p>
        </w:tc>
      </w:tr>
      <w:tr>
        <w:trPr>
          <w:trHeight w:val="392"/>
        </w:trPr>
        <w:tc>
          <w:tcPr>
            <w:tcW w:w="690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460" w:type="dxa"/>
            <w:vAlign w:val="bottom"/>
          </w:tcPr>
          <w:p>
            <w:pPr>
              <w:spacing w:after="0"/>
              <w:rPr>
                <w:sz w:val="24"/>
                <w:szCs w:val="24"/>
                <w:color w:val="auto"/>
              </w:rPr>
            </w:pPr>
          </w:p>
        </w:tc>
        <w:tc>
          <w:tcPr>
            <w:tcW w:w="12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1,527,000</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1,061,000</w:t>
            </w:r>
          </w:p>
        </w:tc>
      </w:tr>
      <w:tr>
        <w:trPr>
          <w:trHeight w:val="196"/>
        </w:trPr>
        <w:tc>
          <w:tcPr>
            <w:tcW w:w="6900" w:type="dxa"/>
            <w:vAlign w:val="bottom"/>
          </w:tcPr>
          <w:p>
            <w:pPr>
              <w:spacing w:after="0"/>
              <w:rPr>
                <w:sz w:val="17"/>
                <w:szCs w:val="17"/>
                <w:color w:val="auto"/>
              </w:rPr>
            </w:pPr>
          </w:p>
        </w:tc>
        <w:tc>
          <w:tcPr>
            <w:tcW w:w="17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90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2,655,000</w:t>
            </w: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$ 1,760,000</w:t>
            </w:r>
          </w:p>
        </w:tc>
      </w:tr>
      <w:tr>
        <w:trPr>
          <w:trHeight w:val="196"/>
        </w:trPr>
        <w:tc>
          <w:tcPr>
            <w:tcW w:w="6900" w:type="dxa"/>
            <w:vAlign w:val="bottom"/>
          </w:tcPr>
          <w:p>
            <w:pPr>
              <w:spacing w:after="0"/>
              <w:rPr>
                <w:sz w:val="17"/>
                <w:szCs w:val="17"/>
                <w:color w:val="auto"/>
              </w:rPr>
            </w:pPr>
          </w:p>
        </w:tc>
        <w:tc>
          <w:tcPr>
            <w:tcW w:w="17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89"/>
        </w:trPr>
        <w:tc>
          <w:tcPr>
            <w:tcW w:w="6900" w:type="dxa"/>
            <w:vAlign w:val="bottom"/>
          </w:tcPr>
          <w:p>
            <w:pPr>
              <w:spacing w:after="0"/>
              <w:rPr>
                <w:sz w:val="20"/>
                <w:szCs w:val="20"/>
                <w:color w:val="auto"/>
              </w:rPr>
            </w:pPr>
            <w:r>
              <w:rPr>
                <w:rFonts w:ascii="Courier New" w:cs="Courier New" w:eastAsia="Courier New" w:hAnsi="Courier New"/>
                <w:sz w:val="17"/>
                <w:szCs w:val="17"/>
                <w:color w:val="auto"/>
              </w:rPr>
              <w:t>Net income per share</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.24</w:t>
            </w:r>
          </w:p>
        </w:tc>
      </w:tr>
      <w:tr>
        <w:trPr>
          <w:trHeight w:val="196"/>
        </w:trPr>
        <w:tc>
          <w:tcPr>
            <w:tcW w:w="6900" w:type="dxa"/>
            <w:vAlign w:val="bottom"/>
          </w:tcPr>
          <w:p>
            <w:pPr>
              <w:spacing w:after="0"/>
              <w:rPr>
                <w:sz w:val="17"/>
                <w:szCs w:val="17"/>
                <w:color w:val="auto"/>
              </w:rPr>
            </w:pPr>
          </w:p>
        </w:tc>
        <w:tc>
          <w:tcPr>
            <w:tcW w:w="17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89"/>
        </w:trPr>
        <w:tc>
          <w:tcPr>
            <w:tcW w:w="6900" w:type="dxa"/>
            <w:vAlign w:val="bottom"/>
          </w:tcPr>
          <w:p>
            <w:pPr>
              <w:spacing w:after="0"/>
              <w:rPr>
                <w:sz w:val="20"/>
                <w:szCs w:val="20"/>
                <w:color w:val="auto"/>
              </w:rPr>
            </w:pPr>
            <w:r>
              <w:rPr>
                <w:rFonts w:ascii="Courier New" w:cs="Courier New" w:eastAsia="Courier New" w:hAnsi="Courier New"/>
                <w:sz w:val="17"/>
                <w:szCs w:val="17"/>
                <w:color w:val="auto"/>
              </w:rPr>
              <w:t>Weighted average shares outstanding</w:t>
            </w:r>
          </w:p>
        </w:tc>
        <w:tc>
          <w:tcPr>
            <w:tcW w:w="460" w:type="dxa"/>
            <w:vAlign w:val="bottom"/>
          </w:tcPr>
          <w:p>
            <w:pPr>
              <w:spacing w:after="0"/>
              <w:rPr>
                <w:sz w:val="24"/>
                <w:szCs w:val="24"/>
                <w:color w:val="auto"/>
              </w:rPr>
            </w:pPr>
          </w:p>
        </w:tc>
        <w:tc>
          <w:tcPr>
            <w:tcW w:w="12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8,076,000</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7,200,000</w:t>
            </w:r>
          </w:p>
        </w:tc>
      </w:tr>
      <w:tr>
        <w:trPr>
          <w:trHeight w:val="196"/>
        </w:trPr>
        <w:tc>
          <w:tcPr>
            <w:tcW w:w="6900" w:type="dxa"/>
            <w:vAlign w:val="bottom"/>
          </w:tcPr>
          <w:p>
            <w:pPr>
              <w:spacing w:after="0"/>
              <w:rPr>
                <w:sz w:val="17"/>
                <w:szCs w:val="17"/>
                <w:color w:val="auto"/>
              </w:rPr>
            </w:pPr>
          </w:p>
        </w:tc>
        <w:tc>
          <w:tcPr>
            <w:tcW w:w="17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The accompanying notes to the consolidated financial statements are an integral</w:t>
      </w:r>
    </w:p>
    <w:p>
      <w:pPr>
        <w:spacing w:after="0" w:line="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part of these consolidated statements (unaudited).</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Page 6 of 19</w:t>
      </w:r>
    </w:p>
    <w:p>
      <w:pPr>
        <w:sectPr>
          <w:pgSz w:w="11900" w:h="16838" w:orient="portrait"/>
          <w:cols w:equalWidth="0" w:num="1">
            <w:col w:w="10219"/>
          </w:cols>
          <w:pgMar w:left="240" w:top="1096"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3"/>
        </w:trPr>
        <w:tc>
          <w:tcPr>
            <w:tcW w:w="7500" w:type="dxa"/>
            <w:vAlign w:val="bottom"/>
          </w:tcPr>
          <w:p>
            <w:pPr>
              <w:ind w:left="1640"/>
              <w:spacing w:after="0"/>
              <w:rPr>
                <w:sz w:val="20"/>
                <w:szCs w:val="20"/>
                <w:color w:val="auto"/>
              </w:rPr>
            </w:pPr>
            <w:r>
              <w:rPr>
                <w:rFonts w:ascii="Courier New" w:cs="Courier New" w:eastAsia="Courier New" w:hAnsi="Courier New"/>
                <w:sz w:val="17"/>
                <w:szCs w:val="17"/>
                <w:color w:val="auto"/>
              </w:rPr>
              <w:t>WORLD FUEL SERVICES CORPORATION AND SUBSIDIARIES</w:t>
            </w:r>
          </w:p>
        </w:tc>
        <w:tc>
          <w:tcPr>
            <w:tcW w:w="21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92"/>
        </w:trPr>
        <w:tc>
          <w:tcPr>
            <w:tcW w:w="7500" w:type="dxa"/>
            <w:vAlign w:val="bottom"/>
          </w:tcPr>
          <w:p>
            <w:pPr>
              <w:ind w:left="2240"/>
              <w:spacing w:after="0"/>
              <w:rPr>
                <w:sz w:val="20"/>
                <w:szCs w:val="20"/>
                <w:color w:val="auto"/>
              </w:rPr>
            </w:pPr>
            <w:r>
              <w:rPr>
                <w:rFonts w:ascii="Courier New" w:cs="Courier New" w:eastAsia="Courier New" w:hAnsi="Courier New"/>
                <w:sz w:val="17"/>
                <w:szCs w:val="17"/>
                <w:color w:val="auto"/>
              </w:rPr>
              <w:t>CONSOLIDATED STATEMENTS OF CASH FLOWS</w:t>
            </w: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2"/>
        </w:trPr>
        <w:tc>
          <w:tcPr>
            <w:tcW w:w="7500" w:type="dxa"/>
            <w:vAlign w:val="bottom"/>
          </w:tcPr>
          <w:p>
            <w:pPr>
              <w:ind w:left="3580"/>
              <w:spacing w:after="0"/>
              <w:rPr>
                <w:sz w:val="20"/>
                <w:szCs w:val="20"/>
                <w:color w:val="auto"/>
              </w:rPr>
            </w:pPr>
            <w:r>
              <w:rPr>
                <w:rFonts w:ascii="Courier New" w:cs="Courier New" w:eastAsia="Courier New" w:hAnsi="Courier New"/>
                <w:sz w:val="17"/>
                <w:szCs w:val="17"/>
                <w:color w:val="auto"/>
              </w:rPr>
              <w:t>(UNAUDITED)</w:t>
            </w: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2"/>
        </w:trPr>
        <w:tc>
          <w:tcPr>
            <w:tcW w:w="7500" w:type="dxa"/>
            <w:vAlign w:val="bottom"/>
          </w:tcPr>
          <w:p>
            <w:pPr>
              <w:spacing w:after="0"/>
              <w:rPr>
                <w:sz w:val="24"/>
                <w:szCs w:val="24"/>
                <w:color w:val="auto"/>
              </w:rPr>
            </w:pPr>
          </w:p>
        </w:tc>
        <w:tc>
          <w:tcPr>
            <w:tcW w:w="3420" w:type="dxa"/>
            <w:vAlign w:val="bottom"/>
            <w:gridSpan w:val="2"/>
          </w:tcPr>
          <w:p>
            <w:pPr>
              <w:jc w:val="right"/>
              <w:ind w:right="535"/>
              <w:spacing w:after="0"/>
              <w:rPr>
                <w:sz w:val="20"/>
                <w:szCs w:val="20"/>
                <w:color w:val="auto"/>
              </w:rPr>
            </w:pPr>
            <w:r>
              <w:rPr>
                <w:rFonts w:ascii="Courier New" w:cs="Courier New" w:eastAsia="Courier New" w:hAnsi="Courier New"/>
                <w:sz w:val="17"/>
                <w:szCs w:val="17"/>
                <w:color w:val="auto"/>
              </w:rPr>
              <w:t>SIX MONTHS ENDED</w:t>
            </w:r>
          </w:p>
        </w:tc>
      </w:tr>
      <w:tr>
        <w:trPr>
          <w:trHeight w:val="196"/>
        </w:trPr>
        <w:tc>
          <w:tcPr>
            <w:tcW w:w="7500" w:type="dxa"/>
            <w:vAlign w:val="bottom"/>
          </w:tcPr>
          <w:p>
            <w:pPr>
              <w:spacing w:after="0"/>
              <w:rPr>
                <w:sz w:val="17"/>
                <w:szCs w:val="17"/>
                <w:color w:val="auto"/>
              </w:rPr>
            </w:pPr>
          </w:p>
        </w:tc>
        <w:tc>
          <w:tcPr>
            <w:tcW w:w="3420" w:type="dxa"/>
            <w:vAlign w:val="bottom"/>
            <w:gridSpan w:val="2"/>
          </w:tcPr>
          <w:p>
            <w:pPr>
              <w:jc w:val="right"/>
              <w:ind w:right="635"/>
              <w:spacing w:after="0"/>
              <w:rPr>
                <w:sz w:val="20"/>
                <w:szCs w:val="20"/>
                <w:color w:val="auto"/>
              </w:rPr>
            </w:pPr>
            <w:r>
              <w:rPr>
                <w:rFonts w:ascii="Courier New" w:cs="Courier New" w:eastAsia="Courier New" w:hAnsi="Courier New"/>
                <w:sz w:val="17"/>
                <w:szCs w:val="17"/>
                <w:color w:val="auto"/>
              </w:rPr>
              <w:t>SEPTEMBER 30,</w:t>
            </w:r>
          </w:p>
        </w:tc>
      </w:tr>
      <w:tr>
        <w:trPr>
          <w:trHeight w:val="196"/>
        </w:trPr>
        <w:tc>
          <w:tcPr>
            <w:tcW w:w="7500" w:type="dxa"/>
            <w:vAlign w:val="bottom"/>
          </w:tcPr>
          <w:p>
            <w:pPr>
              <w:spacing w:after="0"/>
              <w:rPr>
                <w:sz w:val="17"/>
                <w:szCs w:val="17"/>
                <w:color w:val="auto"/>
              </w:rPr>
            </w:pPr>
          </w:p>
        </w:tc>
        <w:tc>
          <w:tcPr>
            <w:tcW w:w="34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7500" w:type="dxa"/>
            <w:vAlign w:val="bottom"/>
          </w:tcPr>
          <w:p>
            <w:pPr>
              <w:spacing w:after="0"/>
              <w:rPr>
                <w:sz w:val="17"/>
                <w:szCs w:val="17"/>
                <w:color w:val="auto"/>
              </w:rPr>
            </w:pPr>
          </w:p>
        </w:tc>
        <w:tc>
          <w:tcPr>
            <w:tcW w:w="21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1995</w:t>
            </w:r>
          </w:p>
        </w:tc>
        <w:tc>
          <w:tcPr>
            <w:tcW w:w="12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1994</w:t>
            </w:r>
          </w:p>
        </w:tc>
      </w:tr>
      <w:tr>
        <w:trPr>
          <w:trHeight w:val="196"/>
        </w:trPr>
        <w:tc>
          <w:tcPr>
            <w:tcW w:w="7500" w:type="dxa"/>
            <w:vAlign w:val="bottom"/>
          </w:tcPr>
          <w:p>
            <w:pPr>
              <w:spacing w:after="0"/>
              <w:rPr>
                <w:sz w:val="17"/>
                <w:szCs w:val="17"/>
                <w:color w:val="auto"/>
              </w:rPr>
            </w:pPr>
          </w:p>
        </w:tc>
        <w:tc>
          <w:tcPr>
            <w:tcW w:w="21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750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7500" w:type="dxa"/>
            <w:vAlign w:val="bottom"/>
          </w:tcPr>
          <w:p>
            <w:pPr>
              <w:ind w:left="200"/>
              <w:spacing w:after="0"/>
              <w:rPr>
                <w:sz w:val="20"/>
                <w:szCs w:val="20"/>
                <w:color w:val="auto"/>
              </w:rPr>
            </w:pPr>
            <w:r>
              <w:rPr>
                <w:rFonts w:ascii="Courier New" w:cs="Courier New" w:eastAsia="Courier New" w:hAnsi="Courier New"/>
                <w:sz w:val="17"/>
                <w:szCs w:val="17"/>
                <w:color w:val="auto"/>
              </w:rPr>
              <w:t>Net income</w:t>
            </w:r>
          </w:p>
        </w:tc>
        <w:tc>
          <w:tcPr>
            <w:tcW w:w="21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$5,200,000</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$3,704,000</w:t>
            </w:r>
          </w:p>
        </w:tc>
      </w:tr>
      <w:tr>
        <w:trPr>
          <w:trHeight w:val="196"/>
        </w:trPr>
        <w:tc>
          <w:tcPr>
            <w:tcW w:w="7500" w:type="dxa"/>
            <w:vAlign w:val="bottom"/>
          </w:tcPr>
          <w:p>
            <w:pPr>
              <w:spacing w:after="0"/>
              <w:rPr>
                <w:sz w:val="17"/>
                <w:szCs w:val="17"/>
                <w:color w:val="auto"/>
              </w:rPr>
            </w:pPr>
          </w:p>
        </w:tc>
        <w:tc>
          <w:tcPr>
            <w:tcW w:w="21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7500" w:type="dxa"/>
            <w:vAlign w:val="bottom"/>
          </w:tcPr>
          <w:p>
            <w:pPr>
              <w:ind w:left="200"/>
              <w:spacing w:after="0"/>
              <w:rPr>
                <w:sz w:val="20"/>
                <w:szCs w:val="20"/>
                <w:color w:val="auto"/>
              </w:rPr>
            </w:pPr>
            <w:r>
              <w:rPr>
                <w:rFonts w:ascii="Courier New" w:cs="Courier New" w:eastAsia="Courier New" w:hAnsi="Courier New"/>
                <w:sz w:val="17"/>
                <w:szCs w:val="17"/>
                <w:color w:val="auto"/>
              </w:rPr>
              <w:t>Adjustments to reconcile net</w:t>
            </w:r>
          </w:p>
        </w:tc>
        <w:tc>
          <w:tcPr>
            <w:tcW w:w="2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500" w:type="dxa"/>
            <w:vAlign w:val="bottom"/>
          </w:tcPr>
          <w:p>
            <w:pPr>
              <w:ind w:left="420"/>
              <w:spacing w:after="0"/>
              <w:rPr>
                <w:sz w:val="20"/>
                <w:szCs w:val="20"/>
                <w:color w:val="auto"/>
              </w:rPr>
            </w:pPr>
            <w:r>
              <w:rPr>
                <w:rFonts w:ascii="Courier New" w:cs="Courier New" w:eastAsia="Courier New" w:hAnsi="Courier New"/>
                <w:sz w:val="17"/>
                <w:szCs w:val="17"/>
                <w:color w:val="auto"/>
              </w:rPr>
              <w:t>income to net cash provided by</w:t>
            </w:r>
          </w:p>
        </w:tc>
        <w:tc>
          <w:tcPr>
            <w:tcW w:w="2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500" w:type="dxa"/>
            <w:vAlign w:val="bottom"/>
          </w:tcPr>
          <w:p>
            <w:pPr>
              <w:ind w:left="420"/>
              <w:spacing w:after="0"/>
              <w:rPr>
                <w:sz w:val="20"/>
                <w:szCs w:val="20"/>
                <w:color w:val="auto"/>
              </w:rPr>
            </w:pPr>
            <w:r>
              <w:rPr>
                <w:rFonts w:ascii="Courier New" w:cs="Courier New" w:eastAsia="Courier New" w:hAnsi="Courier New"/>
                <w:sz w:val="17"/>
                <w:szCs w:val="17"/>
                <w:color w:val="auto"/>
              </w:rPr>
              <w:t>operating activities-</w:t>
            </w:r>
          </w:p>
        </w:tc>
        <w:tc>
          <w:tcPr>
            <w:tcW w:w="2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500" w:type="dxa"/>
            <w:vAlign w:val="bottom"/>
          </w:tcPr>
          <w:p>
            <w:pPr>
              <w:ind w:left="620"/>
              <w:spacing w:after="0"/>
              <w:rPr>
                <w:sz w:val="20"/>
                <w:szCs w:val="20"/>
                <w:color w:val="auto"/>
              </w:rPr>
            </w:pPr>
            <w:r>
              <w:rPr>
                <w:rFonts w:ascii="Courier New" w:cs="Courier New" w:eastAsia="Courier New" w:hAnsi="Courier New"/>
                <w:sz w:val="17"/>
                <w:szCs w:val="17"/>
                <w:color w:val="auto"/>
              </w:rPr>
              <w:t>Depreciation and amortization</w:t>
            </w:r>
          </w:p>
        </w:tc>
        <w:tc>
          <w:tcPr>
            <w:tcW w:w="21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816,000</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610,000</w:t>
            </w:r>
          </w:p>
        </w:tc>
      </w:tr>
      <w:tr>
        <w:trPr>
          <w:trHeight w:val="196"/>
        </w:trPr>
        <w:tc>
          <w:tcPr>
            <w:tcW w:w="7500" w:type="dxa"/>
            <w:vAlign w:val="bottom"/>
          </w:tcPr>
          <w:p>
            <w:pPr>
              <w:ind w:left="620"/>
              <w:spacing w:after="0"/>
              <w:rPr>
                <w:sz w:val="20"/>
                <w:szCs w:val="20"/>
                <w:color w:val="auto"/>
              </w:rPr>
            </w:pPr>
            <w:r>
              <w:rPr>
                <w:rFonts w:ascii="Courier New" w:cs="Courier New" w:eastAsia="Courier New" w:hAnsi="Courier New"/>
                <w:sz w:val="17"/>
                <w:szCs w:val="17"/>
                <w:color w:val="auto"/>
              </w:rPr>
              <w:t>Provision for bad debts</w:t>
            </w:r>
          </w:p>
        </w:tc>
        <w:tc>
          <w:tcPr>
            <w:tcW w:w="21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836,000</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1,288,000</w:t>
            </w:r>
          </w:p>
        </w:tc>
      </w:tr>
      <w:tr>
        <w:trPr>
          <w:trHeight w:val="196"/>
        </w:trPr>
        <w:tc>
          <w:tcPr>
            <w:tcW w:w="7500" w:type="dxa"/>
            <w:vAlign w:val="bottom"/>
          </w:tcPr>
          <w:p>
            <w:pPr>
              <w:ind w:left="620"/>
              <w:spacing w:after="0"/>
              <w:rPr>
                <w:sz w:val="20"/>
                <w:szCs w:val="20"/>
                <w:color w:val="auto"/>
              </w:rPr>
            </w:pPr>
            <w:r>
              <w:rPr>
                <w:rFonts w:ascii="Courier New" w:cs="Courier New" w:eastAsia="Courier New" w:hAnsi="Courier New"/>
                <w:sz w:val="17"/>
                <w:szCs w:val="17"/>
                <w:color w:val="auto"/>
              </w:rPr>
              <w:t>Deferred income taxes</w:t>
            </w:r>
          </w:p>
        </w:tc>
        <w:tc>
          <w:tcPr>
            <w:tcW w:w="21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559,000</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573,000</w:t>
            </w:r>
          </w:p>
        </w:tc>
      </w:tr>
      <w:tr>
        <w:trPr>
          <w:trHeight w:val="196"/>
        </w:trPr>
        <w:tc>
          <w:tcPr>
            <w:tcW w:w="7500" w:type="dxa"/>
            <w:vAlign w:val="bottom"/>
          </w:tcPr>
          <w:p>
            <w:pPr>
              <w:ind w:left="620"/>
              <w:spacing w:after="0"/>
              <w:rPr>
                <w:sz w:val="20"/>
                <w:szCs w:val="20"/>
                <w:color w:val="auto"/>
              </w:rPr>
            </w:pPr>
            <w:r>
              <w:rPr>
                <w:rFonts w:ascii="Courier New" w:cs="Courier New" w:eastAsia="Courier New" w:hAnsi="Courier New"/>
                <w:sz w:val="17"/>
                <w:szCs w:val="17"/>
                <w:color w:val="auto"/>
              </w:rPr>
              <w:t>Equity in earnings of joint venture</w:t>
            </w:r>
          </w:p>
        </w:tc>
        <w:tc>
          <w:tcPr>
            <w:tcW w:w="2140" w:type="dxa"/>
            <w:vAlign w:val="bottom"/>
          </w:tcPr>
          <w:p>
            <w:pPr>
              <w:jc w:val="right"/>
              <w:spacing w:after="0"/>
              <w:rPr>
                <w:sz w:val="20"/>
                <w:szCs w:val="20"/>
                <w:color w:val="auto"/>
              </w:rPr>
            </w:pPr>
            <w:r>
              <w:rPr>
                <w:rFonts w:ascii="Courier New" w:cs="Courier New" w:eastAsia="Courier New" w:hAnsi="Courier New"/>
                <w:sz w:val="17"/>
                <w:szCs w:val="17"/>
                <w:color w:val="auto"/>
              </w:rPr>
              <w:t>(856,000)</w:t>
            </w:r>
          </w:p>
        </w:tc>
        <w:tc>
          <w:tcPr>
            <w:tcW w:w="12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r>
      <w:tr>
        <w:trPr>
          <w:trHeight w:val="196"/>
        </w:trPr>
        <w:tc>
          <w:tcPr>
            <w:tcW w:w="7500" w:type="dxa"/>
            <w:vAlign w:val="bottom"/>
          </w:tcPr>
          <w:p>
            <w:pPr>
              <w:ind w:left="620"/>
              <w:spacing w:after="0"/>
              <w:rPr>
                <w:sz w:val="20"/>
                <w:szCs w:val="20"/>
                <w:color w:val="auto"/>
              </w:rPr>
            </w:pPr>
            <w:r>
              <w:rPr>
                <w:rFonts w:ascii="Courier New" w:cs="Courier New" w:eastAsia="Courier New" w:hAnsi="Courier New"/>
                <w:sz w:val="17"/>
                <w:szCs w:val="17"/>
                <w:color w:val="auto"/>
              </w:rPr>
              <w:t>Other non-cash operating charges</w:t>
            </w:r>
          </w:p>
        </w:tc>
        <w:tc>
          <w:tcPr>
            <w:tcW w:w="21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30,000</w:t>
            </w:r>
          </w:p>
        </w:tc>
        <w:tc>
          <w:tcPr>
            <w:tcW w:w="12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r>
      <w:tr>
        <w:trPr>
          <w:trHeight w:val="196"/>
        </w:trPr>
        <w:tc>
          <w:tcPr>
            <w:tcW w:w="7500" w:type="dxa"/>
            <w:vAlign w:val="bottom"/>
          </w:tcPr>
          <w:p>
            <w:pPr>
              <w:ind w:left="620"/>
              <w:spacing w:after="0"/>
              <w:rPr>
                <w:sz w:val="20"/>
                <w:szCs w:val="20"/>
                <w:color w:val="auto"/>
              </w:rPr>
            </w:pPr>
            <w:r>
              <w:rPr>
                <w:rFonts w:ascii="Courier New" w:cs="Courier New" w:eastAsia="Courier New" w:hAnsi="Courier New"/>
                <w:sz w:val="17"/>
                <w:szCs w:val="17"/>
                <w:color w:val="auto"/>
              </w:rPr>
              <w:t>Changes in assets and liabilities,</w:t>
            </w:r>
          </w:p>
        </w:tc>
        <w:tc>
          <w:tcPr>
            <w:tcW w:w="2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500" w:type="dxa"/>
            <w:vAlign w:val="bottom"/>
          </w:tcPr>
          <w:p>
            <w:pPr>
              <w:ind w:left="820"/>
              <w:spacing w:after="0"/>
              <w:rPr>
                <w:sz w:val="20"/>
                <w:szCs w:val="20"/>
                <w:color w:val="auto"/>
              </w:rPr>
            </w:pPr>
            <w:r>
              <w:rPr>
                <w:rFonts w:ascii="Courier New" w:cs="Courier New" w:eastAsia="Courier New" w:hAnsi="Courier New"/>
                <w:sz w:val="17"/>
                <w:szCs w:val="17"/>
                <w:color w:val="auto"/>
              </w:rPr>
              <w:t>net of assets sold and liabilities</w:t>
            </w:r>
          </w:p>
        </w:tc>
        <w:tc>
          <w:tcPr>
            <w:tcW w:w="2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500" w:type="dxa"/>
            <w:vAlign w:val="bottom"/>
          </w:tcPr>
          <w:p>
            <w:pPr>
              <w:ind w:left="820"/>
              <w:spacing w:after="0"/>
              <w:rPr>
                <w:sz w:val="20"/>
                <w:szCs w:val="20"/>
                <w:color w:val="auto"/>
              </w:rPr>
            </w:pPr>
            <w:r>
              <w:rPr>
                <w:rFonts w:ascii="Courier New" w:cs="Courier New" w:eastAsia="Courier New" w:hAnsi="Courier New"/>
                <w:sz w:val="17"/>
                <w:szCs w:val="17"/>
                <w:color w:val="auto"/>
              </w:rPr>
              <w:t>transferred:</w:t>
            </w:r>
          </w:p>
        </w:tc>
        <w:tc>
          <w:tcPr>
            <w:tcW w:w="2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500" w:type="dxa"/>
            <w:vAlign w:val="bottom"/>
          </w:tcPr>
          <w:p>
            <w:pPr>
              <w:ind w:left="820"/>
              <w:spacing w:after="0"/>
              <w:rPr>
                <w:sz w:val="20"/>
                <w:szCs w:val="20"/>
                <w:color w:val="auto"/>
              </w:rPr>
            </w:pPr>
            <w:r>
              <w:rPr>
                <w:rFonts w:ascii="Courier New" w:cs="Courier New" w:eastAsia="Courier New" w:hAnsi="Courier New"/>
                <w:sz w:val="17"/>
                <w:szCs w:val="17"/>
                <w:color w:val="auto"/>
              </w:rPr>
              <w:t>(Increase) decrease in-</w:t>
            </w:r>
          </w:p>
        </w:tc>
        <w:tc>
          <w:tcPr>
            <w:tcW w:w="2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500" w:type="dxa"/>
            <w:vAlign w:val="bottom"/>
          </w:tcPr>
          <w:p>
            <w:pPr>
              <w:ind w:left="1120"/>
              <w:spacing w:after="0"/>
              <w:rPr>
                <w:sz w:val="20"/>
                <w:szCs w:val="20"/>
                <w:color w:val="auto"/>
              </w:rPr>
            </w:pPr>
            <w:r>
              <w:rPr>
                <w:rFonts w:ascii="Courier New" w:cs="Courier New" w:eastAsia="Courier New" w:hAnsi="Courier New"/>
                <w:sz w:val="17"/>
                <w:szCs w:val="17"/>
                <w:color w:val="auto"/>
              </w:rPr>
              <w:t>Accounts receivable</w:t>
            </w:r>
          </w:p>
        </w:tc>
        <w:tc>
          <w:tcPr>
            <w:tcW w:w="2140" w:type="dxa"/>
            <w:vAlign w:val="bottom"/>
          </w:tcPr>
          <w:p>
            <w:pPr>
              <w:jc w:val="right"/>
              <w:spacing w:after="0"/>
              <w:rPr>
                <w:sz w:val="20"/>
                <w:szCs w:val="20"/>
                <w:color w:val="auto"/>
              </w:rPr>
            </w:pPr>
            <w:r>
              <w:rPr>
                <w:rFonts w:ascii="Courier New" w:cs="Courier New" w:eastAsia="Courier New" w:hAnsi="Courier New"/>
                <w:sz w:val="17"/>
                <w:szCs w:val="17"/>
                <w:color w:val="auto"/>
              </w:rPr>
              <w:t>(7,590,000)</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243,000</w:t>
            </w:r>
          </w:p>
        </w:tc>
      </w:tr>
      <w:tr>
        <w:trPr>
          <w:trHeight w:val="196"/>
        </w:trPr>
        <w:tc>
          <w:tcPr>
            <w:tcW w:w="7500" w:type="dxa"/>
            <w:vAlign w:val="bottom"/>
          </w:tcPr>
          <w:p>
            <w:pPr>
              <w:ind w:left="1120"/>
              <w:spacing w:after="0"/>
              <w:rPr>
                <w:sz w:val="20"/>
                <w:szCs w:val="20"/>
                <w:color w:val="auto"/>
              </w:rPr>
            </w:pPr>
            <w:r>
              <w:rPr>
                <w:rFonts w:ascii="Courier New" w:cs="Courier New" w:eastAsia="Courier New" w:hAnsi="Courier New"/>
                <w:sz w:val="17"/>
                <w:szCs w:val="17"/>
                <w:color w:val="auto"/>
              </w:rPr>
              <w:t>Inventories</w:t>
            </w:r>
          </w:p>
        </w:tc>
        <w:tc>
          <w:tcPr>
            <w:tcW w:w="2140" w:type="dxa"/>
            <w:vAlign w:val="bottom"/>
          </w:tcPr>
          <w:p>
            <w:pPr>
              <w:jc w:val="right"/>
              <w:spacing w:after="0"/>
              <w:rPr>
                <w:sz w:val="20"/>
                <w:szCs w:val="20"/>
                <w:color w:val="auto"/>
              </w:rPr>
            </w:pPr>
            <w:r>
              <w:rPr>
                <w:rFonts w:ascii="Courier New" w:cs="Courier New" w:eastAsia="Courier New" w:hAnsi="Courier New"/>
                <w:sz w:val="17"/>
                <w:szCs w:val="17"/>
                <w:color w:val="auto"/>
              </w:rPr>
              <w:t>(133,000)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(182,000)</w:t>
            </w:r>
          </w:p>
        </w:tc>
      </w:tr>
      <w:tr>
        <w:trPr>
          <w:trHeight w:val="196"/>
        </w:trPr>
        <w:tc>
          <w:tcPr>
            <w:tcW w:w="7500" w:type="dxa"/>
            <w:vAlign w:val="bottom"/>
          </w:tcPr>
          <w:p>
            <w:pPr>
              <w:ind w:left="1120"/>
              <w:spacing w:after="0"/>
              <w:rPr>
                <w:sz w:val="20"/>
                <w:szCs w:val="20"/>
                <w:color w:val="auto"/>
              </w:rPr>
            </w:pPr>
            <w:r>
              <w:rPr>
                <w:rFonts w:ascii="Courier New" w:cs="Courier New" w:eastAsia="Courier New" w:hAnsi="Courier New"/>
                <w:sz w:val="17"/>
                <w:szCs w:val="17"/>
                <w:color w:val="auto"/>
              </w:rPr>
              <w:t>Prepaid expenses and other</w:t>
            </w:r>
          </w:p>
        </w:tc>
        <w:tc>
          <w:tcPr>
            <w:tcW w:w="2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500" w:type="dxa"/>
            <w:vAlign w:val="bottom"/>
          </w:tcPr>
          <w:p>
            <w:pPr>
              <w:ind w:left="1440"/>
              <w:spacing w:after="0"/>
              <w:rPr>
                <w:sz w:val="20"/>
                <w:szCs w:val="20"/>
                <w:color w:val="auto"/>
              </w:rPr>
            </w:pPr>
            <w:r>
              <w:rPr>
                <w:rFonts w:ascii="Courier New" w:cs="Courier New" w:eastAsia="Courier New" w:hAnsi="Courier New"/>
                <w:sz w:val="17"/>
                <w:szCs w:val="17"/>
                <w:color w:val="auto"/>
              </w:rPr>
              <w:t>current assets</w:t>
            </w:r>
          </w:p>
        </w:tc>
        <w:tc>
          <w:tcPr>
            <w:tcW w:w="21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569,000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(101,000)</w:t>
            </w:r>
          </w:p>
        </w:tc>
      </w:tr>
      <w:tr>
        <w:trPr>
          <w:trHeight w:val="196"/>
        </w:trPr>
        <w:tc>
          <w:tcPr>
            <w:tcW w:w="7500" w:type="dxa"/>
            <w:vAlign w:val="bottom"/>
          </w:tcPr>
          <w:p>
            <w:pPr>
              <w:ind w:left="1120"/>
              <w:spacing w:after="0"/>
              <w:rPr>
                <w:sz w:val="20"/>
                <w:szCs w:val="20"/>
                <w:color w:val="auto"/>
              </w:rPr>
            </w:pPr>
            <w:r>
              <w:rPr>
                <w:rFonts w:ascii="Courier New" w:cs="Courier New" w:eastAsia="Courier New" w:hAnsi="Courier New"/>
                <w:sz w:val="17"/>
                <w:szCs w:val="17"/>
                <w:color w:val="auto"/>
              </w:rPr>
              <w:t>Other assets</w:t>
            </w:r>
          </w:p>
        </w:tc>
        <w:tc>
          <w:tcPr>
            <w:tcW w:w="2140" w:type="dxa"/>
            <w:vAlign w:val="bottom"/>
          </w:tcPr>
          <w:p>
            <w:pPr>
              <w:jc w:val="right"/>
              <w:spacing w:after="0"/>
              <w:rPr>
                <w:sz w:val="20"/>
                <w:szCs w:val="20"/>
                <w:color w:val="auto"/>
              </w:rPr>
            </w:pPr>
            <w:r>
              <w:rPr>
                <w:rFonts w:ascii="Courier New" w:cs="Courier New" w:eastAsia="Courier New" w:hAnsi="Courier New"/>
                <w:sz w:val="17"/>
                <w:szCs w:val="17"/>
                <w:color w:val="auto"/>
              </w:rPr>
              <w:t>(164,000)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(33,000)</w:t>
            </w:r>
          </w:p>
        </w:tc>
      </w:tr>
      <w:tr>
        <w:trPr>
          <w:trHeight w:val="392"/>
        </w:trPr>
        <w:tc>
          <w:tcPr>
            <w:tcW w:w="7500" w:type="dxa"/>
            <w:vAlign w:val="bottom"/>
          </w:tcPr>
          <w:p>
            <w:pPr>
              <w:ind w:left="820"/>
              <w:spacing w:after="0"/>
              <w:rPr>
                <w:sz w:val="20"/>
                <w:szCs w:val="20"/>
                <w:color w:val="auto"/>
              </w:rPr>
            </w:pPr>
            <w:r>
              <w:rPr>
                <w:rFonts w:ascii="Courier New" w:cs="Courier New" w:eastAsia="Courier New" w:hAnsi="Courier New"/>
                <w:sz w:val="17"/>
                <w:szCs w:val="17"/>
                <w:color w:val="auto"/>
              </w:rPr>
              <w:t>Increase (decrease) in-</w:t>
            </w: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7500" w:type="dxa"/>
            <w:vAlign w:val="bottom"/>
          </w:tcPr>
          <w:p>
            <w:pPr>
              <w:ind w:left="1120"/>
              <w:spacing w:after="0"/>
              <w:rPr>
                <w:sz w:val="20"/>
                <w:szCs w:val="20"/>
                <w:color w:val="auto"/>
              </w:rPr>
            </w:pPr>
            <w:r>
              <w:rPr>
                <w:rFonts w:ascii="Courier New" w:cs="Courier New" w:eastAsia="Courier New" w:hAnsi="Courier New"/>
                <w:sz w:val="17"/>
                <w:szCs w:val="17"/>
                <w:color w:val="auto"/>
              </w:rPr>
              <w:t>Accounts payable, accrued expenses</w:t>
            </w:r>
          </w:p>
        </w:tc>
        <w:tc>
          <w:tcPr>
            <w:tcW w:w="2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500" w:type="dxa"/>
            <w:vAlign w:val="bottom"/>
          </w:tcPr>
          <w:p>
            <w:pPr>
              <w:ind w:left="1440"/>
              <w:spacing w:after="0"/>
              <w:rPr>
                <w:sz w:val="20"/>
                <w:szCs w:val="20"/>
                <w:color w:val="auto"/>
              </w:rPr>
            </w:pPr>
            <w:r>
              <w:rPr>
                <w:rFonts w:ascii="Courier New" w:cs="Courier New" w:eastAsia="Courier New" w:hAnsi="Courier New"/>
                <w:sz w:val="17"/>
                <w:szCs w:val="17"/>
                <w:color w:val="auto"/>
              </w:rPr>
              <w:t>and customer deposits</w:t>
            </w:r>
          </w:p>
        </w:tc>
        <w:tc>
          <w:tcPr>
            <w:tcW w:w="21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5,829,000</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613,000</w:t>
            </w:r>
          </w:p>
        </w:tc>
      </w:tr>
      <w:tr>
        <w:trPr>
          <w:trHeight w:val="196"/>
        </w:trPr>
        <w:tc>
          <w:tcPr>
            <w:tcW w:w="7500" w:type="dxa"/>
            <w:vAlign w:val="bottom"/>
          </w:tcPr>
          <w:p>
            <w:pPr>
              <w:ind w:left="1120"/>
              <w:spacing w:after="0"/>
              <w:rPr>
                <w:sz w:val="20"/>
                <w:szCs w:val="20"/>
                <w:color w:val="auto"/>
              </w:rPr>
            </w:pPr>
            <w:r>
              <w:rPr>
                <w:rFonts w:ascii="Courier New" w:cs="Courier New" w:eastAsia="Courier New" w:hAnsi="Courier New"/>
                <w:sz w:val="17"/>
                <w:szCs w:val="17"/>
                <w:color w:val="auto"/>
              </w:rPr>
              <w:t>Accrued salaries and wages</w:t>
            </w:r>
          </w:p>
        </w:tc>
        <w:tc>
          <w:tcPr>
            <w:tcW w:w="21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764,000</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352,000</w:t>
            </w:r>
          </w:p>
        </w:tc>
      </w:tr>
      <w:tr>
        <w:trPr>
          <w:trHeight w:val="196"/>
        </w:trPr>
        <w:tc>
          <w:tcPr>
            <w:tcW w:w="7500" w:type="dxa"/>
            <w:vAlign w:val="bottom"/>
          </w:tcPr>
          <w:p>
            <w:pPr>
              <w:ind w:left="1120"/>
              <w:spacing w:after="0"/>
              <w:rPr>
                <w:sz w:val="20"/>
                <w:szCs w:val="20"/>
                <w:color w:val="auto"/>
              </w:rPr>
            </w:pPr>
            <w:r>
              <w:rPr>
                <w:rFonts w:ascii="Courier New" w:cs="Courier New" w:eastAsia="Courier New" w:hAnsi="Courier New"/>
                <w:sz w:val="17"/>
                <w:szCs w:val="17"/>
                <w:color w:val="auto"/>
              </w:rPr>
              <w:t>Income taxes payable</w:t>
            </w:r>
          </w:p>
        </w:tc>
        <w:tc>
          <w:tcPr>
            <w:tcW w:w="2140" w:type="dxa"/>
            <w:vAlign w:val="bottom"/>
          </w:tcPr>
          <w:p>
            <w:pPr>
              <w:jc w:val="right"/>
              <w:spacing w:after="0"/>
              <w:rPr>
                <w:sz w:val="20"/>
                <w:szCs w:val="20"/>
                <w:color w:val="auto"/>
              </w:rPr>
            </w:pPr>
            <w:r>
              <w:rPr>
                <w:rFonts w:ascii="Courier New" w:cs="Courier New" w:eastAsia="Courier New" w:hAnsi="Courier New"/>
                <w:sz w:val="17"/>
                <w:szCs w:val="17"/>
                <w:color w:val="auto"/>
              </w:rPr>
              <w:t>(764,000)</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490,000</w:t>
            </w:r>
          </w:p>
        </w:tc>
      </w:tr>
      <w:tr>
        <w:trPr>
          <w:trHeight w:val="196"/>
        </w:trPr>
        <w:tc>
          <w:tcPr>
            <w:tcW w:w="7500" w:type="dxa"/>
            <w:vAlign w:val="bottom"/>
          </w:tcPr>
          <w:p>
            <w:pPr>
              <w:spacing w:after="0"/>
              <w:rPr>
                <w:sz w:val="17"/>
                <w:szCs w:val="17"/>
                <w:color w:val="auto"/>
              </w:rPr>
            </w:pPr>
          </w:p>
        </w:tc>
        <w:tc>
          <w:tcPr>
            <w:tcW w:w="21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7500" w:type="dxa"/>
            <w:vAlign w:val="bottom"/>
          </w:tcPr>
          <w:p>
            <w:pPr>
              <w:ind w:left="1120"/>
              <w:spacing w:after="0"/>
              <w:rPr>
                <w:sz w:val="20"/>
                <w:szCs w:val="20"/>
                <w:color w:val="auto"/>
              </w:rPr>
            </w:pPr>
            <w:r>
              <w:rPr>
                <w:rFonts w:ascii="Courier New" w:cs="Courier New" w:eastAsia="Courier New" w:hAnsi="Courier New"/>
                <w:sz w:val="17"/>
                <w:szCs w:val="17"/>
                <w:color w:val="auto"/>
              </w:rPr>
              <w:t>Total adjustments</w:t>
            </w:r>
          </w:p>
        </w:tc>
        <w:tc>
          <w:tcPr>
            <w:tcW w:w="2140" w:type="dxa"/>
            <w:vAlign w:val="bottom"/>
          </w:tcPr>
          <w:p>
            <w:pPr>
              <w:jc w:val="right"/>
              <w:spacing w:after="0"/>
              <w:rPr>
                <w:sz w:val="20"/>
                <w:szCs w:val="20"/>
                <w:color w:val="auto"/>
              </w:rPr>
            </w:pPr>
            <w:r>
              <w:rPr>
                <w:rFonts w:ascii="Courier New" w:cs="Courier New" w:eastAsia="Courier New" w:hAnsi="Courier New"/>
                <w:sz w:val="17"/>
                <w:szCs w:val="17"/>
                <w:color w:val="auto"/>
              </w:rPr>
              <w:t>(104,000)</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3,853,000</w:t>
            </w:r>
          </w:p>
        </w:tc>
      </w:tr>
      <w:tr>
        <w:trPr>
          <w:trHeight w:val="196"/>
        </w:trPr>
        <w:tc>
          <w:tcPr>
            <w:tcW w:w="7500" w:type="dxa"/>
            <w:vAlign w:val="bottom"/>
          </w:tcPr>
          <w:p>
            <w:pPr>
              <w:spacing w:after="0"/>
              <w:rPr>
                <w:sz w:val="17"/>
                <w:szCs w:val="17"/>
                <w:color w:val="auto"/>
              </w:rPr>
            </w:pPr>
          </w:p>
        </w:tc>
        <w:tc>
          <w:tcPr>
            <w:tcW w:w="21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7500" w:type="dxa"/>
            <w:vAlign w:val="bottom"/>
          </w:tcPr>
          <w:p>
            <w:pPr>
              <w:ind w:left="420"/>
              <w:spacing w:after="0"/>
              <w:rPr>
                <w:sz w:val="20"/>
                <w:szCs w:val="20"/>
                <w:color w:val="auto"/>
              </w:rPr>
            </w:pPr>
            <w:r>
              <w:rPr>
                <w:rFonts w:ascii="Courier New" w:cs="Courier New" w:eastAsia="Courier New" w:hAnsi="Courier New"/>
                <w:sz w:val="17"/>
                <w:szCs w:val="17"/>
                <w:color w:val="auto"/>
              </w:rPr>
              <w:t>Net cash provided by operating</w:t>
            </w: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7500" w:type="dxa"/>
            <w:vAlign w:val="bottom"/>
          </w:tcPr>
          <w:p>
            <w:pPr>
              <w:ind w:left="620"/>
              <w:spacing w:after="0"/>
              <w:rPr>
                <w:sz w:val="20"/>
                <w:szCs w:val="20"/>
                <w:color w:val="auto"/>
              </w:rPr>
            </w:pPr>
            <w:r>
              <w:rPr>
                <w:rFonts w:ascii="Courier New" w:cs="Courier New" w:eastAsia="Courier New" w:hAnsi="Courier New"/>
                <w:sz w:val="17"/>
                <w:szCs w:val="17"/>
                <w:color w:val="auto"/>
              </w:rPr>
              <w:t>activities</w:t>
            </w:r>
          </w:p>
        </w:tc>
        <w:tc>
          <w:tcPr>
            <w:tcW w:w="21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5,096,000</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7,557,000</w:t>
            </w:r>
          </w:p>
        </w:tc>
      </w:tr>
      <w:tr>
        <w:trPr>
          <w:trHeight w:val="196"/>
        </w:trPr>
        <w:tc>
          <w:tcPr>
            <w:tcW w:w="7500" w:type="dxa"/>
            <w:vAlign w:val="bottom"/>
          </w:tcPr>
          <w:p>
            <w:pPr>
              <w:spacing w:after="0"/>
              <w:rPr>
                <w:sz w:val="17"/>
                <w:szCs w:val="17"/>
                <w:color w:val="auto"/>
              </w:rPr>
            </w:pPr>
          </w:p>
        </w:tc>
        <w:tc>
          <w:tcPr>
            <w:tcW w:w="21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(Continued)</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Page 7 of 19</w:t>
      </w:r>
    </w:p>
    <w:p>
      <w:pPr>
        <w:sectPr>
          <w:pgSz w:w="11900" w:h="16838" w:orient="portrait"/>
          <w:cols w:equalWidth="0" w:num="1">
            <w:col w:w="10920"/>
          </w:cols>
          <w:pgMar w:left="240" w:top="1096" w:right="7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3"/>
        </w:trPr>
        <w:tc>
          <w:tcPr>
            <w:tcW w:w="7140" w:type="dxa"/>
            <w:vAlign w:val="bottom"/>
          </w:tcPr>
          <w:p>
            <w:pPr>
              <w:ind w:left="1640"/>
              <w:spacing w:after="0"/>
              <w:rPr>
                <w:sz w:val="20"/>
                <w:szCs w:val="20"/>
                <w:color w:val="auto"/>
              </w:rPr>
            </w:pPr>
            <w:r>
              <w:rPr>
                <w:rFonts w:ascii="Courier New" w:cs="Courier New" w:eastAsia="Courier New" w:hAnsi="Courier New"/>
                <w:sz w:val="17"/>
                <w:szCs w:val="17"/>
                <w:color w:val="auto"/>
              </w:rPr>
              <w:t>WORLD FUEL SERVICES CORPORATION AND SUBSIDIARIES</w:t>
            </w:r>
          </w:p>
        </w:tc>
        <w:tc>
          <w:tcPr>
            <w:tcW w:w="10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2"/>
        </w:trPr>
        <w:tc>
          <w:tcPr>
            <w:tcW w:w="7140" w:type="dxa"/>
            <w:vAlign w:val="bottom"/>
          </w:tcPr>
          <w:p>
            <w:pPr>
              <w:ind w:left="2240"/>
              <w:spacing w:after="0"/>
              <w:rPr>
                <w:sz w:val="20"/>
                <w:szCs w:val="20"/>
                <w:color w:val="auto"/>
              </w:rPr>
            </w:pPr>
            <w:r>
              <w:rPr>
                <w:rFonts w:ascii="Courier New" w:cs="Courier New" w:eastAsia="Courier New" w:hAnsi="Courier New"/>
                <w:sz w:val="17"/>
                <w:szCs w:val="17"/>
                <w:color w:val="auto"/>
              </w:rPr>
              <w:t>CONSOLIDATED STATEMENTS OF CASH FLOWS</w:t>
            </w:r>
          </w:p>
        </w:tc>
        <w:tc>
          <w:tcPr>
            <w:tcW w:w="1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2"/>
        </w:trPr>
        <w:tc>
          <w:tcPr>
            <w:tcW w:w="7140" w:type="dxa"/>
            <w:vAlign w:val="bottom"/>
          </w:tcPr>
          <w:p>
            <w:pPr>
              <w:ind w:left="3580"/>
              <w:spacing w:after="0"/>
              <w:rPr>
                <w:sz w:val="20"/>
                <w:szCs w:val="20"/>
                <w:color w:val="auto"/>
              </w:rPr>
            </w:pPr>
            <w:r>
              <w:rPr>
                <w:rFonts w:ascii="Courier New" w:cs="Courier New" w:eastAsia="Courier New" w:hAnsi="Courier New"/>
                <w:sz w:val="17"/>
                <w:szCs w:val="17"/>
                <w:color w:val="auto"/>
              </w:rPr>
              <w:t>(UNAUDITED)</w:t>
            </w:r>
          </w:p>
        </w:tc>
        <w:tc>
          <w:tcPr>
            <w:tcW w:w="1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2"/>
        </w:trPr>
        <w:tc>
          <w:tcPr>
            <w:tcW w:w="7140" w:type="dxa"/>
            <w:vAlign w:val="bottom"/>
          </w:tcPr>
          <w:p>
            <w:pPr>
              <w:ind w:left="3580"/>
              <w:spacing w:after="0"/>
              <w:rPr>
                <w:sz w:val="20"/>
                <w:szCs w:val="20"/>
                <w:color w:val="auto"/>
              </w:rPr>
            </w:pPr>
            <w:r>
              <w:rPr>
                <w:rFonts w:ascii="Courier New" w:cs="Courier New" w:eastAsia="Courier New" w:hAnsi="Courier New"/>
                <w:sz w:val="17"/>
                <w:szCs w:val="17"/>
                <w:color w:val="auto"/>
              </w:rPr>
              <w:t>(Continued)</w:t>
            </w:r>
          </w:p>
        </w:tc>
        <w:tc>
          <w:tcPr>
            <w:tcW w:w="1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2"/>
        </w:trPr>
        <w:tc>
          <w:tcPr>
            <w:tcW w:w="7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7"/>
                <w:szCs w:val="17"/>
                <w:color w:val="auto"/>
              </w:rPr>
              <w:t>SIX MONTHS ENDED</w:t>
            </w:r>
          </w:p>
        </w:tc>
        <w:tc>
          <w:tcPr>
            <w:tcW w:w="1220" w:type="dxa"/>
            <w:vAlign w:val="bottom"/>
          </w:tcPr>
          <w:p>
            <w:pPr>
              <w:spacing w:after="0"/>
              <w:rPr>
                <w:sz w:val="24"/>
                <w:szCs w:val="24"/>
                <w:color w:val="auto"/>
              </w:rPr>
            </w:pPr>
          </w:p>
        </w:tc>
      </w:tr>
      <w:tr>
        <w:trPr>
          <w:trHeight w:val="196"/>
        </w:trPr>
        <w:tc>
          <w:tcPr>
            <w:tcW w:w="7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SEPTEMBER 30,</w:t>
            </w:r>
          </w:p>
        </w:tc>
        <w:tc>
          <w:tcPr>
            <w:tcW w:w="1220" w:type="dxa"/>
            <w:vAlign w:val="bottom"/>
          </w:tcPr>
          <w:p>
            <w:pPr>
              <w:spacing w:after="0"/>
              <w:rPr>
                <w:sz w:val="17"/>
                <w:szCs w:val="17"/>
                <w:color w:val="auto"/>
              </w:rPr>
            </w:pPr>
          </w:p>
        </w:tc>
      </w:tr>
      <w:tr>
        <w:trPr>
          <w:trHeight w:val="196"/>
        </w:trPr>
        <w:tc>
          <w:tcPr>
            <w:tcW w:w="7140" w:type="dxa"/>
            <w:vAlign w:val="bottom"/>
          </w:tcPr>
          <w:p>
            <w:pPr>
              <w:spacing w:after="0"/>
              <w:rPr>
                <w:sz w:val="17"/>
                <w:szCs w:val="17"/>
                <w:color w:val="auto"/>
              </w:rPr>
            </w:pPr>
          </w:p>
        </w:tc>
        <w:tc>
          <w:tcPr>
            <w:tcW w:w="4380" w:type="dxa"/>
            <w:vAlign w:val="bottom"/>
            <w:gridSpan w:val="3"/>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7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40" w:type="dxa"/>
            <w:vAlign w:val="bottom"/>
          </w:tcPr>
          <w:p>
            <w:pPr>
              <w:jc w:val="right"/>
              <w:ind w:right="1435"/>
              <w:spacing w:after="0"/>
              <w:rPr>
                <w:sz w:val="20"/>
                <w:szCs w:val="20"/>
                <w:color w:val="auto"/>
              </w:rPr>
            </w:pPr>
            <w:r>
              <w:rPr>
                <w:rFonts w:ascii="Courier New" w:cs="Courier New" w:eastAsia="Courier New" w:hAnsi="Courier New"/>
                <w:sz w:val="17"/>
                <w:szCs w:val="17"/>
                <w:color w:val="auto"/>
              </w:rPr>
              <w:t>1995</w:t>
            </w:r>
          </w:p>
        </w:tc>
        <w:tc>
          <w:tcPr>
            <w:tcW w:w="12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1994</w:t>
            </w:r>
          </w:p>
        </w:tc>
      </w:tr>
      <w:tr>
        <w:trPr>
          <w:trHeight w:val="196"/>
        </w:trPr>
        <w:tc>
          <w:tcPr>
            <w:tcW w:w="7140" w:type="dxa"/>
            <w:vAlign w:val="bottom"/>
          </w:tcPr>
          <w:p>
            <w:pPr>
              <w:spacing w:after="0"/>
              <w:rPr>
                <w:sz w:val="17"/>
                <w:szCs w:val="17"/>
                <w:color w:val="auto"/>
              </w:rPr>
            </w:pPr>
          </w:p>
        </w:tc>
        <w:tc>
          <w:tcPr>
            <w:tcW w:w="3160" w:type="dxa"/>
            <w:vAlign w:val="bottom"/>
            <w:gridSpan w:val="2"/>
          </w:tcPr>
          <w:p>
            <w:pPr>
              <w:jc w:val="right"/>
              <w:ind w:right="10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w w:val="99"/>
              </w:rPr>
              <w:t>-----------</w:t>
            </w:r>
          </w:p>
        </w:tc>
      </w:tr>
      <w:tr>
        <w:trPr>
          <w:trHeight w:val="392"/>
        </w:trPr>
        <w:tc>
          <w:tcPr>
            <w:tcW w:w="714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1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Short-term investments</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140" w:type="dxa"/>
            <w:vAlign w:val="bottom"/>
          </w:tcPr>
          <w:p>
            <w:pPr>
              <w:jc w:val="right"/>
              <w:ind w:right="11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w w:val="98"/>
              </w:rPr>
              <w:t>$(3,500,000)</w:t>
            </w: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Repayments from joint venture</w:t>
            </w:r>
          </w:p>
        </w:tc>
        <w:tc>
          <w:tcPr>
            <w:tcW w:w="1020" w:type="dxa"/>
            <w:vAlign w:val="bottom"/>
          </w:tcPr>
          <w:p>
            <w:pPr>
              <w:spacing w:after="0"/>
              <w:rPr>
                <w:sz w:val="17"/>
                <w:szCs w:val="17"/>
                <w:color w:val="auto"/>
              </w:rPr>
            </w:pPr>
          </w:p>
        </w:tc>
        <w:tc>
          <w:tcPr>
            <w:tcW w:w="2140" w:type="dxa"/>
            <w:vAlign w:val="bottom"/>
          </w:tcPr>
          <w:p>
            <w:pPr>
              <w:jc w:val="right"/>
              <w:ind w:right="1035"/>
              <w:spacing w:after="0"/>
              <w:rPr>
                <w:sz w:val="20"/>
                <w:szCs w:val="20"/>
                <w:color w:val="auto"/>
              </w:rPr>
            </w:pPr>
            <w:r>
              <w:rPr>
                <w:rFonts w:ascii="Courier New" w:cs="Courier New" w:eastAsia="Courier New" w:hAnsi="Courier New"/>
                <w:sz w:val="17"/>
                <w:szCs w:val="17"/>
                <w:color w:val="auto"/>
              </w:rPr>
              <w:t>338,000</w:t>
            </w:r>
          </w:p>
        </w:tc>
        <w:tc>
          <w:tcPr>
            <w:tcW w:w="12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Dividends received from joint venture</w:t>
            </w:r>
          </w:p>
        </w:tc>
        <w:tc>
          <w:tcPr>
            <w:tcW w:w="1020" w:type="dxa"/>
            <w:vAlign w:val="bottom"/>
          </w:tcPr>
          <w:p>
            <w:pPr>
              <w:spacing w:after="0"/>
              <w:rPr>
                <w:sz w:val="17"/>
                <w:szCs w:val="17"/>
                <w:color w:val="auto"/>
              </w:rPr>
            </w:pPr>
          </w:p>
        </w:tc>
        <w:tc>
          <w:tcPr>
            <w:tcW w:w="2140" w:type="dxa"/>
            <w:vAlign w:val="bottom"/>
          </w:tcPr>
          <w:p>
            <w:pPr>
              <w:jc w:val="right"/>
              <w:ind w:right="1035"/>
              <w:spacing w:after="0"/>
              <w:rPr>
                <w:sz w:val="20"/>
                <w:szCs w:val="20"/>
                <w:color w:val="auto"/>
              </w:rPr>
            </w:pPr>
            <w:r>
              <w:rPr>
                <w:rFonts w:ascii="Courier New" w:cs="Courier New" w:eastAsia="Courier New" w:hAnsi="Courier New"/>
                <w:sz w:val="17"/>
                <w:szCs w:val="17"/>
                <w:color w:val="auto"/>
              </w:rPr>
              <w:t>708,000</w:t>
            </w:r>
          </w:p>
        </w:tc>
        <w:tc>
          <w:tcPr>
            <w:tcW w:w="12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Additions to property, plant and</w:t>
            </w:r>
          </w:p>
        </w:tc>
        <w:tc>
          <w:tcPr>
            <w:tcW w:w="10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7140" w:type="dxa"/>
            <w:vAlign w:val="bottom"/>
          </w:tcPr>
          <w:p>
            <w:pPr>
              <w:ind w:left="420"/>
              <w:spacing w:after="0"/>
              <w:rPr>
                <w:sz w:val="20"/>
                <w:szCs w:val="20"/>
                <w:color w:val="auto"/>
              </w:rPr>
            </w:pPr>
            <w:r>
              <w:rPr>
                <w:rFonts w:ascii="Courier New" w:cs="Courier New" w:eastAsia="Courier New" w:hAnsi="Courier New"/>
                <w:sz w:val="17"/>
                <w:szCs w:val="17"/>
                <w:color w:val="auto"/>
              </w:rPr>
              <w:t>equipment</w:t>
            </w:r>
          </w:p>
        </w:tc>
        <w:tc>
          <w:tcPr>
            <w:tcW w:w="1020" w:type="dxa"/>
            <w:vAlign w:val="bottom"/>
          </w:tcPr>
          <w:p>
            <w:pPr>
              <w:spacing w:after="0"/>
              <w:rPr>
                <w:sz w:val="17"/>
                <w:szCs w:val="17"/>
                <w:color w:val="auto"/>
              </w:rPr>
            </w:pPr>
          </w:p>
        </w:tc>
        <w:tc>
          <w:tcPr>
            <w:tcW w:w="2140" w:type="dxa"/>
            <w:vAlign w:val="bottom"/>
          </w:tcPr>
          <w:p>
            <w:pPr>
              <w:jc w:val="right"/>
              <w:ind w:right="935"/>
              <w:spacing w:after="0"/>
              <w:rPr>
                <w:sz w:val="20"/>
                <w:szCs w:val="20"/>
                <w:color w:val="auto"/>
              </w:rPr>
            </w:pPr>
            <w:r>
              <w:rPr>
                <w:rFonts w:ascii="Courier New" w:cs="Courier New" w:eastAsia="Courier New" w:hAnsi="Courier New"/>
                <w:sz w:val="17"/>
                <w:szCs w:val="17"/>
                <w:color w:val="auto"/>
              </w:rPr>
              <w:t>(611,000)</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(786,000)</w:t>
            </w: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Proceeds from sale of assets</w:t>
            </w:r>
          </w:p>
        </w:tc>
        <w:tc>
          <w:tcPr>
            <w:tcW w:w="1020" w:type="dxa"/>
            <w:vAlign w:val="bottom"/>
          </w:tcPr>
          <w:p>
            <w:pPr>
              <w:spacing w:after="0"/>
              <w:rPr>
                <w:sz w:val="17"/>
                <w:szCs w:val="17"/>
                <w:color w:val="auto"/>
              </w:rPr>
            </w:pPr>
          </w:p>
        </w:tc>
        <w:tc>
          <w:tcPr>
            <w:tcW w:w="2140" w:type="dxa"/>
            <w:vAlign w:val="bottom"/>
          </w:tcPr>
          <w:p>
            <w:pPr>
              <w:jc w:val="right"/>
              <w:ind w:right="1035"/>
              <w:spacing w:after="0"/>
              <w:rPr>
                <w:sz w:val="20"/>
                <w:szCs w:val="20"/>
                <w:color w:val="auto"/>
              </w:rPr>
            </w:pPr>
            <w:r>
              <w:rPr>
                <w:rFonts w:ascii="Courier New" w:cs="Courier New" w:eastAsia="Courier New" w:hAnsi="Courier New"/>
                <w:sz w:val="17"/>
                <w:szCs w:val="17"/>
                <w:color w:val="auto"/>
              </w:rPr>
              <w:t>207,000</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27,000</w:t>
            </w: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Proceeds from notes receivable</w:t>
            </w:r>
          </w:p>
        </w:tc>
        <w:tc>
          <w:tcPr>
            <w:tcW w:w="1020" w:type="dxa"/>
            <w:vAlign w:val="bottom"/>
          </w:tcPr>
          <w:p>
            <w:pPr>
              <w:spacing w:after="0"/>
              <w:rPr>
                <w:sz w:val="17"/>
                <w:szCs w:val="17"/>
                <w:color w:val="auto"/>
              </w:rPr>
            </w:pPr>
          </w:p>
        </w:tc>
        <w:tc>
          <w:tcPr>
            <w:tcW w:w="2140" w:type="dxa"/>
            <w:vAlign w:val="bottom"/>
          </w:tcPr>
          <w:p>
            <w:pPr>
              <w:jc w:val="right"/>
              <w:ind w:right="1035"/>
              <w:spacing w:after="0"/>
              <w:rPr>
                <w:sz w:val="20"/>
                <w:szCs w:val="20"/>
                <w:color w:val="auto"/>
              </w:rPr>
            </w:pPr>
            <w:r>
              <w:rPr>
                <w:rFonts w:ascii="Courier New" w:cs="Courier New" w:eastAsia="Courier New" w:hAnsi="Courier New"/>
                <w:sz w:val="17"/>
                <w:szCs w:val="17"/>
                <w:color w:val="auto"/>
              </w:rPr>
              <w:t>793,000</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569,000</w:t>
            </w: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Additional expenditures for acquisition</w:t>
            </w:r>
          </w:p>
        </w:tc>
        <w:tc>
          <w:tcPr>
            <w:tcW w:w="10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7140" w:type="dxa"/>
            <w:vAlign w:val="bottom"/>
          </w:tcPr>
          <w:p>
            <w:pPr>
              <w:ind w:left="420"/>
              <w:spacing w:after="0"/>
              <w:rPr>
                <w:sz w:val="20"/>
                <w:szCs w:val="20"/>
                <w:color w:val="auto"/>
              </w:rPr>
            </w:pPr>
            <w:r>
              <w:rPr>
                <w:rFonts w:ascii="Courier New" w:cs="Courier New" w:eastAsia="Courier New" w:hAnsi="Courier New"/>
                <w:sz w:val="17"/>
                <w:szCs w:val="17"/>
                <w:color w:val="auto"/>
              </w:rPr>
              <w:t>of business</w:t>
            </w:r>
          </w:p>
        </w:tc>
        <w:tc>
          <w:tcPr>
            <w:tcW w:w="1020" w:type="dxa"/>
            <w:vAlign w:val="bottom"/>
          </w:tcPr>
          <w:p>
            <w:pPr>
              <w:spacing w:after="0"/>
              <w:rPr>
                <w:sz w:val="17"/>
                <w:szCs w:val="17"/>
                <w:color w:val="auto"/>
              </w:rPr>
            </w:pPr>
          </w:p>
        </w:tc>
        <w:tc>
          <w:tcPr>
            <w:tcW w:w="2140" w:type="dxa"/>
            <w:vAlign w:val="bottom"/>
          </w:tcPr>
          <w:p>
            <w:pPr>
              <w:jc w:val="right"/>
              <w:ind w:right="935"/>
              <w:spacing w:after="0"/>
              <w:rPr>
                <w:sz w:val="20"/>
                <w:szCs w:val="20"/>
                <w:color w:val="auto"/>
              </w:rPr>
            </w:pPr>
            <w:r>
              <w:rPr>
                <w:rFonts w:ascii="Courier New" w:cs="Courier New" w:eastAsia="Courier New" w:hAnsi="Courier New"/>
                <w:sz w:val="17"/>
                <w:szCs w:val="17"/>
                <w:color w:val="auto"/>
              </w:rPr>
              <w:t>(40,000)</w:t>
            </w:r>
          </w:p>
        </w:tc>
        <w:tc>
          <w:tcPr>
            <w:tcW w:w="12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r>
      <w:tr>
        <w:trPr>
          <w:trHeight w:val="196"/>
        </w:trPr>
        <w:tc>
          <w:tcPr>
            <w:tcW w:w="7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40" w:type="dxa"/>
            <w:vAlign w:val="bottom"/>
          </w:tcPr>
          <w:p>
            <w:pPr>
              <w:jc w:val="right"/>
              <w:ind w:right="1035"/>
              <w:spacing w:after="0"/>
              <w:rPr>
                <w:sz w:val="20"/>
                <w:szCs w:val="20"/>
                <w:color w:val="auto"/>
              </w:rPr>
            </w:pPr>
            <w:r>
              <w:rPr>
                <w:rFonts w:ascii="Courier New" w:cs="Courier New" w:eastAsia="Courier New" w:hAnsi="Courier New"/>
                <w:sz w:val="17"/>
                <w:szCs w:val="17"/>
                <w:color w:val="auto"/>
                <w:w w:val="97"/>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w w:val="99"/>
              </w:rPr>
              <w:t>-----------</w:t>
            </w:r>
          </w:p>
        </w:tc>
      </w:tr>
      <w:tr>
        <w:trPr>
          <w:trHeight w:val="392"/>
        </w:trPr>
        <w:tc>
          <w:tcPr>
            <w:tcW w:w="7140" w:type="dxa"/>
            <w:vAlign w:val="bottom"/>
          </w:tcPr>
          <w:p>
            <w:pPr>
              <w:ind w:left="420"/>
              <w:spacing w:after="0"/>
              <w:rPr>
                <w:sz w:val="20"/>
                <w:szCs w:val="20"/>
                <w:color w:val="auto"/>
              </w:rPr>
            </w:pPr>
            <w:r>
              <w:rPr>
                <w:rFonts w:ascii="Courier New" w:cs="Courier New" w:eastAsia="Courier New" w:hAnsi="Courier New"/>
                <w:sz w:val="17"/>
                <w:szCs w:val="17"/>
                <w:color w:val="auto"/>
              </w:rPr>
              <w:t>Net cash provided by (used in)</w:t>
            </w:r>
          </w:p>
        </w:tc>
        <w:tc>
          <w:tcPr>
            <w:tcW w:w="1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7140" w:type="dxa"/>
            <w:vAlign w:val="bottom"/>
          </w:tcPr>
          <w:p>
            <w:pPr>
              <w:ind w:left="620"/>
              <w:spacing w:after="0"/>
              <w:rPr>
                <w:sz w:val="20"/>
                <w:szCs w:val="20"/>
                <w:color w:val="auto"/>
              </w:rPr>
            </w:pPr>
            <w:r>
              <w:rPr>
                <w:rFonts w:ascii="Courier New" w:cs="Courier New" w:eastAsia="Courier New" w:hAnsi="Courier New"/>
                <w:sz w:val="17"/>
                <w:szCs w:val="17"/>
                <w:color w:val="auto"/>
              </w:rPr>
              <w:t>investing activities</w:t>
            </w:r>
          </w:p>
        </w:tc>
        <w:tc>
          <w:tcPr>
            <w:tcW w:w="1020" w:type="dxa"/>
            <w:vAlign w:val="bottom"/>
          </w:tcPr>
          <w:p>
            <w:pPr>
              <w:spacing w:after="0"/>
              <w:rPr>
                <w:sz w:val="17"/>
                <w:szCs w:val="17"/>
                <w:color w:val="auto"/>
              </w:rPr>
            </w:pPr>
          </w:p>
        </w:tc>
        <w:tc>
          <w:tcPr>
            <w:tcW w:w="2140" w:type="dxa"/>
            <w:vAlign w:val="bottom"/>
          </w:tcPr>
          <w:p>
            <w:pPr>
              <w:jc w:val="right"/>
              <w:ind w:right="1035"/>
              <w:spacing w:after="0"/>
              <w:rPr>
                <w:sz w:val="20"/>
                <w:szCs w:val="20"/>
                <w:color w:val="auto"/>
              </w:rPr>
            </w:pPr>
            <w:r>
              <w:rPr>
                <w:rFonts w:ascii="Courier New" w:cs="Courier New" w:eastAsia="Courier New" w:hAnsi="Courier New"/>
                <w:sz w:val="17"/>
                <w:szCs w:val="17"/>
                <w:color w:val="auto"/>
              </w:rPr>
              <w:t>1,395,000</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(3,690,000)</w:t>
            </w:r>
          </w:p>
        </w:tc>
      </w:tr>
      <w:tr>
        <w:trPr>
          <w:trHeight w:val="196"/>
        </w:trPr>
        <w:tc>
          <w:tcPr>
            <w:tcW w:w="7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40" w:type="dxa"/>
            <w:vAlign w:val="bottom"/>
          </w:tcPr>
          <w:p>
            <w:pPr>
              <w:jc w:val="right"/>
              <w:ind w:right="1035"/>
              <w:spacing w:after="0"/>
              <w:rPr>
                <w:sz w:val="20"/>
                <w:szCs w:val="20"/>
                <w:color w:val="auto"/>
              </w:rPr>
            </w:pPr>
            <w:r>
              <w:rPr>
                <w:rFonts w:ascii="Courier New" w:cs="Courier New" w:eastAsia="Courier New" w:hAnsi="Courier New"/>
                <w:sz w:val="17"/>
                <w:szCs w:val="17"/>
                <w:color w:val="auto"/>
                <w:w w:val="97"/>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w w:val="99"/>
              </w:rPr>
              <w:t>-----------</w:t>
            </w:r>
          </w:p>
        </w:tc>
      </w:tr>
      <w:tr>
        <w:trPr>
          <w:trHeight w:val="392"/>
        </w:trPr>
        <w:tc>
          <w:tcPr>
            <w:tcW w:w="714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1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Dividends paid on common stock</w:t>
            </w:r>
          </w:p>
        </w:tc>
        <w:tc>
          <w:tcPr>
            <w:tcW w:w="1020" w:type="dxa"/>
            <w:vAlign w:val="bottom"/>
          </w:tcPr>
          <w:p>
            <w:pPr>
              <w:spacing w:after="0"/>
              <w:rPr>
                <w:sz w:val="17"/>
                <w:szCs w:val="17"/>
                <w:color w:val="auto"/>
              </w:rPr>
            </w:pPr>
          </w:p>
        </w:tc>
        <w:tc>
          <w:tcPr>
            <w:tcW w:w="2140" w:type="dxa"/>
            <w:vAlign w:val="bottom"/>
          </w:tcPr>
          <w:p>
            <w:pPr>
              <w:jc w:val="right"/>
              <w:ind w:right="935"/>
              <w:spacing w:after="0"/>
              <w:rPr>
                <w:sz w:val="20"/>
                <w:szCs w:val="20"/>
                <w:color w:val="auto"/>
              </w:rPr>
            </w:pPr>
            <w:r>
              <w:rPr>
                <w:rFonts w:ascii="Courier New" w:cs="Courier New" w:eastAsia="Courier New" w:hAnsi="Courier New"/>
                <w:sz w:val="17"/>
                <w:szCs w:val="17"/>
                <w:color w:val="auto"/>
              </w:rPr>
              <w:t>(264,000)</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(239,000)</w:t>
            </w: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Proceeds from exercise of warrants</w:t>
            </w:r>
          </w:p>
        </w:tc>
        <w:tc>
          <w:tcPr>
            <w:tcW w:w="1020" w:type="dxa"/>
            <w:vAlign w:val="bottom"/>
          </w:tcPr>
          <w:p>
            <w:pPr>
              <w:spacing w:after="0"/>
              <w:rPr>
                <w:sz w:val="17"/>
                <w:szCs w:val="17"/>
                <w:color w:val="auto"/>
              </w:rPr>
            </w:pPr>
          </w:p>
        </w:tc>
        <w:tc>
          <w:tcPr>
            <w:tcW w:w="2140" w:type="dxa"/>
            <w:vAlign w:val="bottom"/>
          </w:tcPr>
          <w:p>
            <w:pPr>
              <w:jc w:val="right"/>
              <w:ind w:right="11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464,000</w:t>
            </w: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Repayment of long-term debt</w:t>
            </w:r>
          </w:p>
        </w:tc>
        <w:tc>
          <w:tcPr>
            <w:tcW w:w="1020" w:type="dxa"/>
            <w:vAlign w:val="bottom"/>
          </w:tcPr>
          <w:p>
            <w:pPr>
              <w:spacing w:after="0"/>
              <w:rPr>
                <w:sz w:val="17"/>
                <w:szCs w:val="17"/>
                <w:color w:val="auto"/>
              </w:rPr>
            </w:pPr>
          </w:p>
        </w:tc>
        <w:tc>
          <w:tcPr>
            <w:tcW w:w="2140" w:type="dxa"/>
            <w:vAlign w:val="bottom"/>
          </w:tcPr>
          <w:p>
            <w:pPr>
              <w:jc w:val="right"/>
              <w:ind w:right="935"/>
              <w:spacing w:after="0"/>
              <w:rPr>
                <w:sz w:val="20"/>
                <w:szCs w:val="20"/>
                <w:color w:val="auto"/>
              </w:rPr>
            </w:pPr>
            <w:r>
              <w:rPr>
                <w:rFonts w:ascii="Courier New" w:cs="Courier New" w:eastAsia="Courier New" w:hAnsi="Courier New"/>
                <w:sz w:val="17"/>
                <w:szCs w:val="17"/>
                <w:color w:val="auto"/>
              </w:rPr>
              <w:t>(92,000)</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(120,000)</w:t>
            </w:r>
          </w:p>
        </w:tc>
      </w:tr>
      <w:tr>
        <w:trPr>
          <w:trHeight w:val="196"/>
        </w:trPr>
        <w:tc>
          <w:tcPr>
            <w:tcW w:w="7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40" w:type="dxa"/>
            <w:vAlign w:val="bottom"/>
          </w:tcPr>
          <w:p>
            <w:pPr>
              <w:jc w:val="right"/>
              <w:ind w:right="1035"/>
              <w:spacing w:after="0"/>
              <w:rPr>
                <w:sz w:val="20"/>
                <w:szCs w:val="20"/>
                <w:color w:val="auto"/>
              </w:rPr>
            </w:pPr>
            <w:r>
              <w:rPr>
                <w:rFonts w:ascii="Courier New" w:cs="Courier New" w:eastAsia="Courier New" w:hAnsi="Courier New"/>
                <w:sz w:val="17"/>
                <w:szCs w:val="17"/>
                <w:color w:val="auto"/>
                <w:w w:val="97"/>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w w:val="99"/>
              </w:rPr>
              <w:t>-----------</w:t>
            </w:r>
          </w:p>
        </w:tc>
      </w:tr>
      <w:tr>
        <w:trPr>
          <w:trHeight w:val="196"/>
        </w:trPr>
        <w:tc>
          <w:tcPr>
            <w:tcW w:w="7140" w:type="dxa"/>
            <w:vAlign w:val="bottom"/>
          </w:tcPr>
          <w:p>
            <w:pPr>
              <w:ind w:left="420"/>
              <w:spacing w:after="0"/>
              <w:rPr>
                <w:sz w:val="20"/>
                <w:szCs w:val="20"/>
                <w:color w:val="auto"/>
              </w:rPr>
            </w:pPr>
            <w:r>
              <w:rPr>
                <w:rFonts w:ascii="Courier New" w:cs="Courier New" w:eastAsia="Courier New" w:hAnsi="Courier New"/>
                <w:sz w:val="17"/>
                <w:szCs w:val="17"/>
                <w:color w:val="auto"/>
              </w:rPr>
              <w:t>Net cash (used in) provided by</w:t>
            </w:r>
          </w:p>
        </w:tc>
        <w:tc>
          <w:tcPr>
            <w:tcW w:w="10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7140" w:type="dxa"/>
            <w:vAlign w:val="bottom"/>
          </w:tcPr>
          <w:p>
            <w:pPr>
              <w:ind w:left="720"/>
              <w:spacing w:after="0"/>
              <w:rPr>
                <w:sz w:val="20"/>
                <w:szCs w:val="20"/>
                <w:color w:val="auto"/>
              </w:rPr>
            </w:pPr>
            <w:r>
              <w:rPr>
                <w:rFonts w:ascii="Courier New" w:cs="Courier New" w:eastAsia="Courier New" w:hAnsi="Courier New"/>
                <w:sz w:val="17"/>
                <w:szCs w:val="17"/>
                <w:color w:val="auto"/>
              </w:rPr>
              <w:t>financing activities</w:t>
            </w:r>
          </w:p>
        </w:tc>
        <w:tc>
          <w:tcPr>
            <w:tcW w:w="1020" w:type="dxa"/>
            <w:vAlign w:val="bottom"/>
          </w:tcPr>
          <w:p>
            <w:pPr>
              <w:spacing w:after="0"/>
              <w:rPr>
                <w:sz w:val="17"/>
                <w:szCs w:val="17"/>
                <w:color w:val="auto"/>
              </w:rPr>
            </w:pPr>
          </w:p>
        </w:tc>
        <w:tc>
          <w:tcPr>
            <w:tcW w:w="2140" w:type="dxa"/>
            <w:vAlign w:val="bottom"/>
          </w:tcPr>
          <w:p>
            <w:pPr>
              <w:jc w:val="right"/>
              <w:ind w:right="935"/>
              <w:spacing w:after="0"/>
              <w:rPr>
                <w:sz w:val="20"/>
                <w:szCs w:val="20"/>
                <w:color w:val="auto"/>
              </w:rPr>
            </w:pPr>
            <w:r>
              <w:rPr>
                <w:rFonts w:ascii="Courier New" w:cs="Courier New" w:eastAsia="Courier New" w:hAnsi="Courier New"/>
                <w:sz w:val="17"/>
                <w:szCs w:val="17"/>
                <w:color w:val="auto"/>
              </w:rPr>
              <w:t>(356,000)</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105,000</w:t>
            </w:r>
          </w:p>
        </w:tc>
      </w:tr>
      <w:tr>
        <w:trPr>
          <w:trHeight w:val="196"/>
        </w:trPr>
        <w:tc>
          <w:tcPr>
            <w:tcW w:w="7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40" w:type="dxa"/>
            <w:vAlign w:val="bottom"/>
          </w:tcPr>
          <w:p>
            <w:pPr>
              <w:jc w:val="right"/>
              <w:ind w:right="1035"/>
              <w:spacing w:after="0"/>
              <w:rPr>
                <w:sz w:val="20"/>
                <w:szCs w:val="20"/>
                <w:color w:val="auto"/>
              </w:rPr>
            </w:pPr>
            <w:r>
              <w:rPr>
                <w:rFonts w:ascii="Courier New" w:cs="Courier New" w:eastAsia="Courier New" w:hAnsi="Courier New"/>
                <w:sz w:val="17"/>
                <w:szCs w:val="17"/>
                <w:color w:val="auto"/>
                <w:w w:val="97"/>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w w:val="99"/>
              </w:rPr>
              <w:t>-----------</w:t>
            </w:r>
          </w:p>
        </w:tc>
      </w:tr>
      <w:tr>
        <w:trPr>
          <w:trHeight w:val="392"/>
        </w:trPr>
        <w:tc>
          <w:tcPr>
            <w:tcW w:w="7140" w:type="dxa"/>
            <w:vAlign w:val="bottom"/>
          </w:tcPr>
          <w:p>
            <w:pPr>
              <w:spacing w:after="0"/>
              <w:rPr>
                <w:sz w:val="20"/>
                <w:szCs w:val="20"/>
                <w:color w:val="auto"/>
              </w:rPr>
            </w:pPr>
            <w:r>
              <w:rPr>
                <w:rFonts w:ascii="Courier New" w:cs="Courier New" w:eastAsia="Courier New" w:hAnsi="Courier New"/>
                <w:sz w:val="17"/>
                <w:szCs w:val="17"/>
                <w:color w:val="auto"/>
              </w:rPr>
              <w:t>Net increase in cash and cash</w:t>
            </w:r>
          </w:p>
        </w:tc>
        <w:tc>
          <w:tcPr>
            <w:tcW w:w="1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equivalents</w:t>
            </w:r>
          </w:p>
        </w:tc>
        <w:tc>
          <w:tcPr>
            <w:tcW w:w="1020" w:type="dxa"/>
            <w:vAlign w:val="bottom"/>
          </w:tcPr>
          <w:p>
            <w:pPr>
              <w:spacing w:after="0"/>
              <w:rPr>
                <w:sz w:val="17"/>
                <w:szCs w:val="17"/>
                <w:color w:val="auto"/>
              </w:rPr>
            </w:pPr>
          </w:p>
        </w:tc>
        <w:tc>
          <w:tcPr>
            <w:tcW w:w="2140" w:type="dxa"/>
            <w:vAlign w:val="bottom"/>
          </w:tcPr>
          <w:p>
            <w:pPr>
              <w:jc w:val="right"/>
              <w:ind w:right="1035"/>
              <w:spacing w:after="0"/>
              <w:rPr>
                <w:sz w:val="20"/>
                <w:szCs w:val="20"/>
                <w:color w:val="auto"/>
              </w:rPr>
            </w:pPr>
            <w:r>
              <w:rPr>
                <w:rFonts w:ascii="Courier New" w:cs="Courier New" w:eastAsia="Courier New" w:hAnsi="Courier New"/>
                <w:sz w:val="17"/>
                <w:szCs w:val="17"/>
                <w:color w:val="auto"/>
              </w:rPr>
              <w:t>6,135,000</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3,972,000</w:t>
            </w:r>
          </w:p>
        </w:tc>
      </w:tr>
      <w:tr>
        <w:trPr>
          <w:trHeight w:val="392"/>
        </w:trPr>
        <w:tc>
          <w:tcPr>
            <w:tcW w:w="714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beginning</w:t>
            </w:r>
          </w:p>
        </w:tc>
        <w:tc>
          <w:tcPr>
            <w:tcW w:w="1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of period</w:t>
            </w:r>
          </w:p>
        </w:tc>
        <w:tc>
          <w:tcPr>
            <w:tcW w:w="1020" w:type="dxa"/>
            <w:vAlign w:val="bottom"/>
          </w:tcPr>
          <w:p>
            <w:pPr>
              <w:spacing w:after="0"/>
              <w:rPr>
                <w:sz w:val="17"/>
                <w:szCs w:val="17"/>
                <w:color w:val="auto"/>
              </w:rPr>
            </w:pPr>
          </w:p>
        </w:tc>
        <w:tc>
          <w:tcPr>
            <w:tcW w:w="2140" w:type="dxa"/>
            <w:vAlign w:val="bottom"/>
          </w:tcPr>
          <w:p>
            <w:pPr>
              <w:jc w:val="right"/>
              <w:ind w:right="1035"/>
              <w:spacing w:after="0"/>
              <w:rPr>
                <w:sz w:val="20"/>
                <w:szCs w:val="20"/>
                <w:color w:val="auto"/>
              </w:rPr>
            </w:pPr>
            <w:r>
              <w:rPr>
                <w:rFonts w:ascii="Courier New" w:cs="Courier New" w:eastAsia="Courier New" w:hAnsi="Courier New"/>
                <w:sz w:val="17"/>
                <w:szCs w:val="17"/>
                <w:color w:val="auto"/>
                <w:w w:val="97"/>
              </w:rPr>
              <w:t>10,907,000</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7,699,000</w:t>
            </w:r>
          </w:p>
        </w:tc>
      </w:tr>
      <w:tr>
        <w:trPr>
          <w:trHeight w:val="196"/>
        </w:trPr>
        <w:tc>
          <w:tcPr>
            <w:tcW w:w="7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40" w:type="dxa"/>
            <w:vAlign w:val="bottom"/>
          </w:tcPr>
          <w:p>
            <w:pPr>
              <w:jc w:val="right"/>
              <w:ind w:right="1035"/>
              <w:spacing w:after="0"/>
              <w:rPr>
                <w:sz w:val="20"/>
                <w:szCs w:val="20"/>
                <w:color w:val="auto"/>
              </w:rPr>
            </w:pPr>
            <w:r>
              <w:rPr>
                <w:rFonts w:ascii="Courier New" w:cs="Courier New" w:eastAsia="Courier New" w:hAnsi="Courier New"/>
                <w:sz w:val="17"/>
                <w:szCs w:val="17"/>
                <w:color w:val="auto"/>
                <w:w w:val="97"/>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w w:val="99"/>
              </w:rPr>
              <w:t>-----------</w:t>
            </w:r>
          </w:p>
        </w:tc>
      </w:tr>
      <w:tr>
        <w:trPr>
          <w:trHeight w:val="392"/>
        </w:trPr>
        <w:tc>
          <w:tcPr>
            <w:tcW w:w="714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end of</w:t>
            </w:r>
          </w:p>
        </w:tc>
        <w:tc>
          <w:tcPr>
            <w:tcW w:w="1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period</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140" w:type="dxa"/>
            <w:vAlign w:val="bottom"/>
          </w:tcPr>
          <w:p>
            <w:pPr>
              <w:jc w:val="right"/>
              <w:ind w:right="1035"/>
              <w:spacing w:after="0"/>
              <w:rPr>
                <w:sz w:val="20"/>
                <w:szCs w:val="20"/>
                <w:color w:val="auto"/>
              </w:rPr>
            </w:pPr>
            <w:r>
              <w:rPr>
                <w:rFonts w:ascii="Courier New" w:cs="Courier New" w:eastAsia="Courier New" w:hAnsi="Courier New"/>
                <w:sz w:val="17"/>
                <w:szCs w:val="17"/>
                <w:color w:val="auto"/>
                <w:w w:val="97"/>
              </w:rPr>
              <w:t>17,042,000</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w w:val="99"/>
              </w:rPr>
              <w:t>$11,671,000</w:t>
            </w:r>
          </w:p>
        </w:tc>
      </w:tr>
      <w:tr>
        <w:trPr>
          <w:trHeight w:val="196"/>
        </w:trPr>
        <w:tc>
          <w:tcPr>
            <w:tcW w:w="7140" w:type="dxa"/>
            <w:vAlign w:val="bottom"/>
          </w:tcPr>
          <w:p>
            <w:pPr>
              <w:spacing w:after="0"/>
              <w:rPr>
                <w:sz w:val="17"/>
                <w:szCs w:val="17"/>
                <w:color w:val="auto"/>
              </w:rPr>
            </w:pPr>
          </w:p>
        </w:tc>
        <w:tc>
          <w:tcPr>
            <w:tcW w:w="3160" w:type="dxa"/>
            <w:vAlign w:val="bottom"/>
            <w:gridSpan w:val="2"/>
          </w:tcPr>
          <w:p>
            <w:pPr>
              <w:jc w:val="right"/>
              <w:ind w:right="10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w w:val="99"/>
              </w:rPr>
              <w:t>===========</w:t>
            </w:r>
          </w:p>
        </w:tc>
      </w:tr>
    </w:tbl>
    <w:p>
      <w:pPr>
        <w:spacing w:after="0" w:line="200" w:lineRule="exact"/>
        <w:rPr>
          <w:sz w:val="20"/>
          <w:szCs w:val="20"/>
          <w:color w:val="auto"/>
        </w:rPr>
      </w:pPr>
    </w:p>
    <w:p>
      <w:pPr>
        <w:spacing w:after="0" w:line="392"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(Continued)</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Page 8 of 19</w:t>
      </w:r>
    </w:p>
    <w:p>
      <w:pPr>
        <w:sectPr>
          <w:pgSz w:w="11900" w:h="16838" w:orient="portrait"/>
          <w:cols w:equalWidth="0" w:num="1">
            <w:col w:w="11520"/>
          </w:cols>
          <w:pgMar w:left="240" w:top="1096" w:right="139" w:bottom="1440" w:gutter="0" w:footer="0" w:header="0"/>
        </w:sectPr>
      </w:pPr>
    </w:p>
    <w:bookmarkStart w:id="7" w:name="page8"/>
    <w:bookmarkEnd w:id="7"/>
    <w:p>
      <w:pPr>
        <w:ind w:left="1640"/>
        <w:spacing w:after="0"/>
        <w:rPr>
          <w:sz w:val="20"/>
          <w:szCs w:val="20"/>
          <w:color w:val="auto"/>
        </w:rPr>
      </w:pPr>
      <w:r>
        <w:rPr>
          <w:rFonts w:ascii="Courier New" w:cs="Courier New" w:eastAsia="Courier New" w:hAnsi="Courier New"/>
          <w:sz w:val="17"/>
          <w:szCs w:val="17"/>
          <w:color w:val="auto"/>
        </w:rPr>
        <w:t>WORLD FUEL SERVICES CORPORATION AND SUBSIDIARIES</w:t>
      </w:r>
    </w:p>
    <w:p>
      <w:pPr>
        <w:spacing w:after="0" w:line="200" w:lineRule="exact"/>
        <w:rPr>
          <w:sz w:val="20"/>
          <w:szCs w:val="20"/>
          <w:color w:val="auto"/>
        </w:rPr>
      </w:pPr>
    </w:p>
    <w:p>
      <w:pPr>
        <w:jc w:val="center"/>
        <w:ind w:right="2140"/>
        <w:spacing w:after="0"/>
        <w:rPr>
          <w:sz w:val="20"/>
          <w:szCs w:val="20"/>
          <w:color w:val="auto"/>
        </w:rPr>
      </w:pPr>
      <w:r>
        <w:rPr>
          <w:rFonts w:ascii="Courier New" w:cs="Courier New" w:eastAsia="Courier New" w:hAnsi="Courier New"/>
          <w:sz w:val="17"/>
          <w:szCs w:val="17"/>
          <w:color w:val="auto"/>
        </w:rPr>
        <w:t>CONSOLIDATED STATEMENTS OF CASH FLOWS</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(Continued)</w:t>
      </w:r>
    </w:p>
    <w:p>
      <w:pPr>
        <w:spacing w:after="0" w:line="200" w:lineRule="exact"/>
        <w:rPr>
          <w:sz w:val="20"/>
          <w:szCs w:val="20"/>
          <w:color w:val="auto"/>
        </w:rPr>
      </w:pPr>
    </w:p>
    <w:p>
      <w:pPr>
        <w:jc w:val="right"/>
        <w:ind w:right="420"/>
        <w:spacing w:after="0"/>
        <w:rPr>
          <w:sz w:val="20"/>
          <w:szCs w:val="20"/>
          <w:color w:val="auto"/>
        </w:rPr>
      </w:pPr>
      <w:r>
        <w:rPr>
          <w:rFonts w:ascii="Courier New" w:cs="Courier New" w:eastAsia="Courier New" w:hAnsi="Courier New"/>
          <w:sz w:val="17"/>
          <w:szCs w:val="17"/>
          <w:color w:val="auto"/>
        </w:rPr>
        <w:t>SIX MONTHS ENDED</w:t>
      </w:r>
    </w:p>
    <w:p>
      <w:pPr>
        <w:spacing w:after="0" w:line="4" w:lineRule="exact"/>
        <w:rPr>
          <w:sz w:val="20"/>
          <w:szCs w:val="20"/>
          <w:color w:val="auto"/>
        </w:rPr>
      </w:pPr>
    </w:p>
    <w:p>
      <w:pPr>
        <w:jc w:val="right"/>
        <w:ind w:right="420"/>
        <w:spacing w:after="0"/>
        <w:rPr>
          <w:sz w:val="20"/>
          <w:szCs w:val="20"/>
          <w:color w:val="auto"/>
        </w:rPr>
      </w:pPr>
      <w:r>
        <w:rPr>
          <w:rFonts w:ascii="Courier New" w:cs="Courier New" w:eastAsia="Courier New" w:hAnsi="Courier New"/>
          <w:sz w:val="17"/>
          <w:szCs w:val="17"/>
          <w:color w:val="auto"/>
        </w:rPr>
        <w:t>SEPTEMBER 30,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20" w:type="dxa"/>
            <w:vAlign w:val="bottom"/>
          </w:tcPr>
          <w:p>
            <w:pPr>
              <w:spacing w:after="0"/>
              <w:rPr>
                <w:sz w:val="16"/>
                <w:szCs w:val="16"/>
                <w:color w:val="auto"/>
              </w:rPr>
            </w:pPr>
          </w:p>
        </w:tc>
        <w:tc>
          <w:tcPr>
            <w:tcW w:w="45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9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760" w:type="dxa"/>
            <w:vAlign w:val="bottom"/>
          </w:tcPr>
          <w:p>
            <w:pPr>
              <w:jc w:val="right"/>
              <w:ind w:right="275"/>
              <w:spacing w:after="0"/>
              <w:rPr>
                <w:sz w:val="20"/>
                <w:szCs w:val="20"/>
                <w:color w:val="auto"/>
              </w:rPr>
            </w:pPr>
            <w:r>
              <w:rPr>
                <w:rFonts w:ascii="Courier New" w:cs="Courier New" w:eastAsia="Courier New" w:hAnsi="Courier New"/>
                <w:sz w:val="17"/>
                <w:szCs w:val="17"/>
                <w:color w:val="auto"/>
                <w:w w:val="93"/>
              </w:rPr>
              <w:t>1995</w:t>
            </w:r>
          </w:p>
        </w:tc>
        <w:tc>
          <w:tcPr>
            <w:tcW w:w="11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1994</w:t>
            </w:r>
          </w:p>
        </w:tc>
      </w:tr>
      <w:tr>
        <w:trPr>
          <w:trHeight w:val="196"/>
        </w:trPr>
        <w:tc>
          <w:tcPr>
            <w:tcW w:w="5920" w:type="dxa"/>
            <w:vAlign w:val="bottom"/>
          </w:tcPr>
          <w:p>
            <w:pPr>
              <w:spacing w:after="0"/>
              <w:rPr>
                <w:sz w:val="17"/>
                <w:szCs w:val="17"/>
                <w:color w:val="auto"/>
              </w:rPr>
            </w:pPr>
          </w:p>
        </w:tc>
        <w:tc>
          <w:tcPr>
            <w:tcW w:w="33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5920" w:type="dxa"/>
            <w:vAlign w:val="bottom"/>
          </w:tcPr>
          <w:p>
            <w:pPr>
              <w:spacing w:after="0"/>
              <w:rPr>
                <w:sz w:val="20"/>
                <w:szCs w:val="20"/>
                <w:color w:val="auto"/>
              </w:rPr>
            </w:pPr>
            <w:r>
              <w:rPr>
                <w:rFonts w:ascii="Courier New" w:cs="Courier New" w:eastAsia="Courier New" w:hAnsi="Courier New"/>
                <w:sz w:val="17"/>
                <w:szCs w:val="17"/>
                <w:color w:val="auto"/>
              </w:rPr>
              <w:t>SUPPLEMENTAL DISCLOSURES OF CASH FLOW</w:t>
            </w:r>
          </w:p>
        </w:tc>
        <w:tc>
          <w:tcPr>
            <w:tcW w:w="2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6"/>
        </w:trPr>
        <w:tc>
          <w:tcPr>
            <w:tcW w:w="5920" w:type="dxa"/>
            <w:vAlign w:val="bottom"/>
          </w:tcPr>
          <w:p>
            <w:pPr>
              <w:ind w:left="200"/>
              <w:spacing w:after="0"/>
              <w:rPr>
                <w:sz w:val="20"/>
                <w:szCs w:val="20"/>
                <w:color w:val="auto"/>
              </w:rPr>
            </w:pPr>
            <w:r>
              <w:rPr>
                <w:rFonts w:ascii="Courier New" w:cs="Courier New" w:eastAsia="Courier New" w:hAnsi="Courier New"/>
                <w:sz w:val="17"/>
                <w:szCs w:val="17"/>
                <w:color w:val="auto"/>
              </w:rPr>
              <w:t>INFORMATION:</w:t>
            </w:r>
          </w:p>
        </w:tc>
        <w:tc>
          <w:tcPr>
            <w:tcW w:w="2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92"/>
        </w:trPr>
        <w:tc>
          <w:tcPr>
            <w:tcW w:w="5920" w:type="dxa"/>
            <w:vAlign w:val="bottom"/>
          </w:tcPr>
          <w:p>
            <w:pPr>
              <w:ind w:left="420"/>
              <w:spacing w:after="0"/>
              <w:rPr>
                <w:sz w:val="20"/>
                <w:szCs w:val="20"/>
                <w:color w:val="auto"/>
              </w:rPr>
            </w:pPr>
            <w:r>
              <w:rPr>
                <w:rFonts w:ascii="Courier New" w:cs="Courier New" w:eastAsia="Courier New" w:hAnsi="Courier New"/>
                <w:sz w:val="17"/>
                <w:szCs w:val="17"/>
                <w:color w:val="auto"/>
              </w:rPr>
              <w:t>Cash paid during the period for:</w:t>
            </w:r>
          </w:p>
        </w:tc>
        <w:tc>
          <w:tcPr>
            <w:tcW w:w="2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6"/>
        </w:trPr>
        <w:tc>
          <w:tcPr>
            <w:tcW w:w="5920" w:type="dxa"/>
            <w:vAlign w:val="bottom"/>
          </w:tcPr>
          <w:p>
            <w:pPr>
              <w:ind w:left="1020"/>
              <w:spacing w:after="0"/>
              <w:rPr>
                <w:sz w:val="20"/>
                <w:szCs w:val="20"/>
                <w:color w:val="auto"/>
              </w:rPr>
            </w:pPr>
            <w:r>
              <w:rPr>
                <w:rFonts w:ascii="Courier New" w:cs="Courier New" w:eastAsia="Courier New" w:hAnsi="Courier New"/>
                <w:sz w:val="17"/>
                <w:szCs w:val="17"/>
                <w:color w:val="auto"/>
              </w:rPr>
              <w:t>Interest</w:t>
            </w:r>
          </w:p>
        </w:tc>
        <w:tc>
          <w:tcPr>
            <w:tcW w:w="256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4"/>
              </w:rPr>
              <w:t>38,000</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   44,000</w:t>
            </w:r>
          </w:p>
        </w:tc>
      </w:tr>
      <w:tr>
        <w:trPr>
          <w:trHeight w:val="196"/>
        </w:trPr>
        <w:tc>
          <w:tcPr>
            <w:tcW w:w="5920" w:type="dxa"/>
            <w:vAlign w:val="bottom"/>
          </w:tcPr>
          <w:p>
            <w:pPr>
              <w:spacing w:after="0"/>
              <w:rPr>
                <w:sz w:val="17"/>
                <w:szCs w:val="17"/>
                <w:color w:val="auto"/>
              </w:rPr>
            </w:pPr>
          </w:p>
        </w:tc>
        <w:tc>
          <w:tcPr>
            <w:tcW w:w="33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5920" w:type="dxa"/>
            <w:vAlign w:val="bottom"/>
          </w:tcPr>
          <w:p>
            <w:pPr>
              <w:ind w:left="1020"/>
              <w:spacing w:after="0"/>
              <w:rPr>
                <w:sz w:val="20"/>
                <w:szCs w:val="20"/>
                <w:color w:val="auto"/>
              </w:rPr>
            </w:pPr>
            <w:r>
              <w:rPr>
                <w:rFonts w:ascii="Courier New" w:cs="Courier New" w:eastAsia="Courier New" w:hAnsi="Courier New"/>
                <w:sz w:val="17"/>
                <w:szCs w:val="17"/>
                <w:color w:val="auto"/>
              </w:rPr>
              <w:t>Income taxes</w:t>
            </w:r>
          </w:p>
        </w:tc>
        <w:tc>
          <w:tcPr>
            <w:tcW w:w="33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$3,276,000</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$1,115,000</w:t>
            </w:r>
          </w:p>
        </w:tc>
      </w:tr>
      <w:tr>
        <w:trPr>
          <w:trHeight w:val="196"/>
        </w:trPr>
        <w:tc>
          <w:tcPr>
            <w:tcW w:w="5920" w:type="dxa"/>
            <w:vAlign w:val="bottom"/>
          </w:tcPr>
          <w:p>
            <w:pPr>
              <w:spacing w:after="0"/>
              <w:rPr>
                <w:sz w:val="17"/>
                <w:szCs w:val="17"/>
                <w:color w:val="auto"/>
              </w:rPr>
            </w:pPr>
          </w:p>
        </w:tc>
        <w:tc>
          <w:tcPr>
            <w:tcW w:w="33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SUPPLEMENTAL SCHEDULE OF NONCASH</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INVESTING AND FINANCING ACTIVITIES:</w:t>
      </w:r>
    </w:p>
    <w:p>
      <w:pPr>
        <w:spacing w:after="0" w:line="200"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On July 28, 1995, in accordance with the Acquisition Agreement relating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Trans-Tec acquisition, the Company reduced the principal outstanding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 the promissory notes issued in connection with the acquisition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$229,000, because the Company was unable to collect or realize certain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acquired assets. Of this amount, $207,000 reduced Goodwill and $22,000 reduced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Prepaid expenses and other current assets.</w:t>
      </w:r>
    </w:p>
    <w:p>
      <w:pPr>
        <w:spacing w:after="0" w:line="201" w:lineRule="exact"/>
        <w:rPr>
          <w:sz w:val="20"/>
          <w:szCs w:val="20"/>
          <w:color w:val="auto"/>
        </w:rPr>
      </w:pPr>
    </w:p>
    <w:p>
      <w:pPr>
        <w:ind w:right="2260" w:firstLine="918"/>
        <w:spacing w:after="0" w:line="263" w:lineRule="auto"/>
        <w:rPr>
          <w:sz w:val="20"/>
          <w:szCs w:val="20"/>
          <w:color w:val="auto"/>
        </w:rPr>
      </w:pPr>
      <w:r>
        <w:rPr>
          <w:rFonts w:ascii="Courier New" w:cs="Courier New" w:eastAsia="Courier New" w:hAnsi="Courier New"/>
          <w:sz w:val="16"/>
          <w:szCs w:val="16"/>
          <w:color w:val="auto"/>
        </w:rPr>
        <w:t>In April 1995, the Company paid $1,300,000, representing its share of the stockholders' class action settlement, by issuing 117,825 shares of the Company's common stock at an agreed upon price of $11.03 per share (restated to reflect the 3 for 2 stock split). Accordingly, as of March 31, 1995, the Company classified the accrued litigation settlement expense as a long-term liability.</w:t>
      </w:r>
    </w:p>
    <w:p>
      <w:pPr>
        <w:spacing w:after="0" w:line="184" w:lineRule="exact"/>
        <w:rPr>
          <w:sz w:val="20"/>
          <w:szCs w:val="20"/>
          <w:color w:val="auto"/>
        </w:rPr>
      </w:pPr>
    </w:p>
    <w:p>
      <w:pPr>
        <w:ind w:right="2760" w:firstLine="918"/>
        <w:spacing w:after="0" w:line="243" w:lineRule="auto"/>
        <w:rPr>
          <w:sz w:val="20"/>
          <w:szCs w:val="20"/>
          <w:color w:val="auto"/>
        </w:rPr>
      </w:pPr>
      <w:r>
        <w:rPr>
          <w:rFonts w:ascii="Courier New" w:cs="Courier New" w:eastAsia="Courier New" w:hAnsi="Courier New"/>
          <w:sz w:val="17"/>
          <w:szCs w:val="17"/>
          <w:color w:val="auto"/>
        </w:rPr>
        <w:t>As partial consideration for the sale of certain assets on June 1, 1995, the Company received $979,000 in notes receivable.</w:t>
      </w:r>
    </w:p>
    <w:p>
      <w:pPr>
        <w:spacing w:after="0" w:line="198"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Cash dividends declared, but not yet paid, totaling $396,000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$238,000, were included in the accounts payable balances as of September 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1995 and 1994, respectively.</w:t>
      </w:r>
    </w:p>
    <w:p>
      <w:pPr>
        <w:spacing w:after="0" w:line="201" w:lineRule="exact"/>
        <w:rPr>
          <w:sz w:val="20"/>
          <w:szCs w:val="20"/>
          <w:color w:val="auto"/>
        </w:rPr>
      </w:pPr>
    </w:p>
    <w:p>
      <w:pPr>
        <w:jc w:val="both"/>
        <w:ind w:right="2460" w:firstLine="918"/>
        <w:spacing w:after="0" w:line="243" w:lineRule="auto"/>
        <w:rPr>
          <w:sz w:val="20"/>
          <w:szCs w:val="20"/>
          <w:color w:val="auto"/>
        </w:rPr>
      </w:pPr>
      <w:r>
        <w:rPr>
          <w:rFonts w:ascii="Courier New" w:cs="Courier New" w:eastAsia="Courier New" w:hAnsi="Courier New"/>
          <w:sz w:val="17"/>
          <w:szCs w:val="17"/>
          <w:color w:val="auto"/>
        </w:rPr>
        <w:t>The Company had $378,000 in assets held for sale, previously included in property, plant and equipment, which were reclassified to prepaid expenses and other current assets as of September 30, 1994.</w:t>
      </w:r>
    </w:p>
    <w:p>
      <w:pPr>
        <w:spacing w:after="0" w:line="200" w:lineRule="exact"/>
        <w:rPr>
          <w:sz w:val="20"/>
          <w:szCs w:val="20"/>
          <w:color w:val="auto"/>
        </w:rPr>
      </w:pPr>
    </w:p>
    <w:p>
      <w:pPr>
        <w:ind w:right="2560" w:firstLine="918"/>
        <w:spacing w:after="0" w:line="243" w:lineRule="auto"/>
        <w:rPr>
          <w:sz w:val="20"/>
          <w:szCs w:val="20"/>
          <w:color w:val="auto"/>
        </w:rPr>
      </w:pPr>
      <w:r>
        <w:rPr>
          <w:rFonts w:ascii="Courier New" w:cs="Courier New" w:eastAsia="Courier New" w:hAnsi="Courier New"/>
          <w:sz w:val="17"/>
          <w:szCs w:val="17"/>
          <w:color w:val="auto"/>
        </w:rPr>
        <w:t>During the six months ended September 30, 1994, notes receivable totaling $267,000 were recorded in connection with the recovery of previously written-off accounts receivable.</w:t>
      </w:r>
    </w:p>
    <w:p>
      <w:pPr>
        <w:spacing w:after="0" w:line="200" w:lineRule="exact"/>
        <w:rPr>
          <w:sz w:val="20"/>
          <w:szCs w:val="20"/>
          <w:color w:val="auto"/>
        </w:rPr>
      </w:pPr>
    </w:p>
    <w:p>
      <w:pPr>
        <w:ind w:left="1120" w:right="2760" w:hanging="611"/>
        <w:spacing w:after="0" w:line="243" w:lineRule="auto"/>
        <w:rPr>
          <w:sz w:val="20"/>
          <w:szCs w:val="20"/>
          <w:color w:val="auto"/>
        </w:rPr>
      </w:pPr>
      <w:r>
        <w:rPr>
          <w:rFonts w:ascii="Courier New" w:cs="Courier New" w:eastAsia="Courier New" w:hAnsi="Courier New"/>
          <w:sz w:val="17"/>
          <w:szCs w:val="17"/>
          <w:color w:val="auto"/>
        </w:rPr>
        <w:t>The accompanying notes to the consolidated financial statements are an integral part of these consolidated statements (unaudited).</w:t>
      </w:r>
    </w:p>
    <w:p>
      <w:pPr>
        <w:spacing w:after="0" w:line="198"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Page 9 of 19</w:t>
      </w:r>
    </w:p>
    <w:p>
      <w:pPr>
        <w:sectPr>
          <w:pgSz w:w="11900" w:h="16838" w:orient="portrait"/>
          <w:cols w:equalWidth="0" w:num="1">
            <w:col w:w="10420"/>
          </w:cols>
          <w:pgMar w:left="240" w:top="1096" w:right="1239" w:bottom="1440" w:gutter="0" w:footer="0" w:header="0"/>
        </w:sectPr>
      </w:pPr>
    </w:p>
    <w:bookmarkStart w:id="8" w:name="page9"/>
    <w:bookmarkEnd w:id="8"/>
    <w:p>
      <w:pPr>
        <w:jc w:val="center"/>
        <w:ind w:right="2059"/>
        <w:spacing w:after="0"/>
        <w:rPr>
          <w:sz w:val="20"/>
          <w:szCs w:val="20"/>
          <w:color w:val="auto"/>
        </w:rPr>
      </w:pPr>
      <w:r>
        <w:rPr>
          <w:rFonts w:ascii="Courier New" w:cs="Courier New" w:eastAsia="Courier New" w:hAnsi="Courier New"/>
          <w:sz w:val="17"/>
          <w:szCs w:val="17"/>
          <w:color w:val="auto"/>
        </w:rPr>
        <w:t>WORLD FUEL SERVICES CORPORATION AND SUBSIDIARIES</w:t>
      </w:r>
    </w:p>
    <w:p>
      <w:pPr>
        <w:spacing w:after="0" w:line="200"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NOTES TO THE CONSOLIDATED FINANCIAL STATEMENTS</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ind w:left="520" w:hanging="515"/>
        <w:spacing w:after="0"/>
        <w:tabs>
          <w:tab w:leader="none" w:pos="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SIGNIFICANT ACCOUNTING POLICIES</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The accounting policies followed for quarterly financial reporting are the same as those disclosed in Note 1 of the Notes to the Consolidated Financial Statements included in the Company's Annual Report on Form 10-K for the year ended March 31, 1995.</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ORGANIZATION AND NATURE OF ACQUISITIONS</w:t>
      </w:r>
    </w:p>
    <w:p>
      <w:pPr>
        <w:spacing w:after="0" w:line="201" w:lineRule="exact"/>
        <w:rPr>
          <w:sz w:val="20"/>
          <w:szCs w:val="20"/>
          <w:color w:val="auto"/>
        </w:rPr>
      </w:pPr>
    </w:p>
    <w:p>
      <w:pPr>
        <w:ind w:right="2159"/>
        <w:spacing w:after="0" w:line="243" w:lineRule="auto"/>
        <w:rPr>
          <w:sz w:val="20"/>
          <w:szCs w:val="20"/>
          <w:color w:val="auto"/>
        </w:rPr>
      </w:pPr>
      <w:r>
        <w:rPr>
          <w:rFonts w:ascii="Courier New" w:cs="Courier New" w:eastAsia="Courier New" w:hAnsi="Courier New"/>
          <w:sz w:val="17"/>
          <w:szCs w:val="17"/>
          <w:color w:val="auto"/>
        </w:rPr>
        <w:t>On August 21, 1995, the shareholders of International Recovery Corp. approved a change in the Company's name to World Fuel Services Corporation.</w:t>
      </w:r>
    </w:p>
    <w:p>
      <w:pPr>
        <w:spacing w:after="0" w:line="199"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In January 1995, the Company entered the marine fuel business through the acquisition of the Trans-Tec group of companies. The acquisition was accounted for as a purchase. Accordingly, the results of operations of Trans-Tec are not reflected in the accompanying consolidated statements of income for the three and six months ended September 30, 1994. The following unaudited pro-forma consolidated results of operations for the three and six months ended September 30, 1994, assume that the Company acquired the Trans-Tec group of companies as of April 1, 1994.</w:t>
      </w:r>
    </w:p>
    <w:p>
      <w:pPr>
        <w:spacing w:after="0" w:line="199"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2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PRO-FORMA</w:t>
            </w:r>
          </w:p>
        </w:tc>
        <w:tc>
          <w:tcPr>
            <w:tcW w:w="560" w:type="dxa"/>
            <w:vAlign w:val="bottom"/>
          </w:tcPr>
          <w:p>
            <w:pPr>
              <w:spacing w:after="0"/>
              <w:rPr>
                <w:sz w:val="16"/>
                <w:szCs w:val="16"/>
                <w:color w:val="auto"/>
              </w:rPr>
            </w:pPr>
          </w:p>
        </w:tc>
        <w:tc>
          <w:tcPr>
            <w:tcW w:w="1440" w:type="dxa"/>
            <w:vAlign w:val="bottom"/>
          </w:tcPr>
          <w:p>
            <w:pPr>
              <w:jc w:val="right"/>
              <w:ind w:right="435"/>
              <w:spacing w:after="0"/>
              <w:rPr>
                <w:sz w:val="20"/>
                <w:szCs w:val="20"/>
                <w:color w:val="auto"/>
              </w:rPr>
            </w:pPr>
            <w:r>
              <w:rPr>
                <w:rFonts w:ascii="Courier New" w:cs="Courier New" w:eastAsia="Courier New" w:hAnsi="Courier New"/>
                <w:sz w:val="17"/>
                <w:szCs w:val="17"/>
                <w:color w:val="auto"/>
                <w:w w:val="97"/>
              </w:rPr>
              <w:t>PRO-FORMA</w:t>
            </w:r>
          </w:p>
        </w:tc>
      </w:tr>
      <w:tr>
        <w:trPr>
          <w:trHeight w:val="196"/>
        </w:trPr>
        <w:tc>
          <w:tcPr>
            <w:tcW w:w="2140" w:type="dxa"/>
            <w:vAlign w:val="bottom"/>
          </w:tcPr>
          <w:p>
            <w:pPr>
              <w:spacing w:after="0"/>
              <w:rPr>
                <w:sz w:val="17"/>
                <w:szCs w:val="17"/>
                <w:color w:val="auto"/>
              </w:rPr>
            </w:pPr>
          </w:p>
        </w:tc>
        <w:tc>
          <w:tcPr>
            <w:tcW w:w="208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THREE MONTHS ENDED</w:t>
            </w:r>
          </w:p>
        </w:tc>
        <w:tc>
          <w:tcPr>
            <w:tcW w:w="200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SIX MONTHS ENDED</w:t>
            </w:r>
          </w:p>
        </w:tc>
      </w:tr>
      <w:tr>
        <w:trPr>
          <w:trHeight w:val="196"/>
        </w:trPr>
        <w:tc>
          <w:tcPr>
            <w:tcW w:w="2140" w:type="dxa"/>
            <w:vAlign w:val="bottom"/>
          </w:tcPr>
          <w:p>
            <w:pPr>
              <w:spacing w:after="0"/>
              <w:rPr>
                <w:sz w:val="17"/>
                <w:szCs w:val="17"/>
                <w:color w:val="auto"/>
              </w:rPr>
            </w:pPr>
          </w:p>
        </w:tc>
        <w:tc>
          <w:tcPr>
            <w:tcW w:w="208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SEPTEMBER 30, 1994</w:t>
            </w:r>
          </w:p>
        </w:tc>
        <w:tc>
          <w:tcPr>
            <w:tcW w:w="2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SEPTEMBER 30, 1994</w:t>
            </w:r>
          </w:p>
        </w:tc>
      </w:tr>
      <w:tr>
        <w:trPr>
          <w:trHeight w:val="196"/>
        </w:trPr>
        <w:tc>
          <w:tcPr>
            <w:tcW w:w="2140" w:type="dxa"/>
            <w:vAlign w:val="bottom"/>
          </w:tcPr>
          <w:p>
            <w:pPr>
              <w:spacing w:after="0"/>
              <w:rPr>
                <w:sz w:val="17"/>
                <w:szCs w:val="17"/>
                <w:color w:val="auto"/>
              </w:rPr>
            </w:pPr>
          </w:p>
        </w:tc>
        <w:tc>
          <w:tcPr>
            <w:tcW w:w="208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2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214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208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rPr>
              <w:t>$147,564,000</w:t>
            </w:r>
          </w:p>
        </w:tc>
        <w:tc>
          <w:tcPr>
            <w:tcW w:w="200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$258,255,000</w:t>
            </w:r>
          </w:p>
        </w:tc>
      </w:tr>
      <w:tr>
        <w:trPr>
          <w:trHeight w:val="196"/>
        </w:trPr>
        <w:tc>
          <w:tcPr>
            <w:tcW w:w="2140" w:type="dxa"/>
            <w:vAlign w:val="bottom"/>
          </w:tcPr>
          <w:p>
            <w:pPr>
              <w:spacing w:after="0"/>
              <w:rPr>
                <w:sz w:val="17"/>
                <w:szCs w:val="17"/>
                <w:color w:val="auto"/>
              </w:rPr>
            </w:pPr>
          </w:p>
        </w:tc>
        <w:tc>
          <w:tcPr>
            <w:tcW w:w="208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200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392"/>
        </w:trPr>
        <w:tc>
          <w:tcPr>
            <w:tcW w:w="214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2,135,000</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4,285,000</w:t>
            </w:r>
          </w:p>
        </w:tc>
      </w:tr>
      <w:tr>
        <w:trPr>
          <w:trHeight w:val="196"/>
        </w:trPr>
        <w:tc>
          <w:tcPr>
            <w:tcW w:w="2140" w:type="dxa"/>
            <w:vAlign w:val="bottom"/>
          </w:tcPr>
          <w:p>
            <w:pPr>
              <w:spacing w:after="0"/>
              <w:rPr>
                <w:sz w:val="17"/>
                <w:szCs w:val="17"/>
                <w:color w:val="auto"/>
              </w:rPr>
            </w:pPr>
          </w:p>
        </w:tc>
        <w:tc>
          <w:tcPr>
            <w:tcW w:w="208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200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392"/>
        </w:trPr>
        <w:tc>
          <w:tcPr>
            <w:tcW w:w="2140" w:type="dxa"/>
            <w:vAlign w:val="bottom"/>
          </w:tcPr>
          <w:p>
            <w:pPr>
              <w:spacing w:after="0"/>
              <w:rPr>
                <w:sz w:val="20"/>
                <w:szCs w:val="20"/>
                <w:color w:val="auto"/>
              </w:rPr>
            </w:pPr>
            <w:r>
              <w:rPr>
                <w:rFonts w:ascii="Courier New" w:cs="Courier New" w:eastAsia="Courier New" w:hAnsi="Courier New"/>
                <w:sz w:val="17"/>
                <w:szCs w:val="17"/>
                <w:color w:val="auto"/>
              </w:rPr>
              <w:t>Net Income Per Share</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.27</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.55</w:t>
            </w:r>
          </w:p>
        </w:tc>
      </w:tr>
      <w:tr>
        <w:trPr>
          <w:trHeight w:val="196"/>
        </w:trPr>
        <w:tc>
          <w:tcPr>
            <w:tcW w:w="2140" w:type="dxa"/>
            <w:vAlign w:val="bottom"/>
          </w:tcPr>
          <w:p>
            <w:pPr>
              <w:spacing w:after="0"/>
              <w:rPr>
                <w:sz w:val="17"/>
                <w:szCs w:val="17"/>
                <w:color w:val="auto"/>
              </w:rPr>
            </w:pPr>
          </w:p>
        </w:tc>
        <w:tc>
          <w:tcPr>
            <w:tcW w:w="208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200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r>
    </w:tbl>
    <w:p>
      <w:pPr>
        <w:spacing w:after="0" w:line="201" w:lineRule="exact"/>
        <w:rPr>
          <w:sz w:val="20"/>
          <w:szCs w:val="20"/>
          <w:color w:val="auto"/>
        </w:rPr>
      </w:pPr>
    </w:p>
    <w:p>
      <w:pPr>
        <w:jc w:val="both"/>
        <w:ind w:right="2059"/>
        <w:spacing w:after="0" w:line="273" w:lineRule="auto"/>
        <w:rPr>
          <w:sz w:val="20"/>
          <w:szCs w:val="20"/>
          <w:color w:val="auto"/>
        </w:rPr>
      </w:pPr>
      <w:r>
        <w:rPr>
          <w:rFonts w:ascii="Courier New" w:cs="Courier New" w:eastAsia="Courier New" w:hAnsi="Courier New"/>
          <w:sz w:val="16"/>
          <w:szCs w:val="16"/>
          <w:color w:val="auto"/>
        </w:rPr>
        <w:t>The pro-forma consolidated results shown above are not necessarily indicative of those that would have occurred had the acquisition taken place on April 1, 1994.</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Page 10 of 19</w:t>
      </w:r>
    </w:p>
    <w:p>
      <w:pPr>
        <w:sectPr>
          <w:pgSz w:w="11900" w:h="16838" w:orient="portrait"/>
          <w:cols w:equalWidth="0" w:num="1">
            <w:col w:w="10219"/>
          </w:cols>
          <w:pgMar w:left="240" w:top="50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7"/>
          <w:szCs w:val="17"/>
          <w:color w:val="auto"/>
        </w:rPr>
        <w:t>(2) DISPOSITION OF ASSETS</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Effective June 1, 1995, the Company sold substantially all of the operating assets and liabilities of International Petroleum Corporation of Georgia ("IPC-GA"), a subsidiary of the Company engaged in the used oil recycling business, to Universal Refining, LLC ("URL") and Mr. Barry Paul. URL's president is Mr. Barry Paul, the former president of IPC-GA and of the entity from which IPC-GA initially purchased these assets in August 1990. Mr. Paul is the cousin of the Company's President. The sales price was $1,179,000, which closely approximated the Company's carrying values of the net assets sold. A cash payment of $200,000 was received at closing, and a promissory note for $979,000 was obtained for the balance. The promissory note bears interest at 10% per annum, has a term of 12 years commencing June 1, 1995, and is payable in equal monthly installments of principal and interest. The promissory note is collateralized by the property, plant and equipment sold.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 STOCKHOLDERS' EQUITY</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On June 5, 1995, the Board of Directors approved a three for two stock split for all shares of common stock outstanding as of June 19, 1995. The shares were distributed on June 27, 1995. Accordingly, all share and per share data, as appropriate, have been retroactively adjusted to reflect the effects of this split.</w:t>
      </w:r>
    </w:p>
    <w:p>
      <w:pPr>
        <w:spacing w:after="0" w:line="197"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Page 11 of 19</w:t>
      </w:r>
    </w:p>
    <w:p>
      <w:pPr>
        <w:sectPr>
          <w:pgSz w:w="11900" w:h="16838" w:orient="portrait"/>
          <w:cols w:equalWidth="0" w:num="1">
            <w:col w:w="10219"/>
          </w:cols>
          <w:pgMar w:left="240" w:top="703" w:right="1440" w:bottom="1440" w:gutter="0" w:footer="0" w:header="0"/>
        </w:sectPr>
      </w:pPr>
    </w:p>
    <w:bookmarkStart w:id="10" w:name="page11"/>
    <w:bookmarkEnd w:id="10"/>
    <w:p>
      <w:pPr>
        <w:ind w:left="1940" w:right="3679" w:hanging="1937"/>
        <w:spacing w:after="0" w:line="243" w:lineRule="auto"/>
        <w:tabs>
          <w:tab w:leader="none" w:pos="192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7"/>
          <w:szCs w:val="17"/>
          <w:color w:val="auto"/>
        </w:rPr>
        <w:t>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201" w:lineRule="exact"/>
        <w:rPr>
          <w:sz w:val="20"/>
          <w:szCs w:val="20"/>
          <w:color w:val="auto"/>
        </w:rPr>
      </w:pPr>
    </w:p>
    <w:p>
      <w:pPr>
        <w:ind w:right="2259" w:firstLine="918"/>
        <w:spacing w:after="0" w:line="244" w:lineRule="auto"/>
        <w:rPr>
          <w:sz w:val="20"/>
          <w:szCs w:val="20"/>
          <w:color w:val="auto"/>
        </w:rPr>
      </w:pPr>
      <w:r>
        <w:rPr>
          <w:rFonts w:ascii="Courier New" w:cs="Courier New" w:eastAsia="Courier New" w:hAnsi="Courier New"/>
          <w:sz w:val="17"/>
          <w:szCs w:val="17"/>
          <w:color w:val="auto"/>
        </w:rPr>
        <w:t>In January 1995, the Company entered the marine fuel business through the acquisition of the Trans-Tec group of companies. The Company acquired substantially all of the assets and assumed certain liabilities of Trans-Tec Services, Inc., a New York corporation, and Trans-Tec Servicios, S.A., a Costa Rica corporation, and acquired all of the outstanding stock of Trans-Tec Services (UK), Ltd., a United Kingdom corporation ("UK"). The UK company owns Trans-Tec Services (Singapore) Pte., Ltd. As the acquisition was accounted for as a purchase, the results of operations of Trans-Tec are not reflected in the accompanying consolidated statements of income for the three and six months ended September 30, 1994. See Note 1 of notes to the consolidated financial statements.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SIX MONTHS ENDED SEPTEMBER 30, 1995 COMPARED TO</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THE SIX MONTHS ENDED SEPTEMBER 30, 1994</w:t>
      </w:r>
    </w:p>
    <w:p>
      <w:pPr>
        <w:spacing w:after="0" w:line="201" w:lineRule="exact"/>
        <w:rPr>
          <w:sz w:val="20"/>
          <w:szCs w:val="20"/>
          <w:color w:val="auto"/>
        </w:rPr>
      </w:pPr>
    </w:p>
    <w:p>
      <w:pPr>
        <w:jc w:val="both"/>
        <w:ind w:right="2159" w:firstLine="918"/>
        <w:spacing w:after="0" w:line="244" w:lineRule="auto"/>
        <w:rPr>
          <w:sz w:val="20"/>
          <w:szCs w:val="20"/>
          <w:color w:val="auto"/>
        </w:rPr>
      </w:pPr>
      <w:r>
        <w:rPr>
          <w:rFonts w:ascii="Courier New" w:cs="Courier New" w:eastAsia="Courier New" w:hAnsi="Courier New"/>
          <w:sz w:val="17"/>
          <w:szCs w:val="17"/>
          <w:color w:val="auto"/>
        </w:rPr>
        <w:t>The Company's revenue for the six months ended September 30, 1995 was $284,618,000, an increase of $135,434,000, or 90.8%, as compared to revenue of $149,184,000 for the corresponding period the prior year. The Company's revenue during these periods was attributable to the following segments:</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26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PERCENT</w:t>
            </w:r>
          </w:p>
        </w:tc>
      </w:tr>
      <w:tr>
        <w:trPr>
          <w:trHeight w:val="196"/>
        </w:trPr>
        <w:tc>
          <w:tcPr>
            <w:tcW w:w="2660" w:type="dxa"/>
            <w:vAlign w:val="bottom"/>
          </w:tcPr>
          <w:p>
            <w:pPr>
              <w:spacing w:after="0"/>
              <w:rPr>
                <w:sz w:val="17"/>
                <w:szCs w:val="17"/>
                <w:color w:val="auto"/>
              </w:rPr>
            </w:pPr>
          </w:p>
        </w:tc>
        <w:tc>
          <w:tcPr>
            <w:tcW w:w="3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SIX MONTHS ENDED SEPTEMBER 30,</w:t>
            </w: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INCREASE</w:t>
            </w:r>
          </w:p>
        </w:tc>
      </w:tr>
      <w:tr>
        <w:trPr>
          <w:trHeight w:val="196"/>
        </w:trPr>
        <w:tc>
          <w:tcPr>
            <w:tcW w:w="2660" w:type="dxa"/>
            <w:vAlign w:val="bottom"/>
          </w:tcPr>
          <w:p>
            <w:pPr>
              <w:spacing w:after="0"/>
              <w:rPr>
                <w:sz w:val="17"/>
                <w:szCs w:val="17"/>
                <w:color w:val="auto"/>
              </w:rPr>
            </w:pPr>
          </w:p>
        </w:tc>
        <w:tc>
          <w:tcPr>
            <w:tcW w:w="16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1995</w:t>
            </w:r>
          </w:p>
        </w:tc>
        <w:tc>
          <w:tcPr>
            <w:tcW w:w="15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1994</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(DECREASE)</w:t>
            </w:r>
          </w:p>
        </w:tc>
      </w:tr>
      <w:tr>
        <w:trPr>
          <w:trHeight w:val="196"/>
        </w:trPr>
        <w:tc>
          <w:tcPr>
            <w:tcW w:w="2660" w:type="dxa"/>
            <w:vAlign w:val="bottom"/>
          </w:tcPr>
          <w:p>
            <w:pPr>
              <w:spacing w:after="0"/>
              <w:rPr>
                <w:sz w:val="17"/>
                <w:szCs w:val="17"/>
                <w:color w:val="auto"/>
              </w:rPr>
            </w:pPr>
          </w:p>
        </w:tc>
        <w:tc>
          <w:tcPr>
            <w:tcW w:w="16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Aviation Fueling</w:t>
            </w:r>
          </w:p>
        </w:tc>
        <w:tc>
          <w:tcPr>
            <w:tcW w:w="16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$136,398,000</w:t>
            </w:r>
          </w:p>
        </w:tc>
        <w:tc>
          <w:tcPr>
            <w:tcW w:w="15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$140,055,000</w:t>
            </w:r>
          </w:p>
        </w:tc>
        <w:tc>
          <w:tcPr>
            <w:tcW w:w="10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(2.6%)</w:t>
            </w: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Marine Fueling</w:t>
            </w:r>
          </w:p>
        </w:tc>
        <w:tc>
          <w:tcPr>
            <w:tcW w:w="16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139,936,000</w:t>
            </w:r>
          </w:p>
        </w:tc>
        <w:tc>
          <w:tcPr>
            <w:tcW w:w="15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Oil Recycling</w:t>
            </w:r>
          </w:p>
        </w:tc>
        <w:tc>
          <w:tcPr>
            <w:tcW w:w="16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8,284,000</w:t>
            </w:r>
          </w:p>
        </w:tc>
        <w:tc>
          <w:tcPr>
            <w:tcW w:w="15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9,135,000</w:t>
            </w:r>
          </w:p>
        </w:tc>
        <w:tc>
          <w:tcPr>
            <w:tcW w:w="1060" w:type="dxa"/>
            <w:vAlign w:val="bottom"/>
          </w:tcPr>
          <w:p>
            <w:pPr>
              <w:jc w:val="center"/>
              <w:spacing w:after="0"/>
              <w:rPr>
                <w:sz w:val="20"/>
                <w:szCs w:val="20"/>
                <w:color w:val="auto"/>
              </w:rPr>
            </w:pPr>
            <w:r>
              <w:rPr>
                <w:rFonts w:ascii="Courier New" w:cs="Courier New" w:eastAsia="Courier New" w:hAnsi="Courier New"/>
                <w:sz w:val="17"/>
                <w:szCs w:val="17"/>
                <w:color w:val="auto"/>
                <w:w w:val="97"/>
              </w:rPr>
              <w:t>(9.3)</w:t>
            </w: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Intersegment Eliminations</w:t>
            </w:r>
          </w:p>
        </w:tc>
        <w:tc>
          <w:tcPr>
            <w:tcW w:w="16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(6,000)</w:t>
            </w:r>
          </w:p>
        </w:tc>
        <w:tc>
          <w:tcPr>
            <w:tcW w:w="106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2660" w:type="dxa"/>
            <w:vAlign w:val="bottom"/>
          </w:tcPr>
          <w:p>
            <w:pPr>
              <w:spacing w:after="0"/>
              <w:rPr>
                <w:sz w:val="17"/>
                <w:szCs w:val="17"/>
                <w:color w:val="auto"/>
              </w:rPr>
            </w:pPr>
          </w:p>
        </w:tc>
        <w:tc>
          <w:tcPr>
            <w:tcW w:w="16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Total Revenue</w:t>
            </w:r>
          </w:p>
        </w:tc>
        <w:tc>
          <w:tcPr>
            <w:tcW w:w="16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$284,618,000</w:t>
            </w:r>
          </w:p>
        </w:tc>
        <w:tc>
          <w:tcPr>
            <w:tcW w:w="15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$149,184,000</w:t>
            </w:r>
          </w:p>
        </w:tc>
        <w:tc>
          <w:tcPr>
            <w:tcW w:w="1060" w:type="dxa"/>
            <w:vAlign w:val="bottom"/>
          </w:tcPr>
          <w:p>
            <w:pPr>
              <w:jc w:val="center"/>
              <w:spacing w:after="0"/>
              <w:rPr>
                <w:sz w:val="20"/>
                <w:szCs w:val="20"/>
                <w:color w:val="auto"/>
              </w:rPr>
            </w:pPr>
            <w:r>
              <w:rPr>
                <w:rFonts w:ascii="Courier New" w:cs="Courier New" w:eastAsia="Courier New" w:hAnsi="Courier New"/>
                <w:sz w:val="17"/>
                <w:szCs w:val="17"/>
                <w:color w:val="auto"/>
                <w:w w:val="97"/>
              </w:rPr>
              <w:t>90.8%</w:t>
            </w:r>
          </w:p>
        </w:tc>
      </w:tr>
      <w:tr>
        <w:trPr>
          <w:trHeight w:val="196"/>
        </w:trPr>
        <w:tc>
          <w:tcPr>
            <w:tcW w:w="2660" w:type="dxa"/>
            <w:vAlign w:val="bottom"/>
          </w:tcPr>
          <w:p>
            <w:pPr>
              <w:spacing w:after="0"/>
              <w:rPr>
                <w:sz w:val="17"/>
                <w:szCs w:val="17"/>
                <w:color w:val="auto"/>
              </w:rPr>
            </w:pPr>
          </w:p>
        </w:tc>
        <w:tc>
          <w:tcPr>
            <w:tcW w:w="16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r>
    </w:tbl>
    <w:p>
      <w:pPr>
        <w:spacing w:after="0" w:line="200"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 Percent not meaningful</w:t>
      </w:r>
    </w:p>
    <w:p>
      <w:pPr>
        <w:spacing w:after="0" w:line="201"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The aviation fueling segment contributed $136,398,000 in revenue for the six months ended September 30, 1995. This represented a decrease in revenue of $3,657,000, or 2.6%, as compared to the same period last year. This decrease in revenue was due to a volume decrease in narrow margin bulk transactions and the termination of the fuel terminaling operations conducted at Miami International Airport, which contract was not renewed effective June 30, 1994. Partially offsetting was a price related revenue increase which reflects general market conditions. The marine fueling segment contributed $139,936,000 in revenue. The oil recycling segment contributed $8,284,000 in revenue for the six months ended September 30, 1995. This was a decrease in revenue of $851,000, or 9.3%, as compared to the same period last year. The revenue decrease was due to the sale of its Georgia operations (see Note 2) and lower sales volume. Partially offsetting were higher used oil and waste water collection revenues, and a price related increase on recycled product.</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Page 12 of 19</w:t>
      </w:r>
    </w:p>
    <w:p>
      <w:pPr>
        <w:sectPr>
          <w:pgSz w:w="11900" w:h="16838" w:orient="portrait"/>
          <w:cols w:equalWidth="0" w:num="1">
            <w:col w:w="10219"/>
          </w:cols>
          <w:pgMar w:left="240" w:top="704" w:right="1440" w:bottom="1440" w:gutter="0" w:footer="0" w:header="0"/>
        </w:sectPr>
      </w:pPr>
    </w:p>
    <w:bookmarkStart w:id="11" w:name="page12"/>
    <w:bookmarkEnd w:id="11"/>
    <w:p>
      <w:pPr>
        <w:ind w:right="2159" w:firstLine="918"/>
        <w:spacing w:after="0" w:line="244" w:lineRule="auto"/>
        <w:rPr>
          <w:sz w:val="20"/>
          <w:szCs w:val="20"/>
          <w:color w:val="auto"/>
        </w:rPr>
      </w:pPr>
      <w:r>
        <w:rPr>
          <w:rFonts w:ascii="Courier New" w:cs="Courier New" w:eastAsia="Courier New" w:hAnsi="Courier New"/>
          <w:sz w:val="17"/>
          <w:szCs w:val="17"/>
          <w:color w:val="auto"/>
        </w:rPr>
        <w:t>The Company's gross profit of $19,085,000 increased by $6,112,000, or 47.1%, as compared to the same period last year. The Company's gross margin decreased from 8.7% for the six months ended September 30, 1994 to 6.7% for the six months ended September 30, 1995.</w:t>
      </w:r>
    </w:p>
    <w:p>
      <w:pPr>
        <w:spacing w:after="0" w:line="198"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The Company's aviation fueling business achieved a 7.5% gross margin for the six months ended September 30, 1995, as compared to 7.2% achieved for the same period during the prior fiscal year. The increase in the gross margin was largely attributed to a reduction in narrow margin bulk transactions. The Company's marine fueling segment achieved a 4.4% gross margin for the six months ended September 30, 1995. The gross margin in the Company's oil recycling segment increased from 31.0% for the six months ended September 30, 1994, to 32.7% for the six months ended September 30, 1995.</w:t>
      </w:r>
    </w:p>
    <w:p>
      <w:pPr>
        <w:spacing w:after="0" w:line="199"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Total operating expenses for the six months ended September 30, 1995 were $11,679,000, an increase of $4,254,000, or 57.3%, as compared to the same period a year ago. This increase resulted primarily from operating expenses of the marine fueling segment, which totalled $4,708,000 and higher corporate overhead salaries and payroll related costs totalling $526,000. Partially offsetting were a $747,000 decrease in the aviation segment provision for bad debts and $317,000 due to the termination of the Company's fuel terminaling activities. In relation to revenue, total operating expenses decreased from 5.0% to 4.1%.</w:t>
      </w:r>
    </w:p>
    <w:p>
      <w:pPr>
        <w:spacing w:after="0" w:line="200"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The Company's income from operations for the six months ended September 30, 1995 was $ 7,406,000, an increase of $1,858,000, or 33.5%, as compared to the same period a year ago. Income from operations during these periods was attributable to the following segments:</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2200" w:type="dxa"/>
            <w:vAlign w:val="bottom"/>
          </w:tcPr>
          <w:p>
            <w:pPr>
              <w:spacing w:after="0"/>
              <w:rPr>
                <w:sz w:val="16"/>
                <w:szCs w:val="16"/>
                <w:color w:val="auto"/>
              </w:rPr>
            </w:pPr>
          </w:p>
        </w:tc>
        <w:tc>
          <w:tcPr>
            <w:tcW w:w="388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rPr>
              <w:t>SIX MONTHS ENDED SEPTEMBER 30,</w:t>
            </w:r>
          </w:p>
        </w:tc>
        <w:tc>
          <w:tcPr>
            <w:tcW w:w="1280" w:type="dxa"/>
            <w:vAlign w:val="bottom"/>
          </w:tcPr>
          <w:p>
            <w:pPr>
              <w:ind w:left="460"/>
              <w:spacing w:after="0"/>
              <w:rPr>
                <w:sz w:val="20"/>
                <w:szCs w:val="20"/>
                <w:color w:val="auto"/>
              </w:rPr>
            </w:pPr>
            <w:r>
              <w:rPr>
                <w:rFonts w:ascii="Courier New" w:cs="Courier New" w:eastAsia="Courier New" w:hAnsi="Courier New"/>
                <w:sz w:val="17"/>
                <w:szCs w:val="17"/>
                <w:color w:val="auto"/>
              </w:rPr>
              <w:t>PERCENT</w:t>
            </w:r>
          </w:p>
        </w:tc>
      </w:tr>
      <w:tr>
        <w:trPr>
          <w:trHeight w:val="196"/>
        </w:trPr>
        <w:tc>
          <w:tcPr>
            <w:tcW w:w="2200" w:type="dxa"/>
            <w:vAlign w:val="bottom"/>
          </w:tcPr>
          <w:p>
            <w:pPr>
              <w:spacing w:after="0"/>
              <w:rPr>
                <w:sz w:val="17"/>
                <w:szCs w:val="17"/>
                <w:color w:val="auto"/>
              </w:rPr>
            </w:pPr>
          </w:p>
        </w:tc>
        <w:tc>
          <w:tcPr>
            <w:tcW w:w="194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1995</w:t>
            </w:r>
          </w:p>
        </w:tc>
        <w:tc>
          <w:tcPr>
            <w:tcW w:w="194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1994</w:t>
            </w:r>
          </w:p>
        </w:tc>
        <w:tc>
          <w:tcPr>
            <w:tcW w:w="1280" w:type="dxa"/>
            <w:vAlign w:val="bottom"/>
          </w:tcPr>
          <w:p>
            <w:pPr>
              <w:ind w:left="460"/>
              <w:spacing w:after="0"/>
              <w:rPr>
                <w:sz w:val="20"/>
                <w:szCs w:val="20"/>
                <w:color w:val="auto"/>
              </w:rPr>
            </w:pPr>
            <w:r>
              <w:rPr>
                <w:rFonts w:ascii="Courier New" w:cs="Courier New" w:eastAsia="Courier New" w:hAnsi="Courier New"/>
                <w:sz w:val="17"/>
                <w:szCs w:val="17"/>
                <w:color w:val="auto"/>
                <w:w w:val="97"/>
              </w:rPr>
              <w:t>INCREASE</w:t>
            </w:r>
          </w:p>
        </w:tc>
      </w:tr>
      <w:tr>
        <w:trPr>
          <w:trHeight w:val="196"/>
        </w:trPr>
        <w:tc>
          <w:tcPr>
            <w:tcW w:w="2200" w:type="dxa"/>
            <w:vAlign w:val="bottom"/>
          </w:tcPr>
          <w:p>
            <w:pPr>
              <w:spacing w:after="0"/>
              <w:rPr>
                <w:sz w:val="17"/>
                <w:szCs w:val="17"/>
                <w:color w:val="auto"/>
              </w:rPr>
            </w:pPr>
          </w:p>
        </w:tc>
        <w:tc>
          <w:tcPr>
            <w:tcW w:w="19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2200" w:type="dxa"/>
            <w:vAlign w:val="bottom"/>
          </w:tcPr>
          <w:p>
            <w:pPr>
              <w:spacing w:after="0"/>
              <w:rPr>
                <w:sz w:val="20"/>
                <w:szCs w:val="20"/>
                <w:color w:val="auto"/>
              </w:rPr>
            </w:pPr>
            <w:r>
              <w:rPr>
                <w:rFonts w:ascii="Courier New" w:cs="Courier New" w:eastAsia="Courier New" w:hAnsi="Courier New"/>
                <w:sz w:val="17"/>
                <w:szCs w:val="17"/>
                <w:color w:val="auto"/>
              </w:rPr>
              <w:t>Aviation Fueling</w:t>
            </w:r>
          </w:p>
        </w:tc>
        <w:tc>
          <w:tcPr>
            <w:tcW w:w="19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$6,978,000</w:t>
            </w:r>
          </w:p>
        </w:tc>
        <w:tc>
          <w:tcPr>
            <w:tcW w:w="19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$5,898,000</w:t>
            </w:r>
          </w:p>
        </w:tc>
        <w:tc>
          <w:tcPr>
            <w:tcW w:w="1280" w:type="dxa"/>
            <w:vAlign w:val="bottom"/>
          </w:tcPr>
          <w:p>
            <w:pPr>
              <w:jc w:val="center"/>
              <w:ind w:left="475"/>
              <w:spacing w:after="0"/>
              <w:rPr>
                <w:sz w:val="20"/>
                <w:szCs w:val="20"/>
                <w:color w:val="auto"/>
              </w:rPr>
            </w:pPr>
            <w:r>
              <w:rPr>
                <w:rFonts w:ascii="Courier New" w:cs="Courier New" w:eastAsia="Courier New" w:hAnsi="Courier New"/>
                <w:sz w:val="17"/>
                <w:szCs w:val="17"/>
                <w:color w:val="auto"/>
              </w:rPr>
              <w:t>18.3%</w:t>
            </w:r>
          </w:p>
        </w:tc>
      </w:tr>
      <w:tr>
        <w:trPr>
          <w:trHeight w:val="196"/>
        </w:trPr>
        <w:tc>
          <w:tcPr>
            <w:tcW w:w="2200" w:type="dxa"/>
            <w:vAlign w:val="bottom"/>
          </w:tcPr>
          <w:p>
            <w:pPr>
              <w:spacing w:after="0"/>
              <w:rPr>
                <w:sz w:val="20"/>
                <w:szCs w:val="20"/>
                <w:color w:val="auto"/>
              </w:rPr>
            </w:pPr>
            <w:r>
              <w:rPr>
                <w:rFonts w:ascii="Courier New" w:cs="Courier New" w:eastAsia="Courier New" w:hAnsi="Courier New"/>
                <w:sz w:val="17"/>
                <w:szCs w:val="17"/>
                <w:color w:val="auto"/>
              </w:rPr>
              <w:t>Marine Fueling</w:t>
            </w:r>
          </w:p>
        </w:tc>
        <w:tc>
          <w:tcPr>
            <w:tcW w:w="19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1,453,000</w:t>
            </w:r>
          </w:p>
        </w:tc>
        <w:tc>
          <w:tcPr>
            <w:tcW w:w="1940" w:type="dxa"/>
            <w:vAlign w:val="bottom"/>
          </w:tcPr>
          <w:p>
            <w:pPr>
              <w:jc w:val="right"/>
              <w:ind w:right="89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center"/>
              <w:ind w:left="45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2200" w:type="dxa"/>
            <w:vAlign w:val="bottom"/>
          </w:tcPr>
          <w:p>
            <w:pPr>
              <w:spacing w:after="0"/>
              <w:rPr>
                <w:sz w:val="20"/>
                <w:szCs w:val="20"/>
                <w:color w:val="auto"/>
              </w:rPr>
            </w:pPr>
            <w:r>
              <w:rPr>
                <w:rFonts w:ascii="Courier New" w:cs="Courier New" w:eastAsia="Courier New" w:hAnsi="Courier New"/>
                <w:sz w:val="17"/>
                <w:szCs w:val="17"/>
                <w:color w:val="auto"/>
              </w:rPr>
              <w:t>Oil Recycling</w:t>
            </w:r>
          </w:p>
        </w:tc>
        <w:tc>
          <w:tcPr>
            <w:tcW w:w="19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1,472,000</w:t>
            </w:r>
          </w:p>
        </w:tc>
        <w:tc>
          <w:tcPr>
            <w:tcW w:w="19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1,469,000</w:t>
            </w:r>
          </w:p>
        </w:tc>
        <w:tc>
          <w:tcPr>
            <w:tcW w:w="1280" w:type="dxa"/>
            <w:vAlign w:val="bottom"/>
          </w:tcPr>
          <w:p>
            <w:pPr>
              <w:jc w:val="center"/>
              <w:ind w:left="45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2200" w:type="dxa"/>
            <w:vAlign w:val="bottom"/>
          </w:tcPr>
          <w:p>
            <w:pPr>
              <w:spacing w:after="0"/>
              <w:rPr>
                <w:sz w:val="20"/>
                <w:szCs w:val="20"/>
                <w:color w:val="auto"/>
              </w:rPr>
            </w:pPr>
            <w:r>
              <w:rPr>
                <w:rFonts w:ascii="Courier New" w:cs="Courier New" w:eastAsia="Courier New" w:hAnsi="Courier New"/>
                <w:sz w:val="17"/>
                <w:szCs w:val="17"/>
                <w:color w:val="auto"/>
              </w:rPr>
              <w:t>Corporate Overhead</w:t>
            </w:r>
          </w:p>
        </w:tc>
        <w:tc>
          <w:tcPr>
            <w:tcW w:w="19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(2,497,000)</w:t>
            </w:r>
          </w:p>
        </w:tc>
        <w:tc>
          <w:tcPr>
            <w:tcW w:w="19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(1,819,000)</w:t>
            </w: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37.3</w:t>
            </w:r>
          </w:p>
        </w:tc>
      </w:tr>
      <w:tr>
        <w:trPr>
          <w:trHeight w:val="196"/>
        </w:trPr>
        <w:tc>
          <w:tcPr>
            <w:tcW w:w="2200" w:type="dxa"/>
            <w:vAlign w:val="bottom"/>
          </w:tcPr>
          <w:p>
            <w:pPr>
              <w:spacing w:after="0"/>
              <w:rPr>
                <w:sz w:val="17"/>
                <w:szCs w:val="17"/>
                <w:color w:val="auto"/>
              </w:rPr>
            </w:pPr>
          </w:p>
        </w:tc>
        <w:tc>
          <w:tcPr>
            <w:tcW w:w="19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spacing w:after="0"/>
              <w:rPr>
                <w:sz w:val="17"/>
                <w:szCs w:val="17"/>
                <w:color w:val="auto"/>
              </w:rPr>
            </w:pPr>
          </w:p>
        </w:tc>
      </w:tr>
      <w:tr>
        <w:trPr>
          <w:trHeight w:val="196"/>
        </w:trPr>
        <w:tc>
          <w:tcPr>
            <w:tcW w:w="2200" w:type="dxa"/>
            <w:vAlign w:val="bottom"/>
          </w:tcPr>
          <w:p>
            <w:pPr>
              <w:spacing w:after="0"/>
              <w:rPr>
                <w:sz w:val="20"/>
                <w:szCs w:val="20"/>
                <w:color w:val="auto"/>
              </w:rPr>
            </w:pPr>
            <w:r>
              <w:rPr>
                <w:rFonts w:ascii="Courier New" w:cs="Courier New" w:eastAsia="Courier New" w:hAnsi="Courier New"/>
                <w:sz w:val="17"/>
                <w:szCs w:val="17"/>
                <w:color w:val="auto"/>
              </w:rPr>
              <w:t>Total Income from</w:t>
            </w:r>
          </w:p>
        </w:tc>
        <w:tc>
          <w:tcPr>
            <w:tcW w:w="19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2200" w:type="dxa"/>
            <w:vAlign w:val="bottom"/>
          </w:tcPr>
          <w:p>
            <w:pPr>
              <w:ind w:left="220"/>
              <w:spacing w:after="0"/>
              <w:rPr>
                <w:sz w:val="20"/>
                <w:szCs w:val="20"/>
                <w:color w:val="auto"/>
              </w:rPr>
            </w:pPr>
            <w:r>
              <w:rPr>
                <w:rFonts w:ascii="Courier New" w:cs="Courier New" w:eastAsia="Courier New" w:hAnsi="Courier New"/>
                <w:sz w:val="17"/>
                <w:szCs w:val="17"/>
                <w:color w:val="auto"/>
              </w:rPr>
              <w:t>Operations</w:t>
            </w:r>
          </w:p>
        </w:tc>
        <w:tc>
          <w:tcPr>
            <w:tcW w:w="19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$7,406,000</w:t>
            </w:r>
          </w:p>
        </w:tc>
        <w:tc>
          <w:tcPr>
            <w:tcW w:w="19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$5,548,000</w:t>
            </w:r>
          </w:p>
        </w:tc>
        <w:tc>
          <w:tcPr>
            <w:tcW w:w="1280" w:type="dxa"/>
            <w:vAlign w:val="bottom"/>
          </w:tcPr>
          <w:p>
            <w:pPr>
              <w:jc w:val="center"/>
              <w:ind w:left="475"/>
              <w:spacing w:after="0"/>
              <w:rPr>
                <w:sz w:val="20"/>
                <w:szCs w:val="20"/>
                <w:color w:val="auto"/>
              </w:rPr>
            </w:pPr>
            <w:r>
              <w:rPr>
                <w:rFonts w:ascii="Courier New" w:cs="Courier New" w:eastAsia="Courier New" w:hAnsi="Courier New"/>
                <w:sz w:val="17"/>
                <w:szCs w:val="17"/>
                <w:color w:val="auto"/>
              </w:rPr>
              <w:t>33.5%</w:t>
            </w:r>
          </w:p>
        </w:tc>
      </w:tr>
      <w:tr>
        <w:trPr>
          <w:trHeight w:val="196"/>
        </w:trPr>
        <w:tc>
          <w:tcPr>
            <w:tcW w:w="2200" w:type="dxa"/>
            <w:vAlign w:val="bottom"/>
          </w:tcPr>
          <w:p>
            <w:pPr>
              <w:spacing w:after="0"/>
              <w:rPr>
                <w:sz w:val="17"/>
                <w:szCs w:val="17"/>
                <w:color w:val="auto"/>
              </w:rPr>
            </w:pPr>
          </w:p>
        </w:tc>
        <w:tc>
          <w:tcPr>
            <w:tcW w:w="19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center"/>
              <w:ind w:left="47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 Percent not meaningful.</w:t>
      </w:r>
    </w:p>
    <w:p>
      <w:pPr>
        <w:spacing w:after="0" w:line="200"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Income from operations of the aviation fueling segment increased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$1,080,000, or 18.3%, for the six months ended September 30, 1995, as compared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six months ended September 30, 1994. This improvement resulted from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price related revenue increase and a decrease in the provision for bad debts.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Partially offsetting were a volume decrease in narrow margin bulk transactions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lower operating income due to the termination of the Company's fuel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terminaling activities. The marine fueling segment earned $1,453,000 in 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operations for the six months ended September 30, 1995. The gross profit of</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segment was $6,161,000, reduced by $4,708,000 in operating expenses. Income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from operations of the oil recycling segment increased by $3,000, for the six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months ended September 30, 1995, as compared to the same period last year.</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Page 13 of 19</w:t>
      </w:r>
    </w:p>
    <w:p>
      <w:pPr>
        <w:sectPr>
          <w:pgSz w:w="11900" w:h="16838" w:orient="portrait"/>
          <w:cols w:equalWidth="0" w:num="1">
            <w:col w:w="10219"/>
          </w:cols>
          <w:pgMar w:left="240" w:top="704" w:right="1440" w:bottom="1440" w:gutter="0" w:footer="0" w:header="0"/>
        </w:sectPr>
      </w:pPr>
    </w:p>
    <w:bookmarkStart w:id="12" w:name="page13"/>
    <w:bookmarkEnd w:id="12"/>
    <w:p>
      <w:pPr>
        <w:ind w:right="2059" w:firstLine="918"/>
        <w:spacing w:after="0" w:line="244" w:lineRule="auto"/>
        <w:rPr>
          <w:sz w:val="20"/>
          <w:szCs w:val="20"/>
          <w:color w:val="auto"/>
        </w:rPr>
      </w:pPr>
      <w:r>
        <w:rPr>
          <w:rFonts w:ascii="Courier New" w:cs="Courier New" w:eastAsia="Courier New" w:hAnsi="Courier New"/>
          <w:sz w:val="17"/>
          <w:szCs w:val="17"/>
          <w:color w:val="auto"/>
        </w:rPr>
        <w:t>Corporate overhead costs not charged to the business segments totalled $2,497,000 for the six months ended September 30, 1995, an increase of $678,000, or 37.3%, as compared to the same period last year. This increase was due largely to higher salaries and payroll related costs. In relation to revenue, total corporate overhead decreased to .9% for the six months ended September 30, 1995, as compared to 1.2% for the same period a year prior.</w:t>
      </w:r>
    </w:p>
    <w:p>
      <w:pPr>
        <w:spacing w:after="0" w:line="199" w:lineRule="exact"/>
        <w:rPr>
          <w:sz w:val="20"/>
          <w:szCs w:val="20"/>
          <w:color w:val="auto"/>
        </w:rPr>
      </w:pPr>
    </w:p>
    <w:p>
      <w:pPr>
        <w:ind w:right="2259" w:firstLine="918"/>
        <w:spacing w:after="0" w:line="244" w:lineRule="auto"/>
        <w:rPr>
          <w:sz w:val="20"/>
          <w:szCs w:val="20"/>
          <w:color w:val="auto"/>
        </w:rPr>
      </w:pPr>
      <w:r>
        <w:rPr>
          <w:rFonts w:ascii="Courier New" w:cs="Courier New" w:eastAsia="Courier New" w:hAnsi="Courier New"/>
          <w:sz w:val="17"/>
          <w:szCs w:val="17"/>
          <w:color w:val="auto"/>
        </w:rPr>
        <w:t>In the six months ended September 30, 1995, the Company had net other income of $824,000, an increase of $452,000 over the same period a year ago. This improvement was due primarily to $856,000 in equity earnings of a joint venture. Partially offsetting this increase was $213,000 related to foreign currency transactions.</w:t>
      </w:r>
    </w:p>
    <w:p>
      <w:pPr>
        <w:spacing w:after="0" w:line="198"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Net income for the six months ended September 30, 1995 was $5,200,000, an increase of $1,496,000, as compared to net income for the six months ended September 30, 1994. Earnings per share of $.65 for the six months ended September 30, 1995 exhibited a $.13 increase over the $.52 achieved during the same period last year.</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THREE MONTHS ENDED SEPTEMBER 30, 1995 COMPARED TO</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THE THREE MONTHS ENDED SEPTEMBER 30, 1994</w:t>
      </w:r>
    </w:p>
    <w:p>
      <w:pPr>
        <w:spacing w:after="0" w:line="201" w:lineRule="exact"/>
        <w:rPr>
          <w:sz w:val="20"/>
          <w:szCs w:val="20"/>
          <w:color w:val="auto"/>
        </w:rPr>
      </w:pPr>
    </w:p>
    <w:p>
      <w:pPr>
        <w:ind w:right="2259" w:firstLine="918"/>
        <w:spacing w:after="0" w:line="244" w:lineRule="auto"/>
        <w:rPr>
          <w:sz w:val="20"/>
          <w:szCs w:val="20"/>
          <w:color w:val="auto"/>
        </w:rPr>
      </w:pPr>
      <w:r>
        <w:rPr>
          <w:rFonts w:ascii="Courier New" w:cs="Courier New" w:eastAsia="Courier New" w:hAnsi="Courier New"/>
          <w:sz w:val="17"/>
          <w:szCs w:val="17"/>
          <w:color w:val="auto"/>
        </w:rPr>
        <w:t>The Company's revenue for the three months ended September 30, 1995 was $145,658,000, an increase of $68,998,000, or 90.0%, as compared to revenue of $76,660,000 for the corresponding period the prior year. The Company's revenue during these periods was attributable to the following segments:</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2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7"/>
                <w:szCs w:val="17"/>
                <w:color w:val="auto"/>
              </w:rPr>
              <w:t>PERCENT</w:t>
            </w:r>
          </w:p>
        </w:tc>
      </w:tr>
      <w:tr>
        <w:trPr>
          <w:trHeight w:val="196"/>
        </w:trPr>
        <w:tc>
          <w:tcPr>
            <w:tcW w:w="2560" w:type="dxa"/>
            <w:vAlign w:val="bottom"/>
          </w:tcPr>
          <w:p>
            <w:pPr>
              <w:spacing w:after="0"/>
              <w:rPr>
                <w:sz w:val="17"/>
                <w:szCs w:val="17"/>
                <w:color w:val="auto"/>
              </w:rPr>
            </w:pPr>
          </w:p>
        </w:tc>
        <w:tc>
          <w:tcPr>
            <w:tcW w:w="34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w w:val="99"/>
              </w:rPr>
              <w:t>THREE MONTHS ENDED SEPTEMBER 30,</w:t>
            </w:r>
          </w:p>
        </w:tc>
        <w:tc>
          <w:tcPr>
            <w:tcW w:w="1180" w:type="dxa"/>
            <w:vAlign w:val="bottom"/>
          </w:tcPr>
          <w:p>
            <w:pPr>
              <w:ind w:left="260"/>
              <w:spacing w:after="0"/>
              <w:rPr>
                <w:sz w:val="20"/>
                <w:szCs w:val="20"/>
                <w:color w:val="auto"/>
              </w:rPr>
            </w:pPr>
            <w:r>
              <w:rPr>
                <w:rFonts w:ascii="Courier New" w:cs="Courier New" w:eastAsia="Courier New" w:hAnsi="Courier New"/>
                <w:sz w:val="17"/>
                <w:szCs w:val="17"/>
                <w:color w:val="auto"/>
              </w:rPr>
              <w:t>INCREASE</w:t>
            </w:r>
          </w:p>
        </w:tc>
      </w:tr>
      <w:tr>
        <w:trPr>
          <w:trHeight w:val="196"/>
        </w:trPr>
        <w:tc>
          <w:tcPr>
            <w:tcW w:w="2560" w:type="dxa"/>
            <w:vAlign w:val="bottom"/>
          </w:tcPr>
          <w:p>
            <w:pPr>
              <w:spacing w:after="0"/>
              <w:rPr>
                <w:sz w:val="17"/>
                <w:szCs w:val="17"/>
                <w:color w:val="auto"/>
              </w:rPr>
            </w:pPr>
          </w:p>
        </w:tc>
        <w:tc>
          <w:tcPr>
            <w:tcW w:w="16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1995</w:t>
            </w:r>
          </w:p>
        </w:tc>
        <w:tc>
          <w:tcPr>
            <w:tcW w:w="1780" w:type="dxa"/>
            <w:vAlign w:val="bottom"/>
          </w:tcPr>
          <w:p>
            <w:pPr>
              <w:ind w:left="800"/>
              <w:spacing w:after="0"/>
              <w:rPr>
                <w:sz w:val="20"/>
                <w:szCs w:val="20"/>
                <w:color w:val="auto"/>
              </w:rPr>
            </w:pPr>
            <w:r>
              <w:rPr>
                <w:rFonts w:ascii="Courier New" w:cs="Courier New" w:eastAsia="Courier New" w:hAnsi="Courier New"/>
                <w:sz w:val="17"/>
                <w:szCs w:val="17"/>
                <w:color w:val="auto"/>
              </w:rPr>
              <w:t>1994</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(DECREASE)</w:t>
            </w:r>
          </w:p>
        </w:tc>
      </w:tr>
      <w:tr>
        <w:trPr>
          <w:trHeight w:val="196"/>
        </w:trPr>
        <w:tc>
          <w:tcPr>
            <w:tcW w:w="2560" w:type="dxa"/>
            <w:vAlign w:val="bottom"/>
          </w:tcPr>
          <w:p>
            <w:pPr>
              <w:spacing w:after="0"/>
              <w:rPr>
                <w:sz w:val="17"/>
                <w:szCs w:val="17"/>
                <w:color w:val="auto"/>
              </w:rPr>
            </w:pPr>
          </w:p>
        </w:tc>
        <w:tc>
          <w:tcPr>
            <w:tcW w:w="16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Aviation Fueling</w:t>
            </w:r>
          </w:p>
        </w:tc>
        <w:tc>
          <w:tcPr>
            <w:tcW w:w="16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$73,539,000</w:t>
            </w:r>
          </w:p>
        </w:tc>
        <w:tc>
          <w:tcPr>
            <w:tcW w:w="17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$72,052,000</w:t>
            </w:r>
          </w:p>
        </w:tc>
        <w:tc>
          <w:tcPr>
            <w:tcW w:w="11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2.1%</w:t>
            </w: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Marine Fueling</w:t>
            </w:r>
          </w:p>
        </w:tc>
        <w:tc>
          <w:tcPr>
            <w:tcW w:w="16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67,849,000</w:t>
            </w:r>
          </w:p>
        </w:tc>
        <w:tc>
          <w:tcPr>
            <w:tcW w:w="1780" w:type="dxa"/>
            <w:vAlign w:val="bottom"/>
          </w:tcPr>
          <w:p>
            <w:pPr>
              <w:ind w:left="800"/>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Oil Recycling</w:t>
            </w:r>
          </w:p>
        </w:tc>
        <w:tc>
          <w:tcPr>
            <w:tcW w:w="16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4,270,000</w:t>
            </w:r>
          </w:p>
        </w:tc>
        <w:tc>
          <w:tcPr>
            <w:tcW w:w="17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4,614,000</w:t>
            </w:r>
          </w:p>
        </w:tc>
        <w:tc>
          <w:tcPr>
            <w:tcW w:w="11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(7.5)</w:t>
            </w: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w w:val="99"/>
              </w:rPr>
              <w:t>Intersegment Eliminations</w:t>
            </w:r>
          </w:p>
        </w:tc>
        <w:tc>
          <w:tcPr>
            <w:tcW w:w="16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(6,000)</w:t>
            </w:r>
          </w:p>
        </w:tc>
        <w:tc>
          <w:tcPr>
            <w:tcW w:w="11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r>
      <w:tr>
        <w:trPr>
          <w:trHeight w:val="196"/>
        </w:trPr>
        <w:tc>
          <w:tcPr>
            <w:tcW w:w="2560" w:type="dxa"/>
            <w:vAlign w:val="bottom"/>
          </w:tcPr>
          <w:p>
            <w:pPr>
              <w:spacing w:after="0"/>
              <w:rPr>
                <w:sz w:val="17"/>
                <w:szCs w:val="17"/>
                <w:color w:val="auto"/>
              </w:rPr>
            </w:pPr>
          </w:p>
        </w:tc>
        <w:tc>
          <w:tcPr>
            <w:tcW w:w="16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spacing w:after="0"/>
              <w:rPr>
                <w:sz w:val="17"/>
                <w:szCs w:val="17"/>
                <w:color w:val="auto"/>
              </w:rPr>
            </w:pP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Total Revenue</w:t>
            </w:r>
          </w:p>
        </w:tc>
        <w:tc>
          <w:tcPr>
            <w:tcW w:w="16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$145,658,000</w:t>
            </w:r>
          </w:p>
        </w:tc>
        <w:tc>
          <w:tcPr>
            <w:tcW w:w="17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$76,660,000</w:t>
            </w:r>
          </w:p>
        </w:tc>
        <w:tc>
          <w:tcPr>
            <w:tcW w:w="11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90.0%</w:t>
            </w:r>
          </w:p>
        </w:tc>
      </w:tr>
      <w:tr>
        <w:trPr>
          <w:trHeight w:val="196"/>
        </w:trPr>
        <w:tc>
          <w:tcPr>
            <w:tcW w:w="2560" w:type="dxa"/>
            <w:vAlign w:val="bottom"/>
          </w:tcPr>
          <w:p>
            <w:pPr>
              <w:spacing w:after="0"/>
              <w:rPr>
                <w:sz w:val="17"/>
                <w:szCs w:val="17"/>
                <w:color w:val="auto"/>
              </w:rPr>
            </w:pPr>
          </w:p>
        </w:tc>
        <w:tc>
          <w:tcPr>
            <w:tcW w:w="16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 Percent not meaningful</w:t>
      </w:r>
    </w:p>
    <w:p>
      <w:pPr>
        <w:spacing w:after="0" w:line="201" w:lineRule="exact"/>
        <w:rPr>
          <w:sz w:val="20"/>
          <w:szCs w:val="20"/>
          <w:color w:val="auto"/>
        </w:rPr>
      </w:pPr>
    </w:p>
    <w:p>
      <w:pPr>
        <w:ind w:right="2059" w:firstLine="918"/>
        <w:spacing w:after="0" w:line="261" w:lineRule="auto"/>
        <w:rPr>
          <w:sz w:val="20"/>
          <w:szCs w:val="20"/>
          <w:color w:val="auto"/>
        </w:rPr>
      </w:pPr>
      <w:r>
        <w:rPr>
          <w:rFonts w:ascii="Courier New" w:cs="Courier New" w:eastAsia="Courier New" w:hAnsi="Courier New"/>
          <w:sz w:val="16"/>
          <w:szCs w:val="16"/>
          <w:color w:val="auto"/>
        </w:rPr>
        <w:t>The aviation fueling segment contributed $73,539,000 of revenue for the three months ended September 30, 1995. This represented an increase in revenue of $1,487,000, or 2.1%, as compared to the same period last year. This increase in revenue was due to an overall price related revenue increase and higher sales volume. The marine fueling segment contributed $67,849,000 in revenues. The oil recycling segment contributed $4,270,000 of revenue for the three months ended September 30, 1995. This was a decrease in revenue of $344,000, or 7.5% as compared to the same period last year. The revenue decrease was due to the sale of its Georgia operations and a price related decrease on recycled product. Partially offsetting were higher used oil and waste water collection revenues.</w:t>
      </w:r>
    </w:p>
    <w:p>
      <w:pPr>
        <w:spacing w:after="0" w:line="186"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Page 14 of 19</w:t>
      </w:r>
    </w:p>
    <w:p>
      <w:pPr>
        <w:sectPr>
          <w:pgSz w:w="11900" w:h="16838" w:orient="portrait"/>
          <w:cols w:equalWidth="0" w:num="1">
            <w:col w:w="10219"/>
          </w:cols>
          <w:pgMar w:left="240" w:top="704" w:right="1440" w:bottom="1440" w:gutter="0" w:footer="0" w:header="0"/>
        </w:sectPr>
      </w:pPr>
    </w:p>
    <w:bookmarkStart w:id="13" w:name="page14"/>
    <w:bookmarkEnd w:id="13"/>
    <w:p>
      <w:pPr>
        <w:ind w:right="2359" w:firstLine="918"/>
        <w:spacing w:after="0" w:line="244" w:lineRule="auto"/>
        <w:rPr>
          <w:sz w:val="20"/>
          <w:szCs w:val="20"/>
          <w:color w:val="auto"/>
        </w:rPr>
      </w:pPr>
      <w:r>
        <w:rPr>
          <w:rFonts w:ascii="Courier New" w:cs="Courier New" w:eastAsia="Courier New" w:hAnsi="Courier New"/>
          <w:sz w:val="17"/>
          <w:szCs w:val="17"/>
          <w:color w:val="auto"/>
        </w:rPr>
        <w:t>The Company's gross profit of $9,911,000 increased by $4,180,000, or 72.9%, as compared to the same period last year. The Company's gross margin decreased from 7.5% for the three months ended September 30, 1994 to 6.8% for the three months ended September 30, 1995.</w:t>
      </w:r>
    </w:p>
    <w:p>
      <w:pPr>
        <w:spacing w:after="0" w:line="198"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The Company's aviation fueling business achieved a 7.3% gross margin for the three months ended September 30, 1995, as compared to 5.9% achieved for the same period during the prior fiscal year. The Company's marine fueling segment achieved a 4.6% gross margin for the three months ended September 30, 1995. The gross margin in the Company's oil recycling segment increased from 32.8% for the three months ended September 30, 1994, to 33.9% for the three months ended September 30, 1995.</w:t>
      </w:r>
    </w:p>
    <w:p>
      <w:pPr>
        <w:spacing w:after="0" w:line="199"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Total operating expenses for the three months ended September 30, 1995 were $6,167,000, an increase of $3,015,000, or 95.7%, as compared to the same period a year ago. This increase resulted primarily from operating expenses of the marine segment, which totalled $2,350,000, and a $488,000 increase in the aviation segment provision for bad debts. In relation to revenue, total operating expenses increased from 4.1% to 4.2%.</w:t>
      </w:r>
    </w:p>
    <w:p>
      <w:pPr>
        <w:spacing w:after="0" w:line="199" w:lineRule="exact"/>
        <w:rPr>
          <w:sz w:val="20"/>
          <w:szCs w:val="20"/>
          <w:color w:val="auto"/>
        </w:rPr>
      </w:pPr>
    </w:p>
    <w:p>
      <w:pPr>
        <w:ind w:right="2559" w:firstLine="918"/>
        <w:spacing w:after="0" w:line="244" w:lineRule="auto"/>
        <w:rPr>
          <w:sz w:val="20"/>
          <w:szCs w:val="20"/>
          <w:color w:val="auto"/>
        </w:rPr>
      </w:pPr>
      <w:r>
        <w:rPr>
          <w:rFonts w:ascii="Courier New" w:cs="Courier New" w:eastAsia="Courier New" w:hAnsi="Courier New"/>
          <w:sz w:val="17"/>
          <w:szCs w:val="17"/>
          <w:color w:val="auto"/>
        </w:rPr>
        <w:t>The Company's income from operations for the three months ended September 30, 1995 was $3,744,000, an increase of $1,165,000, or 45.2%, as compared to the same period a year ago. Income from operations during these periods was attributable to the following segments: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4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7"/>
                <w:szCs w:val="17"/>
                <w:color w:val="auto"/>
              </w:rPr>
              <w:t>THREE MONTHS ENDED</w:t>
            </w:r>
          </w:p>
        </w:tc>
        <w:tc>
          <w:tcPr>
            <w:tcW w:w="15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SEPTEMBER 30,</w:t>
            </w:r>
          </w:p>
        </w:tc>
        <w:tc>
          <w:tcPr>
            <w:tcW w:w="980" w:type="dxa"/>
            <w:vAlign w:val="bottom"/>
          </w:tcPr>
          <w:p>
            <w:pPr>
              <w:ind w:left="160"/>
              <w:spacing w:after="0"/>
              <w:rPr>
                <w:sz w:val="20"/>
                <w:szCs w:val="20"/>
                <w:color w:val="auto"/>
              </w:rPr>
            </w:pPr>
            <w:r>
              <w:rPr>
                <w:rFonts w:ascii="Courier New" w:cs="Courier New" w:eastAsia="Courier New" w:hAnsi="Courier New"/>
                <w:sz w:val="17"/>
                <w:szCs w:val="17"/>
                <w:color w:val="auto"/>
              </w:rPr>
              <w:t>PERCENT</w:t>
            </w:r>
          </w:p>
        </w:tc>
      </w:tr>
      <w:tr>
        <w:trPr>
          <w:trHeight w:val="196"/>
        </w:trPr>
        <w:tc>
          <w:tcPr>
            <w:tcW w:w="2140" w:type="dxa"/>
            <w:vAlign w:val="bottom"/>
          </w:tcPr>
          <w:p>
            <w:pPr>
              <w:spacing w:after="0"/>
              <w:rPr>
                <w:sz w:val="17"/>
                <w:szCs w:val="17"/>
                <w:color w:val="auto"/>
              </w:rPr>
            </w:pPr>
          </w:p>
        </w:tc>
        <w:tc>
          <w:tcPr>
            <w:tcW w:w="200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1995</w:t>
            </w:r>
          </w:p>
        </w:tc>
        <w:tc>
          <w:tcPr>
            <w:tcW w:w="152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1994</w:t>
            </w:r>
          </w:p>
        </w:tc>
        <w:tc>
          <w:tcPr>
            <w:tcW w:w="980" w:type="dxa"/>
            <w:vAlign w:val="bottom"/>
          </w:tcPr>
          <w:p>
            <w:pPr>
              <w:ind w:left="160"/>
              <w:spacing w:after="0"/>
              <w:rPr>
                <w:sz w:val="20"/>
                <w:szCs w:val="20"/>
                <w:color w:val="auto"/>
              </w:rPr>
            </w:pPr>
            <w:r>
              <w:rPr>
                <w:rFonts w:ascii="Courier New" w:cs="Courier New" w:eastAsia="Courier New" w:hAnsi="Courier New"/>
                <w:sz w:val="17"/>
                <w:szCs w:val="17"/>
                <w:color w:val="auto"/>
                <w:w w:val="97"/>
              </w:rPr>
              <w:t>INCREASE</w:t>
            </w:r>
          </w:p>
        </w:tc>
      </w:tr>
      <w:tr>
        <w:trPr>
          <w:trHeight w:val="196"/>
        </w:trPr>
        <w:tc>
          <w:tcPr>
            <w:tcW w:w="2140" w:type="dxa"/>
            <w:vAlign w:val="bottom"/>
          </w:tcPr>
          <w:p>
            <w:pPr>
              <w:spacing w:after="0"/>
              <w:rPr>
                <w:sz w:val="17"/>
                <w:szCs w:val="17"/>
                <w:color w:val="auto"/>
              </w:rPr>
            </w:pPr>
          </w:p>
        </w:tc>
        <w:tc>
          <w:tcPr>
            <w:tcW w:w="200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2140" w:type="dxa"/>
            <w:vAlign w:val="bottom"/>
          </w:tcPr>
          <w:p>
            <w:pPr>
              <w:ind w:left="200"/>
              <w:spacing w:after="0"/>
              <w:rPr>
                <w:sz w:val="20"/>
                <w:szCs w:val="20"/>
                <w:color w:val="auto"/>
              </w:rPr>
            </w:pPr>
            <w:r>
              <w:rPr>
                <w:rFonts w:ascii="Courier New" w:cs="Courier New" w:eastAsia="Courier New" w:hAnsi="Courier New"/>
                <w:sz w:val="17"/>
                <w:szCs w:val="17"/>
                <w:color w:val="auto"/>
              </w:rPr>
              <w:t>Aviation Fueling</w:t>
            </w:r>
          </w:p>
        </w:tc>
        <w:tc>
          <w:tcPr>
            <w:tcW w:w="200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$3,479,000</w:t>
            </w:r>
          </w:p>
        </w:tc>
        <w:tc>
          <w:tcPr>
            <w:tcW w:w="15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$2,733,000</w:t>
            </w:r>
          </w:p>
        </w:tc>
        <w:tc>
          <w:tcPr>
            <w:tcW w:w="980" w:type="dxa"/>
            <w:vAlign w:val="bottom"/>
          </w:tcPr>
          <w:p>
            <w:pPr>
              <w:jc w:val="center"/>
              <w:ind w:left="175"/>
              <w:spacing w:after="0"/>
              <w:rPr>
                <w:sz w:val="20"/>
                <w:szCs w:val="20"/>
                <w:color w:val="auto"/>
              </w:rPr>
            </w:pPr>
            <w:r>
              <w:rPr>
                <w:rFonts w:ascii="Courier New" w:cs="Courier New" w:eastAsia="Courier New" w:hAnsi="Courier New"/>
                <w:sz w:val="17"/>
                <w:szCs w:val="17"/>
                <w:color w:val="auto"/>
              </w:rPr>
              <w:t>27.3%</w:t>
            </w:r>
          </w:p>
        </w:tc>
      </w:tr>
      <w:tr>
        <w:trPr>
          <w:trHeight w:val="196"/>
        </w:trPr>
        <w:tc>
          <w:tcPr>
            <w:tcW w:w="2140" w:type="dxa"/>
            <w:vAlign w:val="bottom"/>
          </w:tcPr>
          <w:p>
            <w:pPr>
              <w:ind w:left="200"/>
              <w:spacing w:after="0"/>
              <w:rPr>
                <w:sz w:val="20"/>
                <w:szCs w:val="20"/>
                <w:color w:val="auto"/>
              </w:rPr>
            </w:pPr>
            <w:r>
              <w:rPr>
                <w:rFonts w:ascii="Courier New" w:cs="Courier New" w:eastAsia="Courier New" w:hAnsi="Courier New"/>
                <w:sz w:val="17"/>
                <w:szCs w:val="17"/>
                <w:color w:val="auto"/>
              </w:rPr>
              <w:t>Marine Fueling</w:t>
            </w:r>
          </w:p>
        </w:tc>
        <w:tc>
          <w:tcPr>
            <w:tcW w:w="200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775,000</w:t>
            </w:r>
          </w:p>
        </w:tc>
        <w:tc>
          <w:tcPr>
            <w:tcW w:w="152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center"/>
              <w:ind w:left="175"/>
              <w:spacing w:after="0"/>
              <w:rPr>
                <w:sz w:val="20"/>
                <w:szCs w:val="20"/>
                <w:color w:val="auto"/>
              </w:rPr>
            </w:pPr>
            <w:r>
              <w:rPr>
                <w:rFonts w:ascii="Courier New" w:cs="Courier New" w:eastAsia="Courier New" w:hAnsi="Courier New"/>
                <w:sz w:val="17"/>
                <w:szCs w:val="17"/>
                <w:color w:val="auto"/>
              </w:rPr>
              <w:t>*</w:t>
            </w:r>
          </w:p>
        </w:tc>
      </w:tr>
      <w:tr>
        <w:trPr>
          <w:trHeight w:val="196"/>
        </w:trPr>
        <w:tc>
          <w:tcPr>
            <w:tcW w:w="2140" w:type="dxa"/>
            <w:vAlign w:val="bottom"/>
          </w:tcPr>
          <w:p>
            <w:pPr>
              <w:ind w:left="200"/>
              <w:spacing w:after="0"/>
              <w:rPr>
                <w:sz w:val="20"/>
                <w:szCs w:val="20"/>
                <w:color w:val="auto"/>
              </w:rPr>
            </w:pPr>
            <w:r>
              <w:rPr>
                <w:rFonts w:ascii="Courier New" w:cs="Courier New" w:eastAsia="Courier New" w:hAnsi="Courier New"/>
                <w:sz w:val="17"/>
                <w:szCs w:val="17"/>
                <w:color w:val="auto"/>
              </w:rPr>
              <w:t>Oil Recycling</w:t>
            </w:r>
          </w:p>
        </w:tc>
        <w:tc>
          <w:tcPr>
            <w:tcW w:w="200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910,000</w:t>
            </w:r>
          </w:p>
        </w:tc>
        <w:tc>
          <w:tcPr>
            <w:tcW w:w="15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902,000</w:t>
            </w:r>
          </w:p>
        </w:tc>
        <w:tc>
          <w:tcPr>
            <w:tcW w:w="980" w:type="dxa"/>
            <w:vAlign w:val="bottom"/>
          </w:tcPr>
          <w:p>
            <w:pPr>
              <w:jc w:val="center"/>
              <w:ind w:left="175"/>
              <w:spacing w:after="0"/>
              <w:rPr>
                <w:sz w:val="20"/>
                <w:szCs w:val="20"/>
                <w:color w:val="auto"/>
              </w:rPr>
            </w:pPr>
            <w:r>
              <w:rPr>
                <w:rFonts w:ascii="Courier New" w:cs="Courier New" w:eastAsia="Courier New" w:hAnsi="Courier New"/>
                <w:sz w:val="17"/>
                <w:szCs w:val="17"/>
                <w:color w:val="auto"/>
              </w:rPr>
              <w:t>*</w:t>
            </w:r>
          </w:p>
        </w:tc>
      </w:tr>
      <w:tr>
        <w:trPr>
          <w:trHeight w:val="196"/>
        </w:trPr>
        <w:tc>
          <w:tcPr>
            <w:tcW w:w="2140" w:type="dxa"/>
            <w:vAlign w:val="bottom"/>
          </w:tcPr>
          <w:p>
            <w:pPr>
              <w:ind w:left="200"/>
              <w:spacing w:after="0"/>
              <w:rPr>
                <w:sz w:val="20"/>
                <w:szCs w:val="20"/>
                <w:color w:val="auto"/>
              </w:rPr>
            </w:pPr>
            <w:r>
              <w:rPr>
                <w:rFonts w:ascii="Courier New" w:cs="Courier New" w:eastAsia="Courier New" w:hAnsi="Courier New"/>
                <w:sz w:val="17"/>
                <w:szCs w:val="17"/>
                <w:color w:val="auto"/>
              </w:rPr>
              <w:t>Corporate Overhead</w:t>
            </w:r>
          </w:p>
        </w:tc>
        <w:tc>
          <w:tcPr>
            <w:tcW w:w="20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(1,420,000)</w:t>
            </w:r>
          </w:p>
        </w:tc>
        <w:tc>
          <w:tcPr>
            <w:tcW w:w="15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(1,056,000)</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34.5</w:t>
            </w:r>
          </w:p>
        </w:tc>
      </w:tr>
      <w:tr>
        <w:trPr>
          <w:trHeight w:val="196"/>
        </w:trPr>
        <w:tc>
          <w:tcPr>
            <w:tcW w:w="2140" w:type="dxa"/>
            <w:vAlign w:val="bottom"/>
          </w:tcPr>
          <w:p>
            <w:pPr>
              <w:spacing w:after="0"/>
              <w:rPr>
                <w:sz w:val="17"/>
                <w:szCs w:val="17"/>
                <w:color w:val="auto"/>
              </w:rPr>
            </w:pPr>
          </w:p>
        </w:tc>
        <w:tc>
          <w:tcPr>
            <w:tcW w:w="200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spacing w:after="0"/>
              <w:rPr>
                <w:sz w:val="17"/>
                <w:szCs w:val="17"/>
                <w:color w:val="auto"/>
              </w:rPr>
            </w:pPr>
          </w:p>
        </w:tc>
      </w:tr>
      <w:tr>
        <w:trPr>
          <w:trHeight w:val="196"/>
        </w:trPr>
        <w:tc>
          <w:tcPr>
            <w:tcW w:w="2140" w:type="dxa"/>
            <w:vAlign w:val="bottom"/>
          </w:tcPr>
          <w:p>
            <w:pPr>
              <w:spacing w:after="0"/>
              <w:rPr>
                <w:sz w:val="20"/>
                <w:szCs w:val="20"/>
                <w:color w:val="auto"/>
              </w:rPr>
            </w:pPr>
            <w:r>
              <w:rPr>
                <w:rFonts w:ascii="Courier New" w:cs="Courier New" w:eastAsia="Courier New" w:hAnsi="Courier New"/>
                <w:sz w:val="17"/>
                <w:szCs w:val="17"/>
                <w:color w:val="auto"/>
              </w:rPr>
              <w:t>Total Income From</w:t>
            </w:r>
          </w:p>
        </w:tc>
        <w:tc>
          <w:tcPr>
            <w:tcW w:w="2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2140" w:type="dxa"/>
            <w:vAlign w:val="bottom"/>
          </w:tcPr>
          <w:p>
            <w:pPr>
              <w:ind w:left="420"/>
              <w:spacing w:after="0"/>
              <w:rPr>
                <w:sz w:val="20"/>
                <w:szCs w:val="20"/>
                <w:color w:val="auto"/>
              </w:rPr>
            </w:pPr>
            <w:r>
              <w:rPr>
                <w:rFonts w:ascii="Courier New" w:cs="Courier New" w:eastAsia="Courier New" w:hAnsi="Courier New"/>
                <w:sz w:val="17"/>
                <w:szCs w:val="17"/>
                <w:color w:val="auto"/>
              </w:rPr>
              <w:t>Operations</w:t>
            </w:r>
          </w:p>
        </w:tc>
        <w:tc>
          <w:tcPr>
            <w:tcW w:w="200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$3,744,000</w:t>
            </w:r>
          </w:p>
        </w:tc>
        <w:tc>
          <w:tcPr>
            <w:tcW w:w="15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$2,579,000</w:t>
            </w:r>
          </w:p>
        </w:tc>
        <w:tc>
          <w:tcPr>
            <w:tcW w:w="980" w:type="dxa"/>
            <w:vAlign w:val="bottom"/>
          </w:tcPr>
          <w:p>
            <w:pPr>
              <w:jc w:val="center"/>
              <w:ind w:left="175"/>
              <w:spacing w:after="0"/>
              <w:rPr>
                <w:sz w:val="20"/>
                <w:szCs w:val="20"/>
                <w:color w:val="auto"/>
              </w:rPr>
            </w:pPr>
            <w:r>
              <w:rPr>
                <w:rFonts w:ascii="Courier New" w:cs="Courier New" w:eastAsia="Courier New" w:hAnsi="Courier New"/>
                <w:sz w:val="17"/>
                <w:szCs w:val="17"/>
                <w:color w:val="auto"/>
              </w:rPr>
              <w:t>45.2%</w:t>
            </w:r>
          </w:p>
        </w:tc>
      </w:tr>
      <w:tr>
        <w:trPr>
          <w:trHeight w:val="196"/>
        </w:trPr>
        <w:tc>
          <w:tcPr>
            <w:tcW w:w="2140" w:type="dxa"/>
            <w:vAlign w:val="bottom"/>
          </w:tcPr>
          <w:p>
            <w:pPr>
              <w:spacing w:after="0"/>
              <w:rPr>
                <w:sz w:val="17"/>
                <w:szCs w:val="17"/>
                <w:color w:val="auto"/>
              </w:rPr>
            </w:pPr>
          </w:p>
        </w:tc>
        <w:tc>
          <w:tcPr>
            <w:tcW w:w="200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center"/>
              <w:ind w:left="175"/>
              <w:spacing w:after="0"/>
              <w:rPr>
                <w:sz w:val="20"/>
                <w:szCs w:val="20"/>
                <w:color w:val="auto"/>
              </w:rPr>
            </w:pPr>
            <w:r>
              <w:rPr>
                <w:rFonts w:ascii="Courier New" w:cs="Courier New" w:eastAsia="Courier New" w:hAnsi="Courier New"/>
                <w:sz w:val="17"/>
                <w:szCs w:val="17"/>
                <w:color w:val="auto"/>
              </w:rPr>
              <w:t>=====</w:t>
            </w:r>
          </w:p>
        </w:tc>
      </w:tr>
      <w:tr>
        <w:trPr>
          <w:trHeight w:val="196"/>
        </w:trPr>
        <w:tc>
          <w:tcPr>
            <w:tcW w:w="4140" w:type="dxa"/>
            <w:vAlign w:val="bottom"/>
            <w:gridSpan w:val="2"/>
          </w:tcPr>
          <w:p>
            <w:pPr>
              <w:jc w:val="right"/>
              <w:ind w:right="995"/>
              <w:spacing w:after="0"/>
              <w:rPr>
                <w:sz w:val="20"/>
                <w:szCs w:val="20"/>
                <w:color w:val="auto"/>
              </w:rPr>
            </w:pPr>
            <w:r>
              <w:rPr>
                <w:rFonts w:ascii="Courier New" w:cs="Courier New" w:eastAsia="Courier New" w:hAnsi="Courier New"/>
                <w:sz w:val="17"/>
                <w:szCs w:val="17"/>
                <w:color w:val="auto"/>
              </w:rPr>
              <w:t>* Percent not meaningful.</w:t>
            </w:r>
          </w:p>
        </w:tc>
        <w:tc>
          <w:tcPr>
            <w:tcW w:w="1520" w:type="dxa"/>
            <w:vAlign w:val="bottom"/>
          </w:tcPr>
          <w:p>
            <w:pPr>
              <w:spacing w:after="0"/>
              <w:rPr>
                <w:sz w:val="17"/>
                <w:szCs w:val="17"/>
                <w:color w:val="auto"/>
              </w:rPr>
            </w:pPr>
          </w:p>
        </w:tc>
        <w:tc>
          <w:tcPr>
            <w:tcW w:w="980" w:type="dxa"/>
            <w:vAlign w:val="bottom"/>
          </w:tcPr>
          <w:p>
            <w:pPr>
              <w:spacing w:after="0"/>
              <w:rPr>
                <w:sz w:val="17"/>
                <w:szCs w:val="17"/>
                <w:color w:val="auto"/>
              </w:rPr>
            </w:pPr>
          </w:p>
        </w:tc>
      </w:tr>
    </w:tbl>
    <w:p>
      <w:pPr>
        <w:spacing w:after="0" w:line="200"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Income from operations of the aviation fueling segment increased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$746,000, or 27.3%, for the three months ended September 30, 1995, as compared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three months ended September 30, 1994. This improvement resulted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product volume and price related revenue increases. Partially offsetting was 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increase in the provision for bad debts. The marine fueling segment earned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$775,000 in income from operations for the three months ended September 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1995. The gross profit of this segment was $3,125,000, reduced by $2,350,000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operating expenses. Income from operations of the oil recycling segment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increased by $8,000 for the three months ended September 30, 1995, as compared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same period last year.</w:t>
      </w:r>
    </w:p>
    <w:p>
      <w:pPr>
        <w:spacing w:after="0" w:line="201"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Corporate overhead costs not charged to the business segments totalled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$1,420,000 for the three months ended September 30, 1995, an increase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$364,000, or 34.5%, as compared to the same period last year. This increase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due to higher salaries and payroll related costs. In relation to revenue, total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corporate overhead decreased to 1.0% for the three months ended September 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1995, as compared to 1.4% for the same period a year prior.</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Page 15 of 19</w:t>
      </w:r>
    </w:p>
    <w:p>
      <w:pPr>
        <w:sectPr>
          <w:pgSz w:w="11900" w:h="16838" w:orient="portrait"/>
          <w:cols w:equalWidth="0" w:num="1">
            <w:col w:w="10219"/>
          </w:cols>
          <w:pgMar w:left="240" w:top="508" w:right="1440" w:bottom="1440" w:gutter="0" w:footer="0" w:header="0"/>
        </w:sectPr>
      </w:pPr>
    </w:p>
    <w:bookmarkStart w:id="14" w:name="page15"/>
    <w:bookmarkEnd w:id="14"/>
    <w:p>
      <w:pPr>
        <w:ind w:right="2059" w:firstLine="918"/>
        <w:spacing w:after="0" w:line="244" w:lineRule="auto"/>
        <w:rPr>
          <w:sz w:val="20"/>
          <w:szCs w:val="20"/>
          <w:color w:val="auto"/>
        </w:rPr>
      </w:pPr>
      <w:r>
        <w:rPr>
          <w:rFonts w:ascii="Courier New" w:cs="Courier New" w:eastAsia="Courier New" w:hAnsi="Courier New"/>
          <w:sz w:val="17"/>
          <w:szCs w:val="17"/>
          <w:color w:val="auto"/>
        </w:rPr>
        <w:t>In the three months ended September 30, 1995, the Company had net other income of $438,000, an increase of $196,000 over the same period a year ago. This improvement was due to $479,000 in equity earnings of a joint venture. Partially offsetting this increase was $102,000 in foreign currency transaction losses.</w:t>
      </w:r>
    </w:p>
    <w:p>
      <w:pPr>
        <w:spacing w:after="0" w:line="197"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Net income for the three months ended September 30, 1995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$2,655,000, an increase of $895,000, as compared to net income for the three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months ended September 30, 1994. Earnings per share of $.33 for the three months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ended September 30, 1995 exhibited a $ .09 increase over the $.24 achieved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during the same period last year.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01"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Cash and cash equivalents amounted to $17,042,000 at September 30, 1995 as compared to $10,907,000 at March 31, 1995. The principal sources of cash during the first half of fiscal year 1996 were $5,096,000 in net cash provided by operating activities, $1,046,000 in dividends and repayments of advances from the joint venture, $793,000 from collections on notes receivable and $207,000 from proceeds on the sale of assets. Partially offsetting the increase in cash and cash equivalents was $611,000 used for the purchase and construction of plant, equipment and other capital expenditures, and $264,000 in a dividend paid on common stock. Other components of changes in cash and cash equivalents are detailed in the Consolidated Statements of Cash Flows.</w:t>
      </w:r>
    </w:p>
    <w:p>
      <w:pPr>
        <w:spacing w:after="0" w:line="200" w:lineRule="exact"/>
        <w:rPr>
          <w:sz w:val="20"/>
          <w:szCs w:val="20"/>
          <w:color w:val="auto"/>
        </w:rPr>
      </w:pPr>
    </w:p>
    <w:p>
      <w:pPr>
        <w:ind w:right="2159" w:firstLine="918"/>
        <w:spacing w:after="0" w:line="243" w:lineRule="auto"/>
        <w:rPr>
          <w:sz w:val="20"/>
          <w:szCs w:val="20"/>
          <w:color w:val="auto"/>
        </w:rPr>
      </w:pPr>
      <w:r>
        <w:rPr>
          <w:rFonts w:ascii="Courier New" w:cs="Courier New" w:eastAsia="Courier New" w:hAnsi="Courier New"/>
          <w:sz w:val="17"/>
          <w:szCs w:val="17"/>
          <w:color w:val="auto"/>
        </w:rPr>
        <w:t>Working capital as of September 30, 1995 was $33,288,000, exhibiting a $5,768,000 increase from working capital as of March 31, 1995.</w:t>
      </w:r>
    </w:p>
    <w:p>
      <w:pPr>
        <w:spacing w:after="0" w:line="199"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As of September 30, 1995, the Company's accounts receivable, excluding the allowance for bad debts, amounted to $50,504,000, an increase of $7,138,000 as compared to the March 31, 1995 balance. This increase in accounts receivable resulted from a $5,283,000 and $2,406,000 increase in the marine and aviation segments' accounts receivable, respectively. Partially offsetting was a decrease of $551,000 in the oil recycling segment. The allowance for bad debts as of September 30, 1995 amounted to $5,000,000, an increase of $434,000 when compared to the March 31, 1995 balance. During the first half of fiscal year 1996, the Company charged $836,000 to the provision for bad debts and had charge-offs in excess of recoveries of $402,000.</w:t>
      </w:r>
    </w:p>
    <w:p>
      <w:pPr>
        <w:spacing w:after="0" w:line="200"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Capital expenditures, which amounted to $611,000 for the first half of fiscal year 1996, consisted primarily of $231,000 in office equipment and furniture, $209,000 in delivery equipment as well as $115,000 in plant construction costs. Effective June 1, 1995, the Company sold property, plant and equipment, with a net book value of $1,294,000, of its Georgia oil recycling operations. During fiscal year 1996, the Company anticipates spending approximately $1,000,000 to upgrade plant, machinery and equipment. The Company also anticipates spending an estimated $1,000,000 over the next several years to clean up contamination which was present at one of the Company's sites when it was acquired by the Company. Clean up will be capitalized as part of the cost of the site, up to the fair market value of the site.</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Page 16 of 19</w:t>
      </w:r>
    </w:p>
    <w:p>
      <w:pPr>
        <w:sectPr>
          <w:pgSz w:w="11900" w:h="16838" w:orient="portrait"/>
          <w:cols w:equalWidth="0" w:num="1">
            <w:col w:w="10219"/>
          </w:cols>
          <w:pgMar w:left="240" w:top="508" w:right="1440" w:bottom="1440" w:gutter="0" w:footer="0" w:header="0"/>
        </w:sectPr>
      </w:pPr>
    </w:p>
    <w:bookmarkStart w:id="15" w:name="page16"/>
    <w:bookmarkEnd w:id="15"/>
    <w:p>
      <w:pPr>
        <w:ind w:right="2059" w:firstLine="918"/>
        <w:spacing w:after="0" w:line="244" w:lineRule="auto"/>
        <w:rPr>
          <w:sz w:val="20"/>
          <w:szCs w:val="20"/>
          <w:color w:val="auto"/>
        </w:rPr>
      </w:pPr>
      <w:r>
        <w:rPr>
          <w:rFonts w:ascii="Courier New" w:cs="Courier New" w:eastAsia="Courier New" w:hAnsi="Courier New"/>
          <w:sz w:val="17"/>
          <w:szCs w:val="17"/>
          <w:color w:val="auto"/>
        </w:rPr>
        <w:t>In the aggregate, accounts payable, accrued expenses and customer deposits increased $6,411,000. This increase is attributed to the marine and aviation segments. Accrued salaries and wages increased $764,000, principally as the result of sales and management performance bonuses.</w:t>
      </w:r>
    </w:p>
    <w:p>
      <w:pPr>
        <w:spacing w:after="0" w:line="198" w:lineRule="exact"/>
        <w:rPr>
          <w:sz w:val="20"/>
          <w:szCs w:val="20"/>
          <w:color w:val="auto"/>
        </w:rPr>
      </w:pPr>
    </w:p>
    <w:p>
      <w:pPr>
        <w:ind w:right="2259" w:firstLine="918"/>
        <w:spacing w:after="0" w:line="244" w:lineRule="auto"/>
        <w:rPr>
          <w:sz w:val="20"/>
          <w:szCs w:val="20"/>
          <w:color w:val="auto"/>
        </w:rPr>
      </w:pPr>
      <w:r>
        <w:rPr>
          <w:rFonts w:ascii="Courier New" w:cs="Courier New" w:eastAsia="Courier New" w:hAnsi="Courier New"/>
          <w:sz w:val="17"/>
          <w:szCs w:val="17"/>
          <w:color w:val="auto"/>
        </w:rPr>
        <w:t>Long-term liabilities as of September 30, 1995, were $5,582,000 exhibiting a $1,402,000 decrease as compared to March 31, 1995. This decrease was primarily the result of the issuance of the Company's common stock in settlement of the $1,300,000 accrued litigation settlement expense. Stockholders' equity amounted to $57,933,000, or $7.31 per share, at September 30, 1995 compared to $52,066,000, or $6.67 per share, at March 31, 1995.</w:t>
      </w:r>
    </w:p>
    <w:p>
      <w:pPr>
        <w:spacing w:after="0" w:line="199"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The Company's working capital requirements are not expected to vary substantially during fiscal year 1996. The Company expects to meet its cash requirements for fiscal year 1996 from existing cash, operations and additional borrowings, as necessary, under its existing line of credit. The Company's business has not been significantly affected by inflation during the periods discussed in this report.</w:t>
      </w:r>
    </w:p>
    <w:p>
      <w:pPr>
        <w:spacing w:after="0" w:line="198"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Page 17 of 19</w:t>
      </w:r>
    </w:p>
    <w:p>
      <w:pPr>
        <w:sectPr>
          <w:pgSz w:w="11900" w:h="16838" w:orient="portrait"/>
          <w:cols w:equalWidth="0" w:num="1">
            <w:col w:w="10219"/>
          </w:cols>
          <w:pgMar w:left="240" w:top="704" w:right="1440" w:bottom="1440" w:gutter="0" w:footer="0" w:header="0"/>
        </w:sectPr>
      </w:pPr>
    </w:p>
    <w:bookmarkStart w:id="16" w:name="page17"/>
    <w:bookmarkEnd w:id="16"/>
    <w:p>
      <w:pPr>
        <w:ind w:left="2760"/>
        <w:spacing w:after="0"/>
        <w:tabs>
          <w:tab w:leader="none" w:pos="3760" w:val="left"/>
        </w:tabs>
        <w:rPr>
          <w:sz w:val="20"/>
          <w:szCs w:val="20"/>
          <w:color w:val="auto"/>
        </w:rPr>
      </w:pPr>
      <w:r>
        <w:rPr>
          <w:rFonts w:ascii="Courier New" w:cs="Courier New" w:eastAsia="Courier New" w:hAnsi="Courier New"/>
          <w:sz w:val="17"/>
          <w:szCs w:val="17"/>
          <w:color w:val="auto"/>
        </w:rPr>
        <w:t>PART II.</w:t>
        <w:tab/>
        <w:t>OTHER INFORMATION</w:t>
      </w:r>
    </w:p>
    <w:p>
      <w:pPr>
        <w:spacing w:after="0" w:line="200"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7"/>
          <w:szCs w:val="17"/>
          <w:color w:val="auto"/>
        </w:rPr>
        <w:t>LEGAL PROCEEDINGS</w:t>
      </w:r>
    </w:p>
    <w:p>
      <w:pPr>
        <w:spacing w:after="0" w:line="201" w:lineRule="exact"/>
        <w:rPr>
          <w:sz w:val="20"/>
          <w:szCs w:val="20"/>
          <w:color w:val="auto"/>
        </w:rPr>
      </w:pPr>
    </w:p>
    <w:p>
      <w:pPr>
        <w:ind w:left="1840" w:right="2159"/>
        <w:spacing w:after="0" w:line="244" w:lineRule="auto"/>
        <w:rPr>
          <w:sz w:val="20"/>
          <w:szCs w:val="20"/>
          <w:color w:val="auto"/>
        </w:rPr>
      </w:pPr>
      <w:r>
        <w:rPr>
          <w:rFonts w:ascii="Courier New" w:cs="Courier New" w:eastAsia="Courier New" w:hAnsi="Courier New"/>
          <w:sz w:val="17"/>
          <w:szCs w:val="17"/>
          <w:color w:val="auto"/>
        </w:rPr>
        <w:t>Except for the proceedings described in the Company's Form 10-K for the fiscal year ended March 31, 1995, there are no material legal proceedings to which the Company or any of its subsidiaries is a party.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280" w:type="dxa"/>
            <w:vAlign w:val="bottom"/>
            <w:gridSpan w:val="2"/>
          </w:tcPr>
          <w:p>
            <w:pPr>
              <w:spacing w:after="0"/>
              <w:rPr>
                <w:sz w:val="20"/>
                <w:szCs w:val="20"/>
                <w:color w:val="auto"/>
              </w:rPr>
            </w:pPr>
            <w:r>
              <w:rPr>
                <w:rFonts w:ascii="Courier New" w:cs="Courier New" w:eastAsia="Courier New" w:hAnsi="Courier New"/>
                <w:sz w:val="17"/>
                <w:szCs w:val="17"/>
                <w:color w:val="auto"/>
              </w:rPr>
              <w:t>ITEM 2.</w:t>
            </w:r>
          </w:p>
        </w:tc>
        <w:tc>
          <w:tcPr>
            <w:tcW w:w="1640" w:type="dxa"/>
            <w:vAlign w:val="bottom"/>
          </w:tcPr>
          <w:p>
            <w:pPr>
              <w:ind w:left="560"/>
              <w:spacing w:after="0"/>
              <w:rPr>
                <w:sz w:val="20"/>
                <w:szCs w:val="20"/>
                <w:color w:val="auto"/>
              </w:rPr>
            </w:pPr>
            <w:r>
              <w:rPr>
                <w:rFonts w:ascii="Courier New" w:cs="Courier New" w:eastAsia="Courier New" w:hAnsi="Courier New"/>
                <w:sz w:val="17"/>
                <w:szCs w:val="17"/>
                <w:color w:val="auto"/>
              </w:rPr>
              <w:t>CHANGES IN</w:t>
            </w:r>
          </w:p>
        </w:tc>
        <w:tc>
          <w:tcPr>
            <w:tcW w:w="4120" w:type="dxa"/>
            <w:vAlign w:val="bottom"/>
          </w:tcPr>
          <w:p>
            <w:pPr>
              <w:ind w:left="40"/>
              <w:spacing w:after="0"/>
              <w:rPr>
                <w:sz w:val="20"/>
                <w:szCs w:val="20"/>
                <w:color w:val="auto"/>
              </w:rPr>
            </w:pPr>
            <w:r>
              <w:rPr>
                <w:rFonts w:ascii="Courier New" w:cs="Courier New" w:eastAsia="Courier New" w:hAnsi="Courier New"/>
                <w:sz w:val="17"/>
                <w:szCs w:val="17"/>
                <w:color w:val="auto"/>
              </w:rPr>
              <w:t>SECURITIES - None</w:t>
            </w:r>
          </w:p>
        </w:tc>
      </w:tr>
      <w:tr>
        <w:trPr>
          <w:trHeight w:val="392"/>
        </w:trPr>
        <w:tc>
          <w:tcPr>
            <w:tcW w:w="460" w:type="dxa"/>
            <w:vAlign w:val="bottom"/>
          </w:tcPr>
          <w:p>
            <w:pPr>
              <w:spacing w:after="0"/>
              <w:rPr>
                <w:sz w:val="20"/>
                <w:szCs w:val="20"/>
                <w:color w:val="auto"/>
              </w:rPr>
            </w:pPr>
            <w:r>
              <w:rPr>
                <w:rFonts w:ascii="Courier New" w:cs="Courier New" w:eastAsia="Courier New" w:hAnsi="Courier New"/>
                <w:sz w:val="17"/>
                <w:szCs w:val="17"/>
                <w:color w:val="auto"/>
              </w:rPr>
              <w:t>ITEM</w:t>
            </w:r>
          </w:p>
        </w:tc>
        <w:tc>
          <w:tcPr>
            <w:tcW w:w="8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3.</w:t>
            </w:r>
          </w:p>
        </w:tc>
        <w:tc>
          <w:tcPr>
            <w:tcW w:w="576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DEFAULTS UPON SENIOR SECURITIES - None</w:t>
            </w:r>
          </w:p>
        </w:tc>
      </w:tr>
      <w:tr>
        <w:trPr>
          <w:trHeight w:val="392"/>
        </w:trPr>
        <w:tc>
          <w:tcPr>
            <w:tcW w:w="460" w:type="dxa"/>
            <w:vAlign w:val="bottom"/>
          </w:tcPr>
          <w:p>
            <w:pPr>
              <w:spacing w:after="0"/>
              <w:rPr>
                <w:sz w:val="20"/>
                <w:szCs w:val="20"/>
                <w:color w:val="auto"/>
              </w:rPr>
            </w:pPr>
            <w:r>
              <w:rPr>
                <w:rFonts w:ascii="Courier New" w:cs="Courier New" w:eastAsia="Courier New" w:hAnsi="Courier New"/>
                <w:sz w:val="17"/>
                <w:szCs w:val="17"/>
                <w:color w:val="auto"/>
              </w:rPr>
              <w:t>ITEM</w:t>
            </w:r>
          </w:p>
        </w:tc>
        <w:tc>
          <w:tcPr>
            <w:tcW w:w="8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4.</w:t>
            </w:r>
          </w:p>
        </w:tc>
        <w:tc>
          <w:tcPr>
            <w:tcW w:w="1640" w:type="dxa"/>
            <w:vAlign w:val="bottom"/>
          </w:tcPr>
          <w:p>
            <w:pPr>
              <w:ind w:left="560"/>
              <w:spacing w:after="0"/>
              <w:rPr>
                <w:sz w:val="20"/>
                <w:szCs w:val="20"/>
                <w:color w:val="auto"/>
              </w:rPr>
            </w:pPr>
            <w:r>
              <w:rPr>
                <w:rFonts w:ascii="Courier New" w:cs="Courier New" w:eastAsia="Courier New" w:hAnsi="Courier New"/>
                <w:sz w:val="17"/>
                <w:szCs w:val="17"/>
                <w:color w:val="auto"/>
              </w:rPr>
              <w:t>SUBMISSION</w:t>
            </w:r>
          </w:p>
        </w:tc>
        <w:tc>
          <w:tcPr>
            <w:tcW w:w="4120" w:type="dxa"/>
            <w:vAlign w:val="bottom"/>
          </w:tcPr>
          <w:p>
            <w:pPr>
              <w:ind w:left="40"/>
              <w:spacing w:after="0"/>
              <w:rPr>
                <w:sz w:val="20"/>
                <w:szCs w:val="20"/>
                <w:color w:val="auto"/>
              </w:rPr>
            </w:pPr>
            <w:r>
              <w:rPr>
                <w:rFonts w:ascii="Courier New" w:cs="Courier New" w:eastAsia="Courier New" w:hAnsi="Courier New"/>
                <w:sz w:val="17"/>
                <w:szCs w:val="17"/>
                <w:color w:val="auto"/>
                <w:w w:val="99"/>
              </w:rPr>
              <w:t>OF MATTERS TO A VOTE OF SECURITY HOLDERS</w:t>
            </w:r>
          </w:p>
        </w:tc>
      </w:tr>
    </w:tbl>
    <w:p>
      <w:pPr>
        <w:spacing w:after="0" w:line="201" w:lineRule="exact"/>
        <w:rPr>
          <w:sz w:val="20"/>
          <w:szCs w:val="20"/>
          <w:color w:val="auto"/>
        </w:rPr>
      </w:pPr>
    </w:p>
    <w:p>
      <w:pPr>
        <w:ind w:left="1840" w:right="2659"/>
        <w:spacing w:after="0" w:line="243" w:lineRule="auto"/>
        <w:rPr>
          <w:sz w:val="20"/>
          <w:szCs w:val="20"/>
          <w:color w:val="auto"/>
        </w:rPr>
      </w:pPr>
      <w:r>
        <w:rPr>
          <w:rFonts w:ascii="Courier New" w:cs="Courier New" w:eastAsia="Courier New" w:hAnsi="Courier New"/>
          <w:sz w:val="17"/>
          <w:szCs w:val="17"/>
          <w:color w:val="auto"/>
        </w:rPr>
        <w:t>The Company's annual meeting of stockholders was held on August 21, 1995.</w:t>
      </w:r>
    </w:p>
    <w:p>
      <w:pPr>
        <w:spacing w:after="0" w:line="199" w:lineRule="exact"/>
        <w:rPr>
          <w:sz w:val="20"/>
          <w:szCs w:val="20"/>
          <w:color w:val="auto"/>
        </w:rPr>
      </w:pPr>
    </w:p>
    <w:p>
      <w:pPr>
        <w:ind w:left="1840" w:right="2059"/>
        <w:spacing w:after="0" w:line="244" w:lineRule="auto"/>
        <w:rPr>
          <w:sz w:val="20"/>
          <w:szCs w:val="20"/>
          <w:color w:val="auto"/>
        </w:rPr>
      </w:pPr>
      <w:r>
        <w:rPr>
          <w:rFonts w:ascii="Courier New" w:cs="Courier New" w:eastAsia="Courier New" w:hAnsi="Courier New"/>
          <w:sz w:val="17"/>
          <w:szCs w:val="17"/>
          <w:color w:val="auto"/>
        </w:rPr>
        <w:t>The matters voted on at the meeting were the election of directors, a proposal to change the Company's name to World Fuel Services Corporation and a proposal to increase the number of shares issuable under the 1986 Employee Stock Option Plan. All of the Company's director nominees were elected and the proposals were approved.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280" w:type="dxa"/>
            <w:vAlign w:val="bottom"/>
          </w:tcPr>
          <w:p>
            <w:pPr>
              <w:spacing w:after="0"/>
              <w:rPr>
                <w:sz w:val="16"/>
                <w:szCs w:val="16"/>
                <w:color w:val="auto"/>
              </w:rPr>
            </w:pPr>
          </w:p>
        </w:tc>
        <w:tc>
          <w:tcPr>
            <w:tcW w:w="3360" w:type="dxa"/>
            <w:vAlign w:val="bottom"/>
            <w:gridSpan w:val="3"/>
          </w:tcPr>
          <w:p>
            <w:pPr>
              <w:ind w:left="560"/>
              <w:spacing w:after="0"/>
              <w:rPr>
                <w:sz w:val="20"/>
                <w:szCs w:val="20"/>
                <w:color w:val="auto"/>
              </w:rPr>
            </w:pPr>
            <w:r>
              <w:rPr>
                <w:rFonts w:ascii="Courier New" w:cs="Courier New" w:eastAsia="Courier New" w:hAnsi="Courier New"/>
                <w:sz w:val="17"/>
                <w:szCs w:val="17"/>
                <w:color w:val="auto"/>
              </w:rPr>
              <w:t>ELECTION OF DIRECTORS</w:t>
            </w:r>
          </w:p>
        </w:tc>
        <w:tc>
          <w:tcPr>
            <w:tcW w:w="13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92"/>
        </w:trPr>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Courier New" w:cs="Courier New" w:eastAsia="Courier New" w:hAnsi="Courier New"/>
                <w:sz w:val="17"/>
                <w:szCs w:val="17"/>
                <w:color w:val="auto"/>
              </w:rPr>
              <w:t>NAME OF DIRECTOR</w:t>
            </w:r>
          </w:p>
        </w:tc>
        <w:tc>
          <w:tcPr>
            <w:tcW w:w="1380" w:type="dxa"/>
            <w:vAlign w:val="bottom"/>
          </w:tcPr>
          <w:p>
            <w:pPr>
              <w:ind w:left="360"/>
              <w:spacing w:after="0"/>
              <w:rPr>
                <w:sz w:val="20"/>
                <w:szCs w:val="20"/>
                <w:color w:val="auto"/>
              </w:rPr>
            </w:pPr>
            <w:r>
              <w:rPr>
                <w:rFonts w:ascii="Courier New" w:cs="Courier New" w:eastAsia="Courier New" w:hAnsi="Courier New"/>
                <w:sz w:val="17"/>
                <w:szCs w:val="17"/>
                <w:color w:val="auto"/>
              </w:rPr>
              <w:t>VOTES FOR</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VOTES AGAINST</w:t>
            </w:r>
          </w:p>
        </w:tc>
      </w:tr>
      <w:tr>
        <w:trPr>
          <w:trHeight w:val="196"/>
        </w:trPr>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1280" w:type="dxa"/>
            <w:vAlign w:val="bottom"/>
          </w:tcPr>
          <w:p>
            <w:pPr>
              <w:spacing w:after="0"/>
              <w:rPr>
                <w:sz w:val="17"/>
                <w:szCs w:val="17"/>
                <w:color w:val="auto"/>
              </w:rPr>
            </w:pPr>
          </w:p>
        </w:tc>
        <w:tc>
          <w:tcPr>
            <w:tcW w:w="860" w:type="dxa"/>
            <w:vAlign w:val="bottom"/>
          </w:tcPr>
          <w:p>
            <w:pPr>
              <w:ind w:left="560"/>
              <w:spacing w:after="0"/>
              <w:rPr>
                <w:sz w:val="20"/>
                <w:szCs w:val="20"/>
                <w:color w:val="auto"/>
              </w:rPr>
            </w:pPr>
            <w:r>
              <w:rPr>
                <w:rFonts w:ascii="Courier New" w:cs="Courier New" w:eastAsia="Courier New" w:hAnsi="Courier New"/>
                <w:sz w:val="17"/>
                <w:szCs w:val="17"/>
                <w:color w:val="auto"/>
              </w:rPr>
              <w:t>1.</w:t>
            </w:r>
          </w:p>
        </w:tc>
        <w:tc>
          <w:tcPr>
            <w:tcW w:w="2500" w:type="dxa"/>
            <w:vAlign w:val="bottom"/>
            <w:gridSpan w:val="2"/>
          </w:tcPr>
          <w:p>
            <w:pPr>
              <w:spacing w:after="0"/>
              <w:rPr>
                <w:sz w:val="20"/>
                <w:szCs w:val="20"/>
                <w:color w:val="auto"/>
              </w:rPr>
            </w:pPr>
            <w:r>
              <w:rPr>
                <w:rFonts w:ascii="Courier New" w:cs="Courier New" w:eastAsia="Courier New" w:hAnsi="Courier New"/>
                <w:sz w:val="17"/>
                <w:szCs w:val="17"/>
                <w:color w:val="auto"/>
              </w:rPr>
              <w:t>Ralph R. Weiser</w:t>
            </w:r>
          </w:p>
        </w:tc>
        <w:tc>
          <w:tcPr>
            <w:tcW w:w="1380" w:type="dxa"/>
            <w:vAlign w:val="bottom"/>
          </w:tcPr>
          <w:p>
            <w:pPr>
              <w:ind w:left="360"/>
              <w:spacing w:after="0"/>
              <w:rPr>
                <w:sz w:val="20"/>
                <w:szCs w:val="20"/>
                <w:color w:val="auto"/>
              </w:rPr>
            </w:pPr>
            <w:r>
              <w:rPr>
                <w:rFonts w:ascii="Courier New" w:cs="Courier New" w:eastAsia="Courier New" w:hAnsi="Courier New"/>
                <w:sz w:val="17"/>
                <w:szCs w:val="17"/>
                <w:color w:val="auto"/>
              </w:rPr>
              <w:t>6,624,387</w:t>
            </w: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11,495</w:t>
            </w:r>
          </w:p>
        </w:tc>
      </w:tr>
      <w:tr>
        <w:trPr>
          <w:trHeight w:val="196"/>
        </w:trPr>
        <w:tc>
          <w:tcPr>
            <w:tcW w:w="1280" w:type="dxa"/>
            <w:vAlign w:val="bottom"/>
          </w:tcPr>
          <w:p>
            <w:pPr>
              <w:spacing w:after="0"/>
              <w:rPr>
                <w:sz w:val="17"/>
                <w:szCs w:val="17"/>
                <w:color w:val="auto"/>
              </w:rPr>
            </w:pPr>
          </w:p>
        </w:tc>
        <w:tc>
          <w:tcPr>
            <w:tcW w:w="860" w:type="dxa"/>
            <w:vAlign w:val="bottom"/>
          </w:tcPr>
          <w:p>
            <w:pPr>
              <w:ind w:left="560"/>
              <w:spacing w:after="0"/>
              <w:rPr>
                <w:sz w:val="20"/>
                <w:szCs w:val="20"/>
                <w:color w:val="auto"/>
              </w:rPr>
            </w:pPr>
            <w:r>
              <w:rPr>
                <w:rFonts w:ascii="Courier New" w:cs="Courier New" w:eastAsia="Courier New" w:hAnsi="Courier New"/>
                <w:sz w:val="17"/>
                <w:szCs w:val="17"/>
                <w:color w:val="auto"/>
              </w:rPr>
              <w:t>2.</w:t>
            </w:r>
          </w:p>
        </w:tc>
        <w:tc>
          <w:tcPr>
            <w:tcW w:w="2500" w:type="dxa"/>
            <w:vAlign w:val="bottom"/>
            <w:gridSpan w:val="2"/>
          </w:tcPr>
          <w:p>
            <w:pPr>
              <w:spacing w:after="0"/>
              <w:rPr>
                <w:sz w:val="20"/>
                <w:szCs w:val="20"/>
                <w:color w:val="auto"/>
              </w:rPr>
            </w:pPr>
            <w:r>
              <w:rPr>
                <w:rFonts w:ascii="Courier New" w:cs="Courier New" w:eastAsia="Courier New" w:hAnsi="Courier New"/>
                <w:sz w:val="17"/>
                <w:szCs w:val="17"/>
                <w:color w:val="auto"/>
              </w:rPr>
              <w:t>Jerrold Blair</w:t>
            </w:r>
          </w:p>
        </w:tc>
        <w:tc>
          <w:tcPr>
            <w:tcW w:w="1380" w:type="dxa"/>
            <w:vAlign w:val="bottom"/>
          </w:tcPr>
          <w:p>
            <w:pPr>
              <w:ind w:left="360"/>
              <w:spacing w:after="0"/>
              <w:rPr>
                <w:sz w:val="20"/>
                <w:szCs w:val="20"/>
                <w:color w:val="auto"/>
              </w:rPr>
            </w:pPr>
            <w:r>
              <w:rPr>
                <w:rFonts w:ascii="Courier New" w:cs="Courier New" w:eastAsia="Courier New" w:hAnsi="Courier New"/>
                <w:sz w:val="17"/>
                <w:szCs w:val="17"/>
                <w:color w:val="auto"/>
              </w:rPr>
              <w:t>6,624,387</w:t>
            </w: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11,495</w:t>
            </w:r>
          </w:p>
        </w:tc>
      </w:tr>
      <w:tr>
        <w:trPr>
          <w:trHeight w:val="196"/>
        </w:trPr>
        <w:tc>
          <w:tcPr>
            <w:tcW w:w="1280" w:type="dxa"/>
            <w:vAlign w:val="bottom"/>
          </w:tcPr>
          <w:p>
            <w:pPr>
              <w:spacing w:after="0"/>
              <w:rPr>
                <w:sz w:val="17"/>
                <w:szCs w:val="17"/>
                <w:color w:val="auto"/>
              </w:rPr>
            </w:pPr>
          </w:p>
        </w:tc>
        <w:tc>
          <w:tcPr>
            <w:tcW w:w="860" w:type="dxa"/>
            <w:vAlign w:val="bottom"/>
          </w:tcPr>
          <w:p>
            <w:pPr>
              <w:ind w:left="560"/>
              <w:spacing w:after="0"/>
              <w:rPr>
                <w:sz w:val="20"/>
                <w:szCs w:val="20"/>
                <w:color w:val="auto"/>
              </w:rPr>
            </w:pPr>
            <w:r>
              <w:rPr>
                <w:rFonts w:ascii="Courier New" w:cs="Courier New" w:eastAsia="Courier New" w:hAnsi="Courier New"/>
                <w:sz w:val="17"/>
                <w:szCs w:val="17"/>
                <w:color w:val="auto"/>
              </w:rPr>
              <w:t>3.</w:t>
            </w:r>
          </w:p>
        </w:tc>
        <w:tc>
          <w:tcPr>
            <w:tcW w:w="2500" w:type="dxa"/>
            <w:vAlign w:val="bottom"/>
            <w:gridSpan w:val="2"/>
          </w:tcPr>
          <w:p>
            <w:pPr>
              <w:spacing w:after="0"/>
              <w:rPr>
                <w:sz w:val="20"/>
                <w:szCs w:val="20"/>
                <w:color w:val="auto"/>
              </w:rPr>
            </w:pPr>
            <w:r>
              <w:rPr>
                <w:rFonts w:ascii="Courier New" w:cs="Courier New" w:eastAsia="Courier New" w:hAnsi="Courier New"/>
                <w:sz w:val="17"/>
                <w:szCs w:val="17"/>
                <w:color w:val="auto"/>
              </w:rPr>
              <w:t>Celestin Durand, III</w:t>
            </w:r>
          </w:p>
        </w:tc>
        <w:tc>
          <w:tcPr>
            <w:tcW w:w="1380" w:type="dxa"/>
            <w:vAlign w:val="bottom"/>
          </w:tcPr>
          <w:p>
            <w:pPr>
              <w:ind w:left="360"/>
              <w:spacing w:after="0"/>
              <w:rPr>
                <w:sz w:val="20"/>
                <w:szCs w:val="20"/>
                <w:color w:val="auto"/>
              </w:rPr>
            </w:pPr>
            <w:r>
              <w:rPr>
                <w:rFonts w:ascii="Courier New" w:cs="Courier New" w:eastAsia="Courier New" w:hAnsi="Courier New"/>
                <w:sz w:val="17"/>
                <w:szCs w:val="17"/>
                <w:color w:val="auto"/>
              </w:rPr>
              <w:t>6,623,637</w:t>
            </w: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12,245</w:t>
            </w:r>
          </w:p>
        </w:tc>
      </w:tr>
      <w:tr>
        <w:trPr>
          <w:trHeight w:val="196"/>
        </w:trPr>
        <w:tc>
          <w:tcPr>
            <w:tcW w:w="1280" w:type="dxa"/>
            <w:vAlign w:val="bottom"/>
          </w:tcPr>
          <w:p>
            <w:pPr>
              <w:spacing w:after="0"/>
              <w:rPr>
                <w:sz w:val="17"/>
                <w:szCs w:val="17"/>
                <w:color w:val="auto"/>
              </w:rPr>
            </w:pPr>
          </w:p>
        </w:tc>
        <w:tc>
          <w:tcPr>
            <w:tcW w:w="860" w:type="dxa"/>
            <w:vAlign w:val="bottom"/>
          </w:tcPr>
          <w:p>
            <w:pPr>
              <w:ind w:left="560"/>
              <w:spacing w:after="0"/>
              <w:rPr>
                <w:sz w:val="20"/>
                <w:szCs w:val="20"/>
                <w:color w:val="auto"/>
              </w:rPr>
            </w:pPr>
            <w:r>
              <w:rPr>
                <w:rFonts w:ascii="Courier New" w:cs="Courier New" w:eastAsia="Courier New" w:hAnsi="Courier New"/>
                <w:sz w:val="17"/>
                <w:szCs w:val="17"/>
                <w:color w:val="auto"/>
              </w:rPr>
              <w:t>4.</w:t>
            </w:r>
          </w:p>
        </w:tc>
        <w:tc>
          <w:tcPr>
            <w:tcW w:w="2500" w:type="dxa"/>
            <w:vAlign w:val="bottom"/>
            <w:gridSpan w:val="2"/>
          </w:tcPr>
          <w:p>
            <w:pPr>
              <w:spacing w:after="0"/>
              <w:rPr>
                <w:sz w:val="20"/>
                <w:szCs w:val="20"/>
                <w:color w:val="auto"/>
              </w:rPr>
            </w:pPr>
            <w:r>
              <w:rPr>
                <w:rFonts w:ascii="Courier New" w:cs="Courier New" w:eastAsia="Courier New" w:hAnsi="Courier New"/>
                <w:sz w:val="17"/>
                <w:szCs w:val="17"/>
                <w:color w:val="auto"/>
              </w:rPr>
              <w:t>Ralph R. Feuerring</w:t>
            </w:r>
          </w:p>
        </w:tc>
        <w:tc>
          <w:tcPr>
            <w:tcW w:w="1380" w:type="dxa"/>
            <w:vAlign w:val="bottom"/>
          </w:tcPr>
          <w:p>
            <w:pPr>
              <w:ind w:left="360"/>
              <w:spacing w:after="0"/>
              <w:rPr>
                <w:sz w:val="20"/>
                <w:szCs w:val="20"/>
                <w:color w:val="auto"/>
              </w:rPr>
            </w:pPr>
            <w:r>
              <w:rPr>
                <w:rFonts w:ascii="Courier New" w:cs="Courier New" w:eastAsia="Courier New" w:hAnsi="Courier New"/>
                <w:sz w:val="17"/>
                <w:szCs w:val="17"/>
                <w:color w:val="auto"/>
              </w:rPr>
              <w:t>6,624,387</w:t>
            </w: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11,495</w:t>
            </w:r>
          </w:p>
        </w:tc>
      </w:tr>
      <w:tr>
        <w:trPr>
          <w:trHeight w:val="196"/>
        </w:trPr>
        <w:tc>
          <w:tcPr>
            <w:tcW w:w="1280" w:type="dxa"/>
            <w:vAlign w:val="bottom"/>
          </w:tcPr>
          <w:p>
            <w:pPr>
              <w:spacing w:after="0"/>
              <w:rPr>
                <w:sz w:val="17"/>
                <w:szCs w:val="17"/>
                <w:color w:val="auto"/>
              </w:rPr>
            </w:pPr>
          </w:p>
        </w:tc>
        <w:tc>
          <w:tcPr>
            <w:tcW w:w="860" w:type="dxa"/>
            <w:vAlign w:val="bottom"/>
          </w:tcPr>
          <w:p>
            <w:pPr>
              <w:ind w:left="560"/>
              <w:spacing w:after="0"/>
              <w:rPr>
                <w:sz w:val="20"/>
                <w:szCs w:val="20"/>
                <w:color w:val="auto"/>
              </w:rPr>
            </w:pPr>
            <w:r>
              <w:rPr>
                <w:rFonts w:ascii="Courier New" w:cs="Courier New" w:eastAsia="Courier New" w:hAnsi="Courier New"/>
                <w:sz w:val="17"/>
                <w:szCs w:val="17"/>
                <w:color w:val="auto"/>
              </w:rPr>
              <w:t>5.</w:t>
            </w:r>
          </w:p>
        </w:tc>
        <w:tc>
          <w:tcPr>
            <w:tcW w:w="2500" w:type="dxa"/>
            <w:vAlign w:val="bottom"/>
            <w:gridSpan w:val="2"/>
          </w:tcPr>
          <w:p>
            <w:pPr>
              <w:spacing w:after="0"/>
              <w:rPr>
                <w:sz w:val="20"/>
                <w:szCs w:val="20"/>
                <w:color w:val="auto"/>
              </w:rPr>
            </w:pPr>
            <w:r>
              <w:rPr>
                <w:rFonts w:ascii="Courier New" w:cs="Courier New" w:eastAsia="Courier New" w:hAnsi="Courier New"/>
                <w:sz w:val="17"/>
                <w:szCs w:val="17"/>
                <w:color w:val="auto"/>
              </w:rPr>
              <w:t>John R. Benbow</w:t>
            </w:r>
          </w:p>
        </w:tc>
        <w:tc>
          <w:tcPr>
            <w:tcW w:w="1380" w:type="dxa"/>
            <w:vAlign w:val="bottom"/>
          </w:tcPr>
          <w:p>
            <w:pPr>
              <w:ind w:left="360"/>
              <w:spacing w:after="0"/>
              <w:rPr>
                <w:sz w:val="20"/>
                <w:szCs w:val="20"/>
                <w:color w:val="auto"/>
              </w:rPr>
            </w:pPr>
            <w:r>
              <w:rPr>
                <w:rFonts w:ascii="Courier New" w:cs="Courier New" w:eastAsia="Courier New" w:hAnsi="Courier New"/>
                <w:sz w:val="17"/>
                <w:szCs w:val="17"/>
                <w:color w:val="auto"/>
              </w:rPr>
              <w:t>6,624,387</w:t>
            </w: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11,495</w:t>
            </w:r>
          </w:p>
        </w:tc>
      </w:tr>
      <w:tr>
        <w:trPr>
          <w:trHeight w:val="196"/>
        </w:trPr>
        <w:tc>
          <w:tcPr>
            <w:tcW w:w="1280" w:type="dxa"/>
            <w:vAlign w:val="bottom"/>
          </w:tcPr>
          <w:p>
            <w:pPr>
              <w:spacing w:after="0"/>
              <w:rPr>
                <w:sz w:val="17"/>
                <w:szCs w:val="17"/>
                <w:color w:val="auto"/>
              </w:rPr>
            </w:pPr>
          </w:p>
        </w:tc>
        <w:tc>
          <w:tcPr>
            <w:tcW w:w="860" w:type="dxa"/>
            <w:vAlign w:val="bottom"/>
          </w:tcPr>
          <w:p>
            <w:pPr>
              <w:ind w:left="560"/>
              <w:spacing w:after="0"/>
              <w:rPr>
                <w:sz w:val="20"/>
                <w:szCs w:val="20"/>
                <w:color w:val="auto"/>
              </w:rPr>
            </w:pPr>
            <w:r>
              <w:rPr>
                <w:rFonts w:ascii="Courier New" w:cs="Courier New" w:eastAsia="Courier New" w:hAnsi="Courier New"/>
                <w:sz w:val="17"/>
                <w:szCs w:val="17"/>
                <w:color w:val="auto"/>
              </w:rPr>
              <w:t>6.</w:t>
            </w:r>
          </w:p>
        </w:tc>
        <w:tc>
          <w:tcPr>
            <w:tcW w:w="2500" w:type="dxa"/>
            <w:vAlign w:val="bottom"/>
            <w:gridSpan w:val="2"/>
          </w:tcPr>
          <w:p>
            <w:pPr>
              <w:spacing w:after="0"/>
              <w:rPr>
                <w:sz w:val="20"/>
                <w:szCs w:val="20"/>
                <w:color w:val="auto"/>
              </w:rPr>
            </w:pPr>
            <w:r>
              <w:rPr>
                <w:rFonts w:ascii="Courier New" w:cs="Courier New" w:eastAsia="Courier New" w:hAnsi="Courier New"/>
                <w:sz w:val="17"/>
                <w:szCs w:val="17"/>
                <w:color w:val="auto"/>
              </w:rPr>
              <w:t>Phillip S. Bradley</w:t>
            </w:r>
          </w:p>
        </w:tc>
        <w:tc>
          <w:tcPr>
            <w:tcW w:w="1380" w:type="dxa"/>
            <w:vAlign w:val="bottom"/>
          </w:tcPr>
          <w:p>
            <w:pPr>
              <w:ind w:left="360"/>
              <w:spacing w:after="0"/>
              <w:rPr>
                <w:sz w:val="20"/>
                <w:szCs w:val="20"/>
                <w:color w:val="auto"/>
              </w:rPr>
            </w:pPr>
            <w:r>
              <w:rPr>
                <w:rFonts w:ascii="Courier New" w:cs="Courier New" w:eastAsia="Courier New" w:hAnsi="Courier New"/>
                <w:sz w:val="17"/>
                <w:szCs w:val="17"/>
                <w:color w:val="auto"/>
              </w:rPr>
              <w:t>6,624,363</w:t>
            </w: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11,519</w:t>
            </w:r>
          </w:p>
        </w:tc>
      </w:tr>
      <w:tr>
        <w:trPr>
          <w:trHeight w:val="196"/>
        </w:trPr>
        <w:tc>
          <w:tcPr>
            <w:tcW w:w="1280" w:type="dxa"/>
            <w:vAlign w:val="bottom"/>
          </w:tcPr>
          <w:p>
            <w:pPr>
              <w:spacing w:after="0"/>
              <w:rPr>
                <w:sz w:val="17"/>
                <w:szCs w:val="17"/>
                <w:color w:val="auto"/>
              </w:rPr>
            </w:pPr>
          </w:p>
        </w:tc>
        <w:tc>
          <w:tcPr>
            <w:tcW w:w="860" w:type="dxa"/>
            <w:vAlign w:val="bottom"/>
          </w:tcPr>
          <w:p>
            <w:pPr>
              <w:ind w:left="560"/>
              <w:spacing w:after="0"/>
              <w:rPr>
                <w:sz w:val="20"/>
                <w:szCs w:val="20"/>
                <w:color w:val="auto"/>
              </w:rPr>
            </w:pPr>
            <w:r>
              <w:rPr>
                <w:rFonts w:ascii="Courier New" w:cs="Courier New" w:eastAsia="Courier New" w:hAnsi="Courier New"/>
                <w:sz w:val="17"/>
                <w:szCs w:val="17"/>
                <w:color w:val="auto"/>
              </w:rPr>
              <w:t>7.</w:t>
            </w:r>
          </w:p>
        </w:tc>
        <w:tc>
          <w:tcPr>
            <w:tcW w:w="1120" w:type="dxa"/>
            <w:vAlign w:val="bottom"/>
          </w:tcPr>
          <w:p>
            <w:pPr>
              <w:spacing w:after="0"/>
              <w:rPr>
                <w:sz w:val="20"/>
                <w:szCs w:val="20"/>
                <w:color w:val="auto"/>
              </w:rPr>
            </w:pPr>
            <w:r>
              <w:rPr>
                <w:rFonts w:ascii="Courier New" w:cs="Courier New" w:eastAsia="Courier New" w:hAnsi="Courier New"/>
                <w:sz w:val="17"/>
                <w:szCs w:val="17"/>
                <w:color w:val="auto"/>
                <w:w w:val="97"/>
              </w:rPr>
              <w:t>Myles Klein</w:t>
            </w:r>
          </w:p>
        </w:tc>
        <w:tc>
          <w:tcPr>
            <w:tcW w:w="1380" w:type="dxa"/>
            <w:vAlign w:val="bottom"/>
          </w:tcPr>
          <w:p>
            <w:pPr>
              <w:spacing w:after="0"/>
              <w:rPr>
                <w:sz w:val="17"/>
                <w:szCs w:val="17"/>
                <w:color w:val="auto"/>
              </w:rPr>
            </w:pPr>
          </w:p>
        </w:tc>
        <w:tc>
          <w:tcPr>
            <w:tcW w:w="1380" w:type="dxa"/>
            <w:vAlign w:val="bottom"/>
          </w:tcPr>
          <w:p>
            <w:pPr>
              <w:ind w:left="360"/>
              <w:spacing w:after="0"/>
              <w:rPr>
                <w:sz w:val="20"/>
                <w:szCs w:val="20"/>
                <w:color w:val="auto"/>
              </w:rPr>
            </w:pPr>
            <w:r>
              <w:rPr>
                <w:rFonts w:ascii="Courier New" w:cs="Courier New" w:eastAsia="Courier New" w:hAnsi="Courier New"/>
                <w:sz w:val="17"/>
                <w:szCs w:val="17"/>
                <w:color w:val="auto"/>
              </w:rPr>
              <w:t>6,622,337</w:t>
            </w: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13,545</w:t>
            </w:r>
          </w:p>
        </w:tc>
      </w:tr>
      <w:tr>
        <w:trPr>
          <w:trHeight w:val="196"/>
        </w:trPr>
        <w:tc>
          <w:tcPr>
            <w:tcW w:w="1280" w:type="dxa"/>
            <w:vAlign w:val="bottom"/>
          </w:tcPr>
          <w:p>
            <w:pPr>
              <w:spacing w:after="0"/>
              <w:rPr>
                <w:sz w:val="17"/>
                <w:szCs w:val="17"/>
                <w:color w:val="auto"/>
              </w:rPr>
            </w:pPr>
          </w:p>
        </w:tc>
        <w:tc>
          <w:tcPr>
            <w:tcW w:w="860" w:type="dxa"/>
            <w:vAlign w:val="bottom"/>
          </w:tcPr>
          <w:p>
            <w:pPr>
              <w:ind w:left="560"/>
              <w:spacing w:after="0"/>
              <w:rPr>
                <w:sz w:val="20"/>
                <w:szCs w:val="20"/>
                <w:color w:val="auto"/>
              </w:rPr>
            </w:pPr>
            <w:r>
              <w:rPr>
                <w:rFonts w:ascii="Courier New" w:cs="Courier New" w:eastAsia="Courier New" w:hAnsi="Courier New"/>
                <w:sz w:val="17"/>
                <w:szCs w:val="17"/>
                <w:color w:val="auto"/>
              </w:rPr>
              <w:t>8.</w:t>
            </w:r>
          </w:p>
        </w:tc>
        <w:tc>
          <w:tcPr>
            <w:tcW w:w="2500" w:type="dxa"/>
            <w:vAlign w:val="bottom"/>
            <w:gridSpan w:val="2"/>
          </w:tcPr>
          <w:p>
            <w:pPr>
              <w:spacing w:after="0"/>
              <w:rPr>
                <w:sz w:val="20"/>
                <w:szCs w:val="20"/>
                <w:color w:val="auto"/>
              </w:rPr>
            </w:pPr>
            <w:r>
              <w:rPr>
                <w:rFonts w:ascii="Courier New" w:cs="Courier New" w:eastAsia="Courier New" w:hAnsi="Courier New"/>
                <w:sz w:val="17"/>
                <w:szCs w:val="17"/>
                <w:color w:val="auto"/>
              </w:rPr>
              <w:t>Michael Kasbar</w:t>
            </w:r>
          </w:p>
        </w:tc>
        <w:tc>
          <w:tcPr>
            <w:tcW w:w="1380" w:type="dxa"/>
            <w:vAlign w:val="bottom"/>
          </w:tcPr>
          <w:p>
            <w:pPr>
              <w:ind w:left="360"/>
              <w:spacing w:after="0"/>
              <w:rPr>
                <w:sz w:val="20"/>
                <w:szCs w:val="20"/>
                <w:color w:val="auto"/>
              </w:rPr>
            </w:pPr>
            <w:r>
              <w:rPr>
                <w:rFonts w:ascii="Courier New" w:cs="Courier New" w:eastAsia="Courier New" w:hAnsi="Courier New"/>
                <w:sz w:val="17"/>
                <w:szCs w:val="17"/>
                <w:color w:val="auto"/>
              </w:rPr>
              <w:t>6,624,387</w:t>
            </w: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11,495</w:t>
            </w:r>
          </w:p>
        </w:tc>
      </w:tr>
      <w:tr>
        <w:trPr>
          <w:trHeight w:val="196"/>
        </w:trPr>
        <w:tc>
          <w:tcPr>
            <w:tcW w:w="1280" w:type="dxa"/>
            <w:vAlign w:val="bottom"/>
          </w:tcPr>
          <w:p>
            <w:pPr>
              <w:spacing w:after="0"/>
              <w:rPr>
                <w:sz w:val="17"/>
                <w:szCs w:val="17"/>
                <w:color w:val="auto"/>
              </w:rPr>
            </w:pPr>
          </w:p>
        </w:tc>
        <w:tc>
          <w:tcPr>
            <w:tcW w:w="860" w:type="dxa"/>
            <w:vAlign w:val="bottom"/>
          </w:tcPr>
          <w:p>
            <w:pPr>
              <w:ind w:left="560"/>
              <w:spacing w:after="0"/>
              <w:rPr>
                <w:sz w:val="20"/>
                <w:szCs w:val="20"/>
                <w:color w:val="auto"/>
              </w:rPr>
            </w:pPr>
            <w:r>
              <w:rPr>
                <w:rFonts w:ascii="Courier New" w:cs="Courier New" w:eastAsia="Courier New" w:hAnsi="Courier New"/>
                <w:sz w:val="17"/>
                <w:szCs w:val="17"/>
                <w:color w:val="auto"/>
              </w:rPr>
              <w:t>9.</w:t>
            </w:r>
          </w:p>
        </w:tc>
        <w:tc>
          <w:tcPr>
            <w:tcW w:w="2500" w:type="dxa"/>
            <w:vAlign w:val="bottom"/>
            <w:gridSpan w:val="2"/>
          </w:tcPr>
          <w:p>
            <w:pPr>
              <w:spacing w:after="0"/>
              <w:rPr>
                <w:sz w:val="20"/>
                <w:szCs w:val="20"/>
                <w:color w:val="auto"/>
              </w:rPr>
            </w:pPr>
            <w:r>
              <w:rPr>
                <w:rFonts w:ascii="Courier New" w:cs="Courier New" w:eastAsia="Courier New" w:hAnsi="Courier New"/>
                <w:sz w:val="17"/>
                <w:szCs w:val="17"/>
                <w:color w:val="auto"/>
              </w:rPr>
              <w:t>Paul Stebbins</w:t>
            </w:r>
          </w:p>
        </w:tc>
        <w:tc>
          <w:tcPr>
            <w:tcW w:w="1380" w:type="dxa"/>
            <w:vAlign w:val="bottom"/>
          </w:tcPr>
          <w:p>
            <w:pPr>
              <w:ind w:left="360"/>
              <w:spacing w:after="0"/>
              <w:rPr>
                <w:sz w:val="20"/>
                <w:szCs w:val="20"/>
                <w:color w:val="auto"/>
              </w:rPr>
            </w:pPr>
            <w:r>
              <w:rPr>
                <w:rFonts w:ascii="Courier New" w:cs="Courier New" w:eastAsia="Courier New" w:hAnsi="Courier New"/>
                <w:sz w:val="17"/>
                <w:szCs w:val="17"/>
                <w:color w:val="auto"/>
              </w:rPr>
              <w:t>6,624,387</w:t>
            </w: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11,495</w:t>
            </w:r>
          </w:p>
        </w:tc>
      </w:tr>
      <w:tr>
        <w:trPr>
          <w:trHeight w:val="392"/>
        </w:trPr>
        <w:tc>
          <w:tcPr>
            <w:tcW w:w="1280" w:type="dxa"/>
            <w:vAlign w:val="bottom"/>
          </w:tcPr>
          <w:p>
            <w:pPr>
              <w:spacing w:after="0"/>
              <w:rPr>
                <w:sz w:val="24"/>
                <w:szCs w:val="24"/>
                <w:color w:val="auto"/>
              </w:rPr>
            </w:pPr>
          </w:p>
        </w:tc>
        <w:tc>
          <w:tcPr>
            <w:tcW w:w="4740" w:type="dxa"/>
            <w:vAlign w:val="bottom"/>
            <w:gridSpan w:val="4"/>
          </w:tcPr>
          <w:p>
            <w:pPr>
              <w:ind w:left="560"/>
              <w:spacing w:after="0"/>
              <w:rPr>
                <w:sz w:val="20"/>
                <w:szCs w:val="20"/>
                <w:color w:val="auto"/>
              </w:rPr>
            </w:pPr>
            <w:r>
              <w:rPr>
                <w:rFonts w:ascii="Courier New" w:cs="Courier New" w:eastAsia="Courier New" w:hAnsi="Courier New"/>
                <w:sz w:val="17"/>
                <w:szCs w:val="17"/>
                <w:color w:val="auto"/>
              </w:rPr>
              <w:t>PROPOSAL TO CHANGE NAME OF COMPANY</w:t>
            </w:r>
          </w:p>
        </w:tc>
        <w:tc>
          <w:tcPr>
            <w:tcW w:w="1440" w:type="dxa"/>
            <w:vAlign w:val="bottom"/>
          </w:tcPr>
          <w:p>
            <w:pPr>
              <w:spacing w:after="0"/>
              <w:rPr>
                <w:sz w:val="24"/>
                <w:szCs w:val="24"/>
                <w:color w:val="auto"/>
              </w:rPr>
            </w:pPr>
          </w:p>
        </w:tc>
      </w:tr>
      <w:tr>
        <w:trPr>
          <w:trHeight w:val="392"/>
        </w:trPr>
        <w:tc>
          <w:tcPr>
            <w:tcW w:w="1280" w:type="dxa"/>
            <w:vAlign w:val="bottom"/>
          </w:tcPr>
          <w:p>
            <w:pPr>
              <w:spacing w:after="0"/>
              <w:rPr>
                <w:sz w:val="24"/>
                <w:szCs w:val="24"/>
                <w:color w:val="auto"/>
              </w:rPr>
            </w:pPr>
          </w:p>
        </w:tc>
        <w:tc>
          <w:tcPr>
            <w:tcW w:w="860" w:type="dxa"/>
            <w:vAlign w:val="bottom"/>
          </w:tcPr>
          <w:p>
            <w:pPr>
              <w:ind w:left="560"/>
              <w:spacing w:after="0"/>
              <w:rPr>
                <w:sz w:val="20"/>
                <w:szCs w:val="20"/>
                <w:color w:val="auto"/>
              </w:rPr>
            </w:pPr>
            <w:r>
              <w:rPr>
                <w:rFonts w:ascii="Courier New" w:cs="Courier New" w:eastAsia="Courier New" w:hAnsi="Courier New"/>
                <w:sz w:val="17"/>
                <w:szCs w:val="17"/>
                <w:color w:val="auto"/>
                <w:w w:val="91"/>
              </w:rPr>
              <w:t>FOR</w:t>
            </w:r>
          </w:p>
        </w:tc>
        <w:tc>
          <w:tcPr>
            <w:tcW w:w="11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Courier New" w:cs="Courier New" w:eastAsia="Courier New" w:hAnsi="Courier New"/>
                <w:sz w:val="17"/>
                <w:szCs w:val="17"/>
                <w:color w:val="auto"/>
              </w:rPr>
              <w:t>AGAINST</w:t>
            </w:r>
          </w:p>
        </w:tc>
        <w:tc>
          <w:tcPr>
            <w:tcW w:w="1380" w:type="dxa"/>
            <w:vAlign w:val="bottom"/>
          </w:tcPr>
          <w:p>
            <w:pPr>
              <w:ind w:left="360"/>
              <w:spacing w:after="0"/>
              <w:rPr>
                <w:sz w:val="20"/>
                <w:szCs w:val="20"/>
                <w:color w:val="auto"/>
              </w:rPr>
            </w:pPr>
            <w:r>
              <w:rPr>
                <w:rFonts w:ascii="Courier New" w:cs="Courier New" w:eastAsia="Courier New" w:hAnsi="Courier New"/>
                <w:sz w:val="17"/>
                <w:szCs w:val="17"/>
                <w:color w:val="auto"/>
              </w:rPr>
              <w:t>ABSTAIN</w:t>
            </w:r>
          </w:p>
        </w:tc>
        <w:tc>
          <w:tcPr>
            <w:tcW w:w="144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98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6,596,406</w:t>
            </w:r>
          </w:p>
        </w:tc>
        <w:tc>
          <w:tcPr>
            <w:tcW w:w="1380" w:type="dxa"/>
            <w:vAlign w:val="bottom"/>
          </w:tcPr>
          <w:p>
            <w:pPr>
              <w:spacing w:after="0"/>
              <w:rPr>
                <w:sz w:val="20"/>
                <w:szCs w:val="20"/>
                <w:color w:val="auto"/>
              </w:rPr>
            </w:pPr>
            <w:r>
              <w:rPr>
                <w:rFonts w:ascii="Courier New" w:cs="Courier New" w:eastAsia="Courier New" w:hAnsi="Courier New"/>
                <w:sz w:val="17"/>
                <w:szCs w:val="17"/>
                <w:color w:val="auto"/>
              </w:rPr>
              <w:t>16,468</w:t>
            </w:r>
          </w:p>
        </w:tc>
        <w:tc>
          <w:tcPr>
            <w:tcW w:w="1380" w:type="dxa"/>
            <w:vAlign w:val="bottom"/>
          </w:tcPr>
          <w:p>
            <w:pPr>
              <w:ind w:left="460"/>
              <w:spacing w:after="0"/>
              <w:rPr>
                <w:sz w:val="20"/>
                <w:szCs w:val="20"/>
                <w:color w:val="auto"/>
              </w:rPr>
            </w:pPr>
            <w:r>
              <w:rPr>
                <w:rFonts w:ascii="Courier New" w:cs="Courier New" w:eastAsia="Courier New" w:hAnsi="Courier New"/>
                <w:sz w:val="17"/>
                <w:szCs w:val="17"/>
                <w:color w:val="auto"/>
              </w:rPr>
              <w:t>23,008</w:t>
            </w:r>
          </w:p>
        </w:tc>
        <w:tc>
          <w:tcPr>
            <w:tcW w:w="1440" w:type="dxa"/>
            <w:vAlign w:val="bottom"/>
          </w:tcPr>
          <w:p>
            <w:pPr>
              <w:spacing w:after="0"/>
              <w:rPr>
                <w:sz w:val="17"/>
                <w:szCs w:val="17"/>
                <w:color w:val="auto"/>
              </w:rPr>
            </w:pPr>
          </w:p>
        </w:tc>
      </w:tr>
      <w:tr>
        <w:trPr>
          <w:trHeight w:val="392"/>
        </w:trPr>
        <w:tc>
          <w:tcPr>
            <w:tcW w:w="1280" w:type="dxa"/>
            <w:vAlign w:val="bottom"/>
          </w:tcPr>
          <w:p>
            <w:pPr>
              <w:spacing w:after="0"/>
              <w:rPr>
                <w:sz w:val="24"/>
                <w:szCs w:val="24"/>
                <w:color w:val="auto"/>
              </w:rPr>
            </w:pPr>
          </w:p>
        </w:tc>
        <w:tc>
          <w:tcPr>
            <w:tcW w:w="6180" w:type="dxa"/>
            <w:vAlign w:val="bottom"/>
            <w:gridSpan w:val="5"/>
          </w:tcPr>
          <w:p>
            <w:pPr>
              <w:ind w:left="560"/>
              <w:spacing w:after="0"/>
              <w:rPr>
                <w:sz w:val="20"/>
                <w:szCs w:val="20"/>
                <w:color w:val="auto"/>
              </w:rPr>
            </w:pPr>
            <w:r>
              <w:rPr>
                <w:rFonts w:ascii="Courier New" w:cs="Courier New" w:eastAsia="Courier New" w:hAnsi="Courier New"/>
                <w:sz w:val="17"/>
                <w:szCs w:val="17"/>
                <w:color w:val="auto"/>
              </w:rPr>
              <w:t>PROPOSAL TO INCREASE EMPLOYEE STOCK OPTION PLAN SHARES</w:t>
            </w:r>
          </w:p>
        </w:tc>
      </w:tr>
      <w:tr>
        <w:trPr>
          <w:trHeight w:val="196"/>
        </w:trPr>
        <w:tc>
          <w:tcPr>
            <w:tcW w:w="1280" w:type="dxa"/>
            <w:vAlign w:val="bottom"/>
          </w:tcPr>
          <w:p>
            <w:pPr>
              <w:spacing w:after="0"/>
              <w:rPr>
                <w:sz w:val="17"/>
                <w:szCs w:val="17"/>
                <w:color w:val="auto"/>
              </w:rPr>
            </w:pPr>
          </w:p>
        </w:tc>
        <w:tc>
          <w:tcPr>
            <w:tcW w:w="860" w:type="dxa"/>
            <w:vAlign w:val="bottom"/>
          </w:tcPr>
          <w:p>
            <w:pPr>
              <w:ind w:left="560"/>
              <w:spacing w:after="0"/>
              <w:rPr>
                <w:sz w:val="20"/>
                <w:szCs w:val="20"/>
                <w:color w:val="auto"/>
              </w:rPr>
            </w:pPr>
            <w:r>
              <w:rPr>
                <w:rFonts w:ascii="Courier New" w:cs="Courier New" w:eastAsia="Courier New" w:hAnsi="Courier New"/>
                <w:sz w:val="17"/>
                <w:szCs w:val="17"/>
                <w:color w:val="auto"/>
                <w:w w:val="91"/>
              </w:rPr>
              <w:t>FOR</w:t>
            </w:r>
          </w:p>
        </w:tc>
        <w:tc>
          <w:tcPr>
            <w:tcW w:w="112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Courier New" w:cs="Courier New" w:eastAsia="Courier New" w:hAnsi="Courier New"/>
                <w:sz w:val="17"/>
                <w:szCs w:val="17"/>
                <w:color w:val="auto"/>
              </w:rPr>
              <w:t>AGAINST</w:t>
            </w:r>
          </w:p>
        </w:tc>
        <w:tc>
          <w:tcPr>
            <w:tcW w:w="1380" w:type="dxa"/>
            <w:vAlign w:val="bottom"/>
          </w:tcPr>
          <w:p>
            <w:pPr>
              <w:ind w:left="360"/>
              <w:spacing w:after="0"/>
              <w:rPr>
                <w:sz w:val="20"/>
                <w:szCs w:val="20"/>
                <w:color w:val="auto"/>
              </w:rPr>
            </w:pPr>
            <w:r>
              <w:rPr>
                <w:rFonts w:ascii="Courier New" w:cs="Courier New" w:eastAsia="Courier New" w:hAnsi="Courier New"/>
                <w:sz w:val="17"/>
                <w:szCs w:val="17"/>
                <w:color w:val="auto"/>
              </w:rPr>
              <w:t>ABSTAIN</w:t>
            </w:r>
          </w:p>
        </w:tc>
        <w:tc>
          <w:tcPr>
            <w:tcW w:w="14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98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5,499,282</w:t>
            </w:r>
          </w:p>
        </w:tc>
        <w:tc>
          <w:tcPr>
            <w:tcW w:w="1380" w:type="dxa"/>
            <w:vAlign w:val="bottom"/>
          </w:tcPr>
          <w:p>
            <w:pPr>
              <w:spacing w:after="0"/>
              <w:rPr>
                <w:sz w:val="20"/>
                <w:szCs w:val="20"/>
                <w:color w:val="auto"/>
              </w:rPr>
            </w:pPr>
            <w:r>
              <w:rPr>
                <w:rFonts w:ascii="Courier New" w:cs="Courier New" w:eastAsia="Courier New" w:hAnsi="Courier New"/>
                <w:sz w:val="17"/>
                <w:szCs w:val="17"/>
                <w:color w:val="auto"/>
              </w:rPr>
              <w:t>1,079,530</w:t>
            </w:r>
          </w:p>
        </w:tc>
        <w:tc>
          <w:tcPr>
            <w:tcW w:w="1380" w:type="dxa"/>
            <w:vAlign w:val="bottom"/>
          </w:tcPr>
          <w:p>
            <w:pPr>
              <w:ind w:left="460"/>
              <w:spacing w:after="0"/>
              <w:rPr>
                <w:sz w:val="20"/>
                <w:szCs w:val="20"/>
                <w:color w:val="auto"/>
              </w:rPr>
            </w:pPr>
            <w:r>
              <w:rPr>
                <w:rFonts w:ascii="Courier New" w:cs="Courier New" w:eastAsia="Courier New" w:hAnsi="Courier New"/>
                <w:sz w:val="17"/>
                <w:szCs w:val="17"/>
                <w:color w:val="auto"/>
              </w:rPr>
              <w:t>57,070</w:t>
            </w:r>
          </w:p>
        </w:tc>
        <w:tc>
          <w:tcPr>
            <w:tcW w:w="1440" w:type="dxa"/>
            <w:vAlign w:val="bottom"/>
          </w:tcPr>
          <w:p>
            <w:pPr>
              <w:spacing w:after="0"/>
              <w:rPr>
                <w:sz w:val="17"/>
                <w:szCs w:val="17"/>
                <w:color w:val="auto"/>
              </w:rPr>
            </w:pPr>
          </w:p>
        </w:tc>
      </w:tr>
      <w:tr>
        <w:trPr>
          <w:trHeight w:val="392"/>
        </w:trPr>
        <w:tc>
          <w:tcPr>
            <w:tcW w:w="1280" w:type="dxa"/>
            <w:vAlign w:val="bottom"/>
          </w:tcPr>
          <w:p>
            <w:pPr>
              <w:spacing w:after="0"/>
              <w:rPr>
                <w:sz w:val="20"/>
                <w:szCs w:val="20"/>
                <w:color w:val="auto"/>
              </w:rPr>
            </w:pPr>
            <w:r>
              <w:rPr>
                <w:rFonts w:ascii="Courier New" w:cs="Courier New" w:eastAsia="Courier New" w:hAnsi="Courier New"/>
                <w:sz w:val="17"/>
                <w:szCs w:val="17"/>
                <w:color w:val="auto"/>
              </w:rPr>
              <w:t>ITEM 5.</w:t>
            </w:r>
          </w:p>
        </w:tc>
        <w:tc>
          <w:tcPr>
            <w:tcW w:w="3360" w:type="dxa"/>
            <w:vAlign w:val="bottom"/>
            <w:gridSpan w:val="3"/>
          </w:tcPr>
          <w:p>
            <w:pPr>
              <w:ind w:left="560"/>
              <w:spacing w:after="0"/>
              <w:rPr>
                <w:sz w:val="20"/>
                <w:szCs w:val="20"/>
                <w:color w:val="auto"/>
              </w:rPr>
            </w:pPr>
            <w:r>
              <w:rPr>
                <w:rFonts w:ascii="Courier New" w:cs="Courier New" w:eastAsia="Courier New" w:hAnsi="Courier New"/>
                <w:sz w:val="17"/>
                <w:szCs w:val="17"/>
                <w:color w:val="auto"/>
              </w:rPr>
              <w:t>OTHER INFORMATION - None</w:t>
            </w: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92"/>
        </w:trPr>
        <w:tc>
          <w:tcPr>
            <w:tcW w:w="1280" w:type="dxa"/>
            <w:vAlign w:val="bottom"/>
          </w:tcPr>
          <w:p>
            <w:pPr>
              <w:spacing w:after="0"/>
              <w:rPr>
                <w:sz w:val="20"/>
                <w:szCs w:val="20"/>
                <w:color w:val="auto"/>
              </w:rPr>
            </w:pPr>
            <w:r>
              <w:rPr>
                <w:rFonts w:ascii="Courier New" w:cs="Courier New" w:eastAsia="Courier New" w:hAnsi="Courier New"/>
                <w:sz w:val="17"/>
                <w:szCs w:val="17"/>
                <w:color w:val="auto"/>
              </w:rPr>
              <w:t>ITEM 6.</w:t>
            </w:r>
          </w:p>
        </w:tc>
        <w:tc>
          <w:tcPr>
            <w:tcW w:w="4740" w:type="dxa"/>
            <w:vAlign w:val="bottom"/>
            <w:gridSpan w:val="4"/>
          </w:tcPr>
          <w:p>
            <w:pPr>
              <w:ind w:left="560"/>
              <w:spacing w:after="0"/>
              <w:rPr>
                <w:sz w:val="20"/>
                <w:szCs w:val="20"/>
                <w:color w:val="auto"/>
              </w:rPr>
            </w:pPr>
            <w:r>
              <w:rPr>
                <w:rFonts w:ascii="Courier New" w:cs="Courier New" w:eastAsia="Courier New" w:hAnsi="Courier New"/>
                <w:sz w:val="17"/>
                <w:szCs w:val="17"/>
                <w:color w:val="auto"/>
              </w:rPr>
              <w:t>EXHIBITS AND REPORTS ON FORM 8-K</w:t>
            </w:r>
          </w:p>
        </w:tc>
        <w:tc>
          <w:tcPr>
            <w:tcW w:w="1440" w:type="dxa"/>
            <w:vAlign w:val="bottom"/>
          </w:tcPr>
          <w:p>
            <w:pPr>
              <w:spacing w:after="0"/>
              <w:rPr>
                <w:sz w:val="24"/>
                <w:szCs w:val="24"/>
                <w:color w:val="auto"/>
              </w:rPr>
            </w:pPr>
          </w:p>
        </w:tc>
      </w:tr>
    </w:tbl>
    <w:p>
      <w:pPr>
        <w:spacing w:after="0" w:line="201" w:lineRule="exact"/>
        <w:rPr>
          <w:sz w:val="20"/>
          <w:szCs w:val="20"/>
          <w:color w:val="auto"/>
        </w:rPr>
      </w:pPr>
    </w:p>
    <w:p>
      <w:pPr>
        <w:jc w:val="both"/>
        <w:ind w:left="2760" w:right="2459" w:hanging="919"/>
        <w:spacing w:after="0" w:line="243" w:lineRule="auto"/>
        <w:tabs>
          <w:tab w:leader="none" w:pos="27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the three months ended September 30, 1995, the Company did not file any reports on Form 8-K.</w:t>
      </w:r>
    </w:p>
    <w:p>
      <w:pPr>
        <w:spacing w:after="0" w:line="198"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Page 18 0f 19</w:t>
      </w:r>
    </w:p>
    <w:p>
      <w:pPr>
        <w:sectPr>
          <w:pgSz w:w="11900" w:h="16838" w:orient="portrait"/>
          <w:cols w:equalWidth="0" w:num="1">
            <w:col w:w="10219"/>
          </w:cols>
          <w:pgMar w:left="240" w:top="703" w:right="1440" w:bottom="1440" w:gutter="0" w:footer="0" w:header="0"/>
        </w:sectPr>
      </w:pPr>
    </w:p>
    <w:bookmarkStart w:id="17" w:name="page18"/>
    <w:bookmarkEnd w:id="17"/>
    <w:p>
      <w:pPr>
        <w:ind w:left="3580"/>
        <w:spacing w:after="0"/>
        <w:rPr>
          <w:sz w:val="20"/>
          <w:szCs w:val="20"/>
          <w:color w:val="auto"/>
        </w:rPr>
      </w:pPr>
      <w:r>
        <w:rPr>
          <w:rFonts w:ascii="Courier New" w:cs="Courier New" w:eastAsia="Courier New" w:hAnsi="Courier New"/>
          <w:sz w:val="17"/>
          <w:szCs w:val="17"/>
          <w:color w:val="auto"/>
        </w:rPr>
        <w:t>SIGNATURES</w:t>
      </w:r>
    </w:p>
    <w:p>
      <w:pPr>
        <w:spacing w:after="0" w:line="201" w:lineRule="exact"/>
        <w:rPr>
          <w:sz w:val="20"/>
          <w:szCs w:val="20"/>
          <w:color w:val="auto"/>
        </w:rPr>
      </w:pPr>
    </w:p>
    <w:p>
      <w:pPr>
        <w:jc w:val="both"/>
        <w:ind w:right="2859"/>
        <w:spacing w:after="0" w:line="243"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507" w:right="1440" w:bottom="1440" w:gutter="0" w:footer="0" w:header="0"/>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1, 1995</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WORLD FUEL SERVICES CORPORATION</w:t>
      </w:r>
    </w:p>
    <w:p>
      <w:pPr>
        <w:spacing w:after="0" w:line="200" w:lineRule="exact"/>
        <w:rPr>
          <w:sz w:val="20"/>
          <w:szCs w:val="20"/>
          <w:color w:val="auto"/>
        </w:rPr>
      </w:pPr>
    </w:p>
    <w:p>
      <w:pPr>
        <w:sectPr>
          <w:pgSz w:w="11900" w:h="16838" w:orient="portrait"/>
          <w:cols w:equalWidth="0" w:num="2">
            <w:col w:w="3160" w:space="720"/>
            <w:col w:w="6339"/>
          </w:cols>
          <w:pgMar w:left="240" w:top="507" w:right="1440" w:bottom="1440" w:gutter="0" w:footer="0" w:header="0"/>
          <w:type w:val="continuous"/>
        </w:sectPr>
      </w:pPr>
    </w:p>
    <w:p>
      <w:pPr>
        <w:spacing w:after="0" w:line="1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/S/ JERROLD BLAIR</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JERROLD BLAIR</w:t>
      </w:r>
    </w:p>
    <w:p>
      <w:pPr>
        <w:spacing w:after="0" w:line="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PRESIDENT</w:t>
      </w:r>
    </w:p>
    <w:p>
      <w:pPr>
        <w:spacing w:after="0" w:line="3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/S/ CARLOS A. ABAUNZA</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CARLOS A. ABAUNZA</w:t>
      </w:r>
    </w:p>
    <w:p>
      <w:pPr>
        <w:spacing w:after="0" w:line="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CHIEF FINANCIAL OFFICER</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Page 19 of 19</w:t>
      </w:r>
    </w:p>
    <w:p>
      <w:pPr>
        <w:sectPr>
          <w:pgSz w:w="11900" w:h="16838" w:orient="portrait"/>
          <w:cols w:equalWidth="0" w:num="1">
            <w:col w:w="10219"/>
          </w:cols>
          <w:pgMar w:left="240" w:top="507" w:right="1440" w:bottom="1440" w:gutter="0" w:footer="0" w:header="0"/>
          <w:type w:val="continuous"/>
        </w:sectPr>
      </w:pPr>
    </w:p>
    <w:bookmarkStart w:id="18" w:name="page19"/>
    <w:bookmarkEnd w:id="18"/>
    <w:p>
      <w:pPr>
        <w:ind w:left="60"/>
        <w:spacing w:after="0"/>
        <w:rPr>
          <w:sz w:val="20"/>
          <w:szCs w:val="20"/>
          <w:color w:val="auto"/>
        </w:rPr>
      </w:pPr>
      <w:r>
        <w:rPr>
          <w:rFonts w:ascii="Courier New" w:cs="Courier New" w:eastAsia="Courier New" w:hAnsi="Courier New"/>
          <w:sz w:val="17"/>
          <w:szCs w:val="17"/>
          <w:color w:val="auto"/>
        </w:rPr>
        <w:t>5</w:t>
      </w:r>
    </w:p>
    <w:p>
      <w:pPr>
        <w:spacing w:after="0" w:line="201"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7"/>
          <w:szCs w:val="17"/>
          <w:color w:val="auto"/>
        </w:rPr>
        <w:t>THE SCHEDULE CONTAINS SUMMARY FINANCIAL INFORMATION EXTRACTED FROM ITS SEPTEMBER 30, 1995 10-Q AND IS QUALIFIED IN ITS ENTIRETY BY REFERENCE TO SUCH FINANCIAL STATEMENTS.</w:t>
      </w: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6-MOS</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MAR-31-1995</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APR-01-1995</w:t>
      </w:r>
    </w:p>
    <w:p>
      <w:pPr>
        <w:spacing w:after="0" w:line="4"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SEP-30-1995</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17,042,000</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45,504,000</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5,000,000</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3,772,000</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70,013,000</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20,142,000</w:t>
      </w:r>
    </w:p>
    <w:p>
      <w:pPr>
        <w:spacing w:after="0" w:line="4"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5,799,000</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100,240,000</w:t>
      </w: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36,725,000</w:t>
      </w:r>
    </w:p>
    <w:p>
      <w:pPr>
        <w:spacing w:after="0" w:line="4" w:lineRule="exact"/>
        <w:rPr>
          <w:sz w:val="20"/>
          <w:szCs w:val="20"/>
          <w:color w:val="auto"/>
        </w:rPr>
      </w:pPr>
    </w:p>
    <w:p>
      <w:pPr>
        <w:ind w:left="466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79,000</w:t>
      </w:r>
    </w:p>
    <w:p>
      <w:pPr>
        <w:spacing w:after="0" w:line="4"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2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57,933,000</w:t>
      </w:r>
    </w:p>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100,240,000</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284,618,000</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284,618,000</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265,533,000</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265,533,000</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836,000</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153,000</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8,230,000</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3,030,000</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5,200,000</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46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5,200,000</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.65</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.65</w:t>
      </w:r>
    </w:p>
    <w:sectPr>
      <w:pgSz w:w="11900" w:h="16838" w:orient="portrait"/>
      <w:cols w:equalWidth="0" w:num="1">
        <w:col w:w="10179"/>
      </w:cols>
      <w:pgMar w:left="280" w:top="5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2019-12-13T16:01:56Z</dcterms:created>
  <dcterms:modified xsi:type="dcterms:W3CDTF">2019-12-13T16:01:56Z</dcterms:modified>
</cp:coreProperties>
</file>