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WORLD KINECT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700" w:type="dxa"/>
            <w:vAlign w:val="bottom"/>
          </w:tcPr>
          <w:p>
            <w:pPr>
              <w:jc w:val="center"/>
              <w:ind w:right="1956"/>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001-09533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59-2459427</w:t>
            </w:r>
          </w:p>
        </w:tc>
      </w:tr>
      <w:tr>
        <w:trPr>
          <w:trHeight w:val="148"/>
        </w:trPr>
        <w:tc>
          <w:tcPr>
            <w:tcW w:w="3700" w:type="dxa"/>
            <w:vAlign w:val="bottom"/>
          </w:tcPr>
          <w:p>
            <w:pPr>
              <w:jc w:val="center"/>
              <w:ind w:right="197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956"/>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700" w:type="dxa"/>
            <w:vAlign w:val="bottom"/>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8"/>
              </w:rPr>
              <w:t>9800 N.W. 41st Street</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00" w:type="dxa"/>
            <w:vAlign w:val="bottom"/>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2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1"/>
        </w:trPr>
        <w:tc>
          <w:tcPr>
            <w:tcW w:w="3700" w:type="dxa"/>
            <w:vAlign w:val="bottom"/>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80" w:type="dxa"/>
            <w:vAlign w:val="bottom"/>
          </w:tcPr>
          <w:p>
            <w:pPr>
              <w:spacing w:after="0"/>
              <w:rPr>
                <w:sz w:val="20"/>
                <w:szCs w:val="20"/>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WKC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Chief Accounting Officer Compensation</w:t>
      </w:r>
    </w:p>
    <w:p>
      <w:pPr>
        <w:spacing w:after="0" w:line="119"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22, 2025, the Board of Directors (the “Board”) of World Kinect Corporation (the “Company”) appointed Michael Kroll, the Company’s then current Vice President and Global Controller, as Senior Vice President and Chief Accounting Officer, effective November 1, 2025.</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promotion, on December 3, 2025, the Compensation Committee of the Board (the “Compensation Committee”) increased Mr. Kroll’s salary to a rate of $390,000 per year, and he is entitled to receive a performance-based restricted stock unit award with a grant date fair value of $50,000. The award will generally be earned if the Company achieves a pre-determined average adjusted earnings per share goal for a three-year performance period ending December 31, 2027 and Mr. Kroll remains employed with the Company through December 3, 2028. The award will otherwise be subject to the terms and conditions of the applicable award agreement, and will be subject to the terms and conditions of the Company’s Clawback Policy. For 2026, Mr. Kroll will also be entitled to an annual target bonus opportunity of 60% of his annual base salary and an annual target long-term incentive award opportunity of $150,000, in each case to be based on terms and subject to conditions to be determined by the Compensation Committee.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Severance Policy</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December 3, 2025, the Compensation Committee approved an amendment and restatement of the Company’s 2016 Executive Severance Policy, effective January 1, 2026 (as so amended, the “Amended Severance Policy”). The Amended Severance Policy generally provides for certain benefits if (i) a designated participant’s (a “Participant”) employment is terminated due to death or disability, (ii) a Participant is terminated by the Company without cause (before or after a change of control), or (iii) the Participant terminates his or her employment with good reason (before or after a change of control). “Cause,” “change of control” and “good reason” are defined in the Amended Severance Policy.</w:t>
      </w:r>
    </w:p>
    <w:p>
      <w:pPr>
        <w:spacing w:after="0" w:line="183"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Under the Amended Severance Policy, upon the occurrence of a termination without cause or a resignation with good reason, Participants will be entitled to (i) an amount equal to accrued but unpaid salary and certain other benefits (including accrued but unused paid time-off) through the date of termination; (ii) any unpaid bonus for the year prior to the year of termination; (iii) a prorated bonus for the calendar year in which the Participant’s employment is terminated; (iv) an amount equal to the estimated cost of continuation coverage for the Participant and the Participant’s family under the Company’s medical plan pursuant to COBRA for a number of months equal to the product of 12 multiplied by a variable factor particular to the Participant (the “Severance Factor”) specified in the Amended Severance Policy; and (v) a cash severance payment (“Severance Payment”) in an amount equal to the product of the Participant’s base salary and the Severance Factor. If the termination occurs within a two-year period following a change of control of the Company, the Severance Payment described in (v) above will be an amount equal to the product of (x) the sum of the Participant’s base salary and target annual bonus for the year of termination and (y) the Severance Factor. Upon the occurrence of a termination due to death or disability, a Participant will be entitled to the payments specified in (i)-(iv) above.</w:t>
      </w:r>
    </w:p>
    <w:p>
      <w:pPr>
        <w:spacing w:after="0" w:line="194"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Also on December 3, 2025, the Compensation Committee approved the designation of Ira M. Birns, John Rau and Jose-Miguel (Mike) Tejada as Participants in the Amended Severance Policy, effective January 1, 2026. For Mr. Birns, designation under the Amended Severance Policy will succeed his current executive severance agreement, which will be terminated concurrently with the effectiveness of his participation in the Amended Severance Policy.</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7"/>
          <w:szCs w:val="17"/>
          <w:color w:val="auto"/>
        </w:rPr>
        <w:t>World Kinect Corporation</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Joel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Joel M. Williams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Assistant Corporate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2025-12-09T16:08:07Z</dcterms:created>
  <dcterms:modified xsi:type="dcterms:W3CDTF">2025-12-09T16:08:07Z</dcterms:modified>
</cp:coreProperties>
</file>