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1995</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 ______________ to _____________________</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INTERNATIONAL RECOVERY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59-2459427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700 South Royal Poinciana Blvd., Suite 800, Miami Springs, Florida</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6960" w:space="100"/>
            <w:col w:w="3159"/>
          </w:cols>
          <w:pgMar w:left="240" w:top="244" w:right="1440" w:bottom="1440" w:gutter="0" w:footer="0" w:header="0"/>
          <w:type w:val="continuous"/>
        </w:sectPr>
      </w:pP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of June 30, 1995, the Registrant had a total of 7,922,518 shares of Common Stock, par value $0.01 per share, issued and outstanding.</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following unaudited, condensed consolidated financial statements of International Recovery Corp.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three months ended June 30, 1995 will not be necessarily indicative of the results for the entire fiscal year ending March 31, 1996.</w:t>
      </w:r>
    </w:p>
    <w:p>
      <w:pPr>
        <w:spacing w:after="0" w:line="1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16</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3040"/>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0"/>
        </w:trPr>
        <w:tc>
          <w:tcPr>
            <w:tcW w:w="6600" w:type="dxa"/>
            <w:vAlign w:val="bottom"/>
          </w:tcPr>
          <w:p>
            <w:pPr>
              <w:spacing w:after="0"/>
              <w:rPr>
                <w:sz w:val="24"/>
                <w:szCs w:val="24"/>
                <w:color w:val="auto"/>
              </w:rPr>
            </w:pPr>
          </w:p>
        </w:tc>
        <w:tc>
          <w:tcPr>
            <w:tcW w:w="3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$15,914,000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$10,907,000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bad debts of $4,697,000 and</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$4,566,000 at June 30, 1995</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March 31, 1995, respectively</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41,280,000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38,800,000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3,714,000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3,351,000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4,585,000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ind w:left="1280"/>
              <w:spacing w:after="0"/>
              <w:rPr>
                <w:sz w:val="20"/>
                <w:szCs w:val="20"/>
                <w:color w:val="auto"/>
              </w:rPr>
            </w:pPr>
            <w:r>
              <w:rPr>
                <w:rFonts w:ascii="Courier New" w:cs="Courier New" w:eastAsia="Courier New" w:hAnsi="Courier New"/>
                <w:sz w:val="18"/>
                <w:szCs w:val="18"/>
                <w:color w:val="auto"/>
              </w:rPr>
              <w:t>Total current assets</w:t>
            </w:r>
          </w:p>
        </w:tc>
        <w:tc>
          <w:tcPr>
            <w:tcW w:w="3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64,501,000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58,006,000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2,929,000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2,465,000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13,972,000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15,052,000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4"/>
                <w:szCs w:val="24"/>
                <w:color w:val="auto"/>
              </w:rPr>
            </w:pPr>
          </w:p>
        </w:tc>
        <w:tc>
          <w:tcPr>
            <w:tcW w:w="3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19,857,000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21,264,000</w:t>
            </w:r>
          </w:p>
        </w:tc>
      </w:tr>
      <w:tr>
        <w:trPr>
          <w:trHeight w:val="405"/>
        </w:trPr>
        <w:tc>
          <w:tcPr>
            <w:tcW w:w="6600" w:type="dxa"/>
            <w:vAlign w:val="bottom"/>
          </w:tcPr>
          <w:p>
            <w:pPr>
              <w:ind w:left="220"/>
              <w:spacing w:after="0"/>
              <w:rPr>
                <w:sz w:val="20"/>
                <w:szCs w:val="20"/>
                <w:color w:val="auto"/>
              </w:rPr>
            </w:pPr>
            <w:r>
              <w:rPr>
                <w:rFonts w:ascii="Courier New" w:cs="Courier New" w:eastAsia="Courier New" w:hAnsi="Courier New"/>
                <w:sz w:val="18"/>
                <w:szCs w:val="18"/>
                <w:color w:val="auto"/>
              </w:rPr>
              <w:t>Less accumulated depreciation</w:t>
            </w: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5,601,000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5,680,000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4"/>
                <w:szCs w:val="24"/>
                <w:color w:val="auto"/>
              </w:rPr>
            </w:pPr>
          </w:p>
        </w:tc>
        <w:tc>
          <w:tcPr>
            <w:tcW w:w="3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14,256,000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15,584,000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12,341,000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12,391,000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3,805,000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4"/>
                <w:szCs w:val="24"/>
                <w:color w:val="auto"/>
              </w:rPr>
            </w:pPr>
          </w:p>
        </w:tc>
        <w:tc>
          <w:tcPr>
            <w:tcW w:w="3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$94,903,000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$89,536,000</w:t>
            </w:r>
          </w:p>
        </w:tc>
      </w:tr>
      <w:tr>
        <w:trPr>
          <w:trHeight w:val="203"/>
        </w:trPr>
        <w:tc>
          <w:tcPr>
            <w:tcW w:w="6600" w:type="dxa"/>
            <w:vAlign w:val="bottom"/>
          </w:tcPr>
          <w:p>
            <w:pPr>
              <w:spacing w:after="0"/>
              <w:rPr>
                <w:sz w:val="17"/>
                <w:szCs w:val="17"/>
                <w:color w:val="auto"/>
              </w:rPr>
            </w:pPr>
          </w:p>
        </w:tc>
        <w:tc>
          <w:tcPr>
            <w:tcW w:w="3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16</w:t>
      </w:r>
    </w:p>
    <w:p>
      <w:pPr>
        <w:sectPr>
          <w:pgSz w:w="11900" w:h="16838" w:orient="portrait"/>
          <w:cols w:equalWidth="0" w:num="1">
            <w:col w:w="11380"/>
          </w:cols>
          <w:pgMar w:left="240" w:top="1122" w:right="279" w:bottom="1440" w:gutter="0" w:footer="0" w:header="0"/>
        </w:sectPr>
      </w:pPr>
    </w:p>
    <w:bookmarkStart w:id="2" w:name="page3"/>
    <w:bookmarkEnd w:id="2"/>
    <w:p>
      <w:pPr>
        <w:jc w:val="center"/>
        <w:ind w:right="3040"/>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Pr>
          <w:p>
            <w:pPr>
              <w:spacing w:after="0"/>
              <w:rPr>
                <w:sz w:val="17"/>
                <w:szCs w:val="17"/>
                <w:color w:val="auto"/>
              </w:rPr>
            </w:pP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$ 2,067,000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$ 2,128,000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26,400,000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24,334,000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1,818,000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2,369,000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ind w:left="1280"/>
              <w:spacing w:after="0"/>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33,564,000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30,486,000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 net of current maturities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4,276,000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4,447,000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litigation settlement expense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1,069,000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1,237,000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334,000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4"/>
                <w:szCs w:val="24"/>
                <w:color w:val="auto"/>
              </w:rPr>
            </w:pP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5,679,000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6,984,000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2)</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82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 shares authorized,</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issued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10,000,000 shares authorized, 7,923,000 and 7,805,000 shares issued and</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 at June 30, 1995 and March 31, 1995, respectively,</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treasury shares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20,414,000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33,912,000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31,631,000</w:t>
            </w:r>
          </w:p>
        </w:tc>
      </w:tr>
      <w:tr>
        <w:trPr>
          <w:trHeight w:val="203"/>
        </w:trPr>
        <w:tc>
          <w:tcPr>
            <w:tcW w:w="8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4"/>
                <w:szCs w:val="24"/>
                <w:color w:val="auto"/>
              </w:rPr>
            </w:pP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55,660,000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52,066,000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20" w:type="dxa"/>
            <w:vAlign w:val="bottom"/>
          </w:tcPr>
          <w:p>
            <w:pPr>
              <w:spacing w:after="0"/>
              <w:rPr>
                <w:sz w:val="24"/>
                <w:szCs w:val="24"/>
                <w:color w:val="auto"/>
              </w:rPr>
            </w:pP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$94,903,000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$89,536,000</w:t>
            </w:r>
          </w:p>
        </w:tc>
      </w:tr>
      <w:tr>
        <w:trPr>
          <w:trHeight w:val="203"/>
        </w:trPr>
        <w:tc>
          <w:tcPr>
            <w:tcW w:w="82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780" w:firstLine="211"/>
        <w:spacing w:after="0" w:line="235" w:lineRule="auto"/>
        <w:rPr>
          <w:sz w:val="20"/>
          <w:szCs w:val="20"/>
          <w:color w:val="auto"/>
        </w:rPr>
      </w:pPr>
      <w:r>
        <w:rPr>
          <w:rFonts w:ascii="Courier New" w:cs="Courier New" w:eastAsia="Courier New" w:hAnsi="Courier New"/>
          <w:sz w:val="18"/>
          <w:szCs w:val="18"/>
          <w:color w:val="auto"/>
        </w:rPr>
        <w:t>The accompanying notes to the consolidated financial statements are an integral part of these consolidated balance sheets (unaudited).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16</w:t>
      </w:r>
    </w:p>
    <w:p>
      <w:pPr>
        <w:sectPr>
          <w:pgSz w:w="11900" w:h="16838" w:orient="portrait"/>
          <w:cols w:equalWidth="0" w:num="1">
            <w:col w:w="11380"/>
          </w:cols>
          <w:pgMar w:left="240" w:top="1122" w:right="279" w:bottom="144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CONSOLIDATED STATEMENTS OF INCOME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5960" w:type="dxa"/>
            <w:vAlign w:val="bottom"/>
            <w:gridSpan w:val="3"/>
          </w:tcPr>
          <w:p>
            <w:pPr>
              <w:jc w:val="right"/>
              <w:ind w:right="1132"/>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9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$138,960,000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$ 72,524,000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129,786,000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65,282,000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960"/>
              <w:spacing w:after="0"/>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9,174,000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7,242,000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4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3,006,000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1,618,000</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4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1,211,000</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2,356,000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1,444,000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5,512,000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4,273,000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960"/>
              <w:spacing w:after="0"/>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3,662,000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2,969,000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386,000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130,000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4,048,000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3,099,000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1,503,000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1,155,000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2,545,000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1,944,000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4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8,023,000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7,181,000</w:t>
            </w: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60" w:right="2839" w:hanging="947"/>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statements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16</w:t>
      </w:r>
    </w:p>
    <w:p>
      <w:pPr>
        <w:sectPr>
          <w:pgSz w:w="11900" w:h="16838" w:orient="portrait"/>
          <w:cols w:equalWidth="0" w:num="1">
            <w:col w:w="10219"/>
          </w:cols>
          <w:pgMar w:left="240" w:top="1325"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3580"/>
              <w:spacing w:after="0"/>
              <w:rPr>
                <w:sz w:val="20"/>
                <w:szCs w:val="20"/>
                <w:color w:val="auto"/>
              </w:rPr>
            </w:pPr>
            <w:r>
              <w:rPr>
                <w:rFonts w:ascii="Courier New" w:cs="Courier New" w:eastAsia="Courier New" w:hAnsi="Courier New"/>
                <w:sz w:val="18"/>
                <w:szCs w:val="18"/>
                <w:color w:val="auto"/>
                <w:w w:val="95"/>
              </w:rPr>
              <w:t>(UNAUDITED)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2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40" w:type="dxa"/>
            <w:vAlign w:val="bottom"/>
          </w:tcPr>
          <w:p>
            <w:pPr>
              <w:spacing w:after="0"/>
              <w:rPr>
                <w:sz w:val="17"/>
                <w:szCs w:val="17"/>
                <w:color w:val="auto"/>
              </w:rPr>
            </w:pPr>
          </w:p>
        </w:tc>
        <w:tc>
          <w:tcPr>
            <w:tcW w:w="26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740" w:type="dxa"/>
            <w:vAlign w:val="bottom"/>
          </w:tcPr>
          <w:p>
            <w:pPr>
              <w:spacing w:after="0"/>
              <w:rPr>
                <w:sz w:val="17"/>
                <w:szCs w:val="17"/>
                <w:color w:val="auto"/>
              </w:rPr>
            </w:pP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$ 2,545,000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$1,944,000</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Adjustments to reconcile net</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328,000</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1,211,000</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 provision</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joint venture</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non-cash operating charges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640"/>
              <w:spacing w:after="0"/>
              <w:rPr>
                <w:sz w:val="20"/>
                <w:szCs w:val="20"/>
                <w:color w:val="auto"/>
              </w:rPr>
            </w:pPr>
            <w:r>
              <w:rPr>
                <w:rFonts w:ascii="Courier New" w:cs="Courier New" w:eastAsia="Courier New" w:hAnsi="Courier New"/>
                <w:sz w:val="18"/>
                <w:szCs w:val="18"/>
                <w:color w:val="auto"/>
              </w:rPr>
              <w:t>Changes in assets and liabilities,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of assets sold and liabilities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transferred: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(2,630,000)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1,552,000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current assets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1,093,000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823,000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Other assets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130,000</w:t>
            </w:r>
          </w:p>
        </w:tc>
      </w:tr>
      <w:tr>
        <w:trPr>
          <w:trHeight w:val="405"/>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Increase (decrease) in-</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6"/>
              </w:rPr>
              <w:t>Accounts payable, accrued expenses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and customer deposits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2,325,000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2,225,000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651,000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1,054,000</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740" w:type="dxa"/>
            <w:vAlign w:val="bottom"/>
          </w:tcPr>
          <w:p>
            <w:pPr>
              <w:ind w:left="1160"/>
              <w:spacing w:after="0"/>
              <w:rPr>
                <w:sz w:val="20"/>
                <w:szCs w:val="20"/>
                <w:color w:val="auto"/>
              </w:rPr>
            </w:pPr>
            <w:r>
              <w:rPr>
                <w:rFonts w:ascii="Courier New" w:cs="Courier New" w:eastAsia="Courier New" w:hAnsi="Courier New"/>
                <w:sz w:val="18"/>
                <w:szCs w:val="18"/>
                <w:color w:val="auto"/>
              </w:rPr>
              <w:t>Total adjustments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1,878,000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6,723,000</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Net cash provided by operating</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activities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4,423,000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8,667,000</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16</w:t>
      </w:r>
    </w:p>
    <w:p>
      <w:pPr>
        <w:sectPr>
          <w:pgSz w:w="11900" w:h="16838" w:orient="portrait"/>
          <w:cols w:equalWidth="0" w:num="1">
            <w:col w:w="10219"/>
          </w:cols>
          <w:pgMar w:left="240" w:top="1122" w:right="1440" w:bottom="1440"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gridSpan w:val="3"/>
          </w:tcPr>
          <w:p>
            <w:pPr>
              <w:ind w:left="2220"/>
              <w:spacing w:after="0"/>
              <w:rPr>
                <w:sz w:val="20"/>
                <w:szCs w:val="20"/>
                <w:color w:val="auto"/>
              </w:rPr>
            </w:pPr>
            <w:r>
              <w:rPr>
                <w:rFonts w:ascii="Courier New" w:cs="Courier New" w:eastAsia="Courier New" w:hAnsi="Courier New"/>
                <w:sz w:val="18"/>
                <w:szCs w:val="18"/>
                <w:color w:val="auto"/>
                <w:w w:val="98"/>
              </w:rPr>
              <w:t>CONSOLIDATED STATEMENTS OF CASH FLOWS</w:t>
            </w:r>
          </w:p>
        </w:tc>
        <w:tc>
          <w:tcPr>
            <w:tcW w:w="1300" w:type="dxa"/>
            <w:vAlign w:val="bottom"/>
          </w:tcPr>
          <w:p>
            <w:pPr>
              <w:spacing w:after="0"/>
              <w:rPr>
                <w:sz w:val="17"/>
                <w:szCs w:val="17"/>
                <w:color w:val="auto"/>
              </w:rPr>
            </w:pPr>
          </w:p>
        </w:tc>
      </w:tr>
      <w:tr>
        <w:trPr>
          <w:trHeight w:val="405"/>
        </w:trPr>
        <w:tc>
          <w:tcPr>
            <w:tcW w:w="4740" w:type="dxa"/>
            <w:vAlign w:val="bottom"/>
          </w:tcPr>
          <w:p>
            <w:pPr>
              <w:ind w:left="3580"/>
              <w:spacing w:after="0"/>
              <w:rPr>
                <w:sz w:val="20"/>
                <w:szCs w:val="20"/>
                <w:color w:val="auto"/>
              </w:rPr>
            </w:pPr>
            <w:r>
              <w:rPr>
                <w:rFonts w:ascii="Courier New" w:cs="Courier New" w:eastAsia="Courier New" w:hAnsi="Courier New"/>
                <w:sz w:val="18"/>
                <w:szCs w:val="18"/>
                <w:color w:val="auto"/>
                <w:w w:val="95"/>
              </w:rPr>
              <w:t>(UNAUDITED)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5"/>
        </w:trPr>
        <w:tc>
          <w:tcPr>
            <w:tcW w:w="4740" w:type="dxa"/>
            <w:vAlign w:val="bottom"/>
          </w:tcPr>
          <w:p>
            <w:pPr>
              <w:ind w:left="3580"/>
              <w:spacing w:after="0"/>
              <w:rPr>
                <w:sz w:val="20"/>
                <w:szCs w:val="20"/>
                <w:color w:val="auto"/>
              </w:rPr>
            </w:pPr>
            <w:r>
              <w:rPr>
                <w:rFonts w:ascii="Courier New" w:cs="Courier New" w:eastAsia="Courier New" w:hAnsi="Courier New"/>
                <w:sz w:val="18"/>
                <w:szCs w:val="18"/>
                <w:color w:val="auto"/>
                <w:w w:val="95"/>
              </w:rPr>
              <w:t>(Continued)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5"/>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740" w:type="dxa"/>
            <w:vAlign w:val="bottom"/>
          </w:tcPr>
          <w:p>
            <w:pPr>
              <w:spacing w:after="0"/>
              <w:rPr>
                <w:sz w:val="17"/>
                <w:szCs w:val="17"/>
                <w:color w:val="auto"/>
              </w:rPr>
            </w:pPr>
          </w:p>
        </w:tc>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$(3,500,000)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from joint venture</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338,000</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received from joint venture</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510,000</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(246,000)</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203,000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131,000</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expenditures for acquisition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business</w:t>
            </w:r>
          </w:p>
        </w:tc>
        <w:tc>
          <w:tcPr>
            <w:tcW w:w="1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(41,000)</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Net cash provided by (used in)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895,000</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(3,977,000)</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1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(264,000)</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warrants</w:t>
            </w:r>
          </w:p>
        </w:tc>
        <w:tc>
          <w:tcPr>
            <w:tcW w:w="120" w:type="dxa"/>
            <w:vAlign w:val="bottom"/>
          </w:tcPr>
          <w:p>
            <w:pPr>
              <w:spacing w:after="0"/>
              <w:rPr>
                <w:sz w:val="17"/>
                <w:szCs w:val="17"/>
                <w:color w:val="auto"/>
              </w:rPr>
            </w:pPr>
          </w:p>
        </w:tc>
        <w:tc>
          <w:tcPr>
            <w:tcW w:w="13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(47,000)</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Net cash (used in) provided by</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404,000</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5,007,000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5,094,000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period</w:t>
            </w:r>
          </w:p>
        </w:tc>
        <w:tc>
          <w:tcPr>
            <w:tcW w:w="1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10,907,000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7,699,000</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$15,914,000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$12,793,000</w:t>
            </w:r>
          </w:p>
        </w:tc>
      </w:tr>
      <w:tr>
        <w:trPr>
          <w:trHeight w:val="203"/>
        </w:trPr>
        <w:tc>
          <w:tcPr>
            <w:tcW w:w="4740" w:type="dxa"/>
            <w:vAlign w:val="bottom"/>
          </w:tcPr>
          <w:p>
            <w:pPr>
              <w:spacing w:after="0"/>
              <w:rPr>
                <w:sz w:val="17"/>
                <w:szCs w:val="17"/>
                <w:color w:val="auto"/>
              </w:rPr>
            </w:pPr>
          </w:p>
        </w:tc>
        <w:tc>
          <w:tcPr>
            <w:tcW w:w="1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16</w:t>
      </w:r>
    </w:p>
    <w:p>
      <w:pPr>
        <w:sectPr>
          <w:pgSz w:w="11900" w:h="16838" w:orient="portrait"/>
          <w:cols w:equalWidth="0" w:num="1">
            <w:col w:w="10219"/>
          </w:cols>
          <w:pgMar w:left="240" w:top="1325" w:right="1440" w:bottom="767"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THREE MONTHS ENDED</w:t>
      </w:r>
    </w:p>
    <w:p>
      <w:pPr>
        <w:jc w:val="center"/>
        <w:ind w:left="1660"/>
        <w:spacing w:after="0" w:line="238" w:lineRule="auto"/>
        <w:rPr>
          <w:sz w:val="20"/>
          <w:szCs w:val="20"/>
          <w:color w:val="auto"/>
        </w:rPr>
      </w:pPr>
      <w:r>
        <w:rPr>
          <w:rFonts w:ascii="Courier New" w:cs="Courier New" w:eastAsia="Courier New" w:hAnsi="Courier New"/>
          <w:sz w:val="18"/>
          <w:szCs w:val="18"/>
          <w:color w:val="auto"/>
        </w:rPr>
        <w:t>JUNE 30,</w:t>
      </w: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326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3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540" w:type="dxa"/>
            <w:vAlign w:val="bottom"/>
          </w:tcPr>
          <w:p>
            <w:pPr>
              <w:spacing w:after="0"/>
              <w:rPr>
                <w:sz w:val="17"/>
                <w:szCs w:val="17"/>
                <w:color w:val="auto"/>
              </w:rPr>
            </w:pPr>
          </w:p>
        </w:tc>
        <w:tc>
          <w:tcPr>
            <w:tcW w:w="19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540" w:type="dxa"/>
            <w:vAlign w:val="bottom"/>
          </w:tcPr>
          <w:p>
            <w:pPr>
              <w:ind w:left="420"/>
              <w:spacing w:after="0"/>
              <w:rPr>
                <w:sz w:val="20"/>
                <w:szCs w:val="20"/>
                <w:color w:val="auto"/>
              </w:rPr>
            </w:pPr>
            <w:r>
              <w:rPr>
                <w:rFonts w:ascii="Courier New" w:cs="Courier New" w:eastAsia="Courier New" w:hAnsi="Courier New"/>
                <w:sz w:val="18"/>
                <w:szCs w:val="18"/>
                <w:color w:val="auto"/>
              </w:rPr>
              <w:t>Cash paid during the period for:</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Interest</w:t>
            </w:r>
          </w:p>
        </w:tc>
        <w:tc>
          <w:tcPr>
            <w:tcW w:w="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4540" w:type="dxa"/>
            <w:vAlign w:val="bottom"/>
          </w:tcPr>
          <w:p>
            <w:pPr>
              <w:spacing w:after="0"/>
              <w:rPr>
                <w:sz w:val="17"/>
                <w:szCs w:val="17"/>
                <w:color w:val="auto"/>
              </w:rPr>
            </w:pPr>
          </w:p>
        </w:tc>
        <w:tc>
          <w:tcPr>
            <w:tcW w:w="19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1060"/>
              <w:spacing w:after="0"/>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292,000</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101,000</w:t>
            </w:r>
          </w:p>
        </w:tc>
      </w:tr>
      <w:tr>
        <w:trPr>
          <w:trHeight w:val="203"/>
        </w:trPr>
        <w:tc>
          <w:tcPr>
            <w:tcW w:w="4540" w:type="dxa"/>
            <w:vAlign w:val="bottom"/>
          </w:tcPr>
          <w:p>
            <w:pPr>
              <w:spacing w:after="0"/>
              <w:rPr>
                <w:sz w:val="17"/>
                <w:szCs w:val="17"/>
                <w:color w:val="auto"/>
              </w:rPr>
            </w:pPr>
          </w:p>
        </w:tc>
        <w:tc>
          <w:tcPr>
            <w:tcW w:w="19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w:t>
      </w:r>
    </w:p>
    <w:p>
      <w:pPr>
        <w:ind w:left="220"/>
        <w:spacing w:after="0" w:line="238" w:lineRule="auto"/>
        <w:rPr>
          <w:sz w:val="20"/>
          <w:szCs w:val="20"/>
          <w:color w:val="auto"/>
        </w:rPr>
      </w:pPr>
      <w:r>
        <w:rPr>
          <w:rFonts w:ascii="Courier New" w:cs="Courier New" w:eastAsia="Courier New" w:hAnsi="Courier New"/>
          <w:sz w:val="18"/>
          <w:szCs w:val="18"/>
          <w:color w:val="auto"/>
        </w:rPr>
        <w:t>INVESTING AND FINANCING ACTIVITIES: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 April 1995, the Company paid $1,300,000, representing its share of the stockholders' class action settlement, by issuing 117,825 shares of the Company's common stock at an agreed upon price of $11.03 per share (restated to reflect the 3 for 2 stock split). Accordingly, as of March 31, 1995, the Company classified the accrued litigation settlement expense as a long-term liability.</w:t>
      </w:r>
    </w:p>
    <w:p>
      <w:pPr>
        <w:spacing w:after="0" w:line="185"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As partial consideration for the sale of certain assets on June 1, 1995, the Company received $979,000 in notes receivable.</w:t>
      </w:r>
    </w:p>
    <w:p>
      <w:pPr>
        <w:spacing w:after="0" w:line="208" w:lineRule="exact"/>
        <w:rPr>
          <w:sz w:val="20"/>
          <w:szCs w:val="20"/>
          <w:color w:val="auto"/>
        </w:rPr>
      </w:pPr>
    </w:p>
    <w:p>
      <w:pPr>
        <w:ind w:left="960" w:right="2839" w:hanging="947"/>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statements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16</w:t>
      </w:r>
    </w:p>
    <w:p>
      <w:pPr>
        <w:sectPr>
          <w:pgSz w:w="11900" w:h="16838" w:orient="portrait"/>
          <w:cols w:equalWidth="0" w:num="1">
            <w:col w:w="10219"/>
          </w:cols>
          <w:pgMar w:left="240" w:top="1325" w:right="1440" w:bottom="1440" w:gutter="0" w:footer="0" w:header="0"/>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INTERNATIONAL RECOVERY CORP.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followed for quarterly financial reporting are the same as those disclosed in Note 1 of the Notes to the Consolidated Financial Statements included in the Company's Annual Report on Form 10-K for the year ended March 31,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PRO-FORMA RESULTS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January 1995, the Company entered the marine fuel business through the acquisition of the Trans-Tec group of companies. The acquisition was accounted for as a purchase. Accordingly, the results of operations of Trans-Tec are not reflected in the accompanying consolidated statement of income for the three months ended June 30, 1994. The following unaudited pro-forma results of operations for the three months ended June 30, 1994 assume that the Company acquired the Trans-Tec companies, as of April 1, 1994.</w:t>
      </w:r>
    </w:p>
    <w:p>
      <w:pPr>
        <w:spacing w:after="0" w:line="182"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320" w:type="dxa"/>
            <w:vAlign w:val="bottom"/>
          </w:tcPr>
          <w:p>
            <w:pPr>
              <w:spacing w:after="0"/>
              <w:rPr>
                <w:sz w:val="17"/>
                <w:szCs w:val="17"/>
                <w:color w:val="auto"/>
              </w:rPr>
            </w:pPr>
          </w:p>
        </w:tc>
        <w:tc>
          <w:tcPr>
            <w:tcW w:w="2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JUNE 30, 1994</w:t>
            </w:r>
          </w:p>
        </w:tc>
      </w:tr>
      <w:tr>
        <w:trPr>
          <w:trHeight w:val="203"/>
        </w:trPr>
        <w:tc>
          <w:tcPr>
            <w:tcW w:w="2320" w:type="dxa"/>
            <w:vAlign w:val="bottom"/>
          </w:tcPr>
          <w:p>
            <w:pPr>
              <w:spacing w:after="0"/>
              <w:rPr>
                <w:sz w:val="17"/>
                <w:szCs w:val="17"/>
                <w:color w:val="auto"/>
              </w:rPr>
            </w:pP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1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$110,691,000</w:t>
            </w:r>
          </w:p>
        </w:tc>
      </w:tr>
      <w:tr>
        <w:trPr>
          <w:trHeight w:val="203"/>
        </w:trPr>
        <w:tc>
          <w:tcPr>
            <w:tcW w:w="2320" w:type="dxa"/>
            <w:vAlign w:val="bottom"/>
          </w:tcPr>
          <w:p>
            <w:pPr>
              <w:spacing w:after="0"/>
              <w:rPr>
                <w:sz w:val="17"/>
                <w:szCs w:val="17"/>
                <w:color w:val="auto"/>
              </w:rPr>
            </w:pPr>
          </w:p>
        </w:tc>
        <w:tc>
          <w:tcPr>
            <w:tcW w:w="21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4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2,150,000</w:t>
            </w:r>
          </w:p>
        </w:tc>
      </w:tr>
      <w:tr>
        <w:trPr>
          <w:trHeight w:val="203"/>
        </w:trPr>
        <w:tc>
          <w:tcPr>
            <w:tcW w:w="2320" w:type="dxa"/>
            <w:vAlign w:val="bottom"/>
          </w:tcPr>
          <w:p>
            <w:pPr>
              <w:spacing w:after="0"/>
              <w:rPr>
                <w:sz w:val="17"/>
                <w:szCs w:val="17"/>
                <w:color w:val="auto"/>
              </w:rPr>
            </w:pPr>
          </w:p>
        </w:tc>
        <w:tc>
          <w:tcPr>
            <w:tcW w:w="21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74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w:t>
            </w:r>
          </w:p>
        </w:tc>
      </w:tr>
      <w:tr>
        <w:trPr>
          <w:trHeight w:val="203"/>
        </w:trPr>
        <w:tc>
          <w:tcPr>
            <w:tcW w:w="2320" w:type="dxa"/>
            <w:vAlign w:val="bottom"/>
          </w:tcPr>
          <w:p>
            <w:pPr>
              <w:spacing w:after="0"/>
              <w:rPr>
                <w:sz w:val="17"/>
                <w:szCs w:val="17"/>
                <w:color w:val="auto"/>
              </w:rPr>
            </w:pPr>
          </w:p>
        </w:tc>
        <w:tc>
          <w:tcPr>
            <w:tcW w:w="21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pro-forma results shown above are not necessarily indicative of those that would have occurred had the acquisition taken place on April 1,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SPLIT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June 5, 1995, the Board of Directors approved a three for two 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16</w:t>
      </w:r>
    </w:p>
    <w:p>
      <w:pPr>
        <w:sectPr>
          <w:pgSz w:w="11900" w:h="16838" w:orient="portrait"/>
          <w:cols w:equalWidth="0" w:num="1">
            <w:col w:w="10219"/>
          </w:cols>
          <w:pgMar w:left="240" w:top="132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8380" w:type="dxa"/>
            <w:vAlign w:val="bottom"/>
          </w:tcPr>
          <w:p>
            <w:pPr>
              <w:spacing w:after="0"/>
              <w:rPr>
                <w:sz w:val="20"/>
                <w:szCs w:val="20"/>
                <w:color w:val="auto"/>
              </w:rPr>
            </w:pPr>
            <w:r>
              <w:rPr>
                <w:rFonts w:ascii="Courier New" w:cs="Courier New" w:eastAsia="Courier New" w:hAnsi="Courier New"/>
                <w:sz w:val="18"/>
                <w:szCs w:val="18"/>
                <w:color w:val="auto"/>
              </w:rPr>
              <w:t>(2)  LONG-TERM DEBT</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013"/>
        </w:trPr>
        <w:tc>
          <w:tcPr>
            <w:tcW w:w="838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JUNE 30,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Long-term debt consisted of the following:</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Promissory notes issued in connection with the acquisition of the Trans-Tec</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group of companies, payable annually through January 1998, bearing interest</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9%, unsecured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$6,000,000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$6,000,000</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through August 1996, interest at rates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ranging from 10.2% to 10.7% (secured by equipment with a net book value of</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$237,000 and $263,000 at June 30, 1995 and March 31, 1995, respectively)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251,000</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Equipment notes, payable monthly through May 1998, interest at rates ranging</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from 6.8% to 7.0%, secured by equipment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147,000</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Mortgage note, transferred effective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June 1, 1995 to the buyer of the</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Georgia operations (see Note 3)</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177,000</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6,343,000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6,575,000</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Less current maturities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2,067,000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2,128,000</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$4,276,000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$4,447,000</w:t>
            </w:r>
          </w:p>
        </w:tc>
      </w:tr>
      <w:tr>
        <w:trPr>
          <w:trHeight w:val="203"/>
        </w:trPr>
        <w:tc>
          <w:tcPr>
            <w:tcW w:w="8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tab/>
        <w:t>DISPOSITION OF ASSETS</w:t>
      </w:r>
    </w:p>
    <w:p>
      <w:pPr>
        <w:spacing w:after="0" w:line="207" w:lineRule="exact"/>
        <w:rPr>
          <w:sz w:val="20"/>
          <w:szCs w:val="20"/>
          <w:color w:val="auto"/>
        </w:rPr>
      </w:pPr>
    </w:p>
    <w:p>
      <w:pPr>
        <w:ind w:right="2520"/>
        <w:spacing w:after="0" w:line="238" w:lineRule="auto"/>
        <w:rPr>
          <w:sz w:val="20"/>
          <w:szCs w:val="20"/>
          <w:color w:val="auto"/>
        </w:rPr>
      </w:pPr>
      <w:r>
        <w:rPr>
          <w:rFonts w:ascii="Courier New" w:cs="Courier New" w:eastAsia="Courier New" w:hAnsi="Courier New"/>
          <w:sz w:val="18"/>
          <w:szCs w:val="18"/>
          <w:color w:val="auto"/>
        </w:rPr>
        <w:t>Effective June 1, 1995, the Company sold substantially all of the operating assets and liabilities of International Petroleum Corporation of Georgia ("IPC-GA"), a subsidiary of the Company engaged in the used oil recycling business, to Mr. Barry Paul, the former president of the entity from which IPC-GA initially purchased these assets in August 1990. Mr. Paul is the cousin of the Company's President. The sales price was $1,179,000, which closely approximated the Company's carrying values of the net assets sold. A cash payment of $200,000 was received at closing, and a promissory note for $979,000 was obtained for the balance. The promissory note bears interest at 10% per annum, has a term of 12 years commencing June 1, 1995, and is payable in equal monthly installments of principal and interest. The promissory note is collateralized by the property, plant and equipment sold.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16</w:t>
      </w:r>
    </w:p>
    <w:p>
      <w:pPr>
        <w:sectPr>
          <w:pgSz w:w="11900" w:h="16838" w:orient="portrait"/>
          <w:cols w:equalWidth="0" w:num="1">
            <w:col w:w="10860"/>
          </w:cols>
          <w:pgMar w:left="240" w:top="1325" w:right="799" w:bottom="1440" w:gutter="0" w:footer="0" w:header="0"/>
        </w:sectPr>
      </w:pPr>
    </w:p>
    <w:bookmarkStart w:id="9" w:name="page10"/>
    <w:bookmarkEnd w:id="9"/>
    <w:p>
      <w:pPr>
        <w:spacing w:after="0"/>
        <w:tabs>
          <w:tab w:leader="none" w:pos="21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In January 1995, the Company entered the marine fuel business through the acquisition of the Trans-Tec group of companies. The Company acquired substantially all of the assets and assumed certain liabilities of Trans-Tec Services, Inc., a New York corporation, and Trans-Tec Servicios, S.A., a Costa Rica corporation, and acquired all of the outstanding stock of Trans- Tec Services (UK), Ltd., a United Kingdom corporation ("UK"). The UK company owns Trans-Tec Services (Singapore) Pte., Ltd. As the acquisition was accounted for as a purchase, the results of operations of Trans-Tec are not reflected in the accompanying consolidated statement of income for the three months ended June 30, 1994. See Note 1 of notes to the consolidated financial statements.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THREE MONTHS ENDED JUNE 30, 1995 COMPARED TO</w:t>
      </w:r>
    </w:p>
    <w:p>
      <w:pPr>
        <w:ind w:left="420"/>
        <w:spacing w:after="0" w:line="238" w:lineRule="auto"/>
        <w:rPr>
          <w:sz w:val="20"/>
          <w:szCs w:val="20"/>
          <w:color w:val="auto"/>
        </w:rPr>
      </w:pPr>
      <w:r>
        <w:rPr>
          <w:rFonts w:ascii="Courier New" w:cs="Courier New" w:eastAsia="Courier New" w:hAnsi="Courier New"/>
          <w:sz w:val="18"/>
          <w:szCs w:val="18"/>
          <w:color w:val="auto"/>
        </w:rPr>
        <w:t>THE THREE MONTHS ENDED JUNE 30, 1994</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Company's revenues for the first quarter ended June 30, 1995 were $138,960,000, an increase of $66,436,000, or 91.6%, as compared to revenues of $72,524,000 for the corresponding period the prior year. The Company's revenues during these periods were attributable to the following segments:</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rPr>
                <w:sz w:val="17"/>
                <w:szCs w:val="17"/>
                <w:color w:val="auto"/>
              </w:rPr>
            </w:pPr>
          </w:p>
        </w:tc>
        <w:tc>
          <w:tcPr>
            <w:tcW w:w="3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THREE MONTHS ENDED JUNE 30,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2220" w:type="dxa"/>
            <w:vAlign w:val="bottom"/>
          </w:tcPr>
          <w:p>
            <w:pPr>
              <w:spacing w:after="0"/>
              <w:rPr>
                <w:sz w:val="17"/>
                <w:szCs w:val="17"/>
                <w:color w:val="auto"/>
              </w:rPr>
            </w:pP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22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$ 62,859,000</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$ 68,003,000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72,087,000</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4,014,000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4,521,000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2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$138,960,000</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$ 72,524,000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91.6%</w:t>
            </w:r>
          </w:p>
        </w:tc>
      </w:tr>
      <w:tr>
        <w:trPr>
          <w:trHeight w:val="203"/>
        </w:trPr>
        <w:tc>
          <w:tcPr>
            <w:tcW w:w="22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Percent not meaningful</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aviation fueling segment contributed $62,859,000 of revenue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June 30, 1995. This represented a decrease in revenue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$5,144,000, or 7.6%, as compared to the same period last year. This decrease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was due to a decrease in low profit bulk transactions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fuel terminaling operations conducted at Miami International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Airport, which contract was not renewed effective June 30, 1994. Partially</w:t>
      </w:r>
    </w:p>
    <w:p>
      <w:pPr>
        <w:spacing w:after="0" w:line="238" w:lineRule="auto"/>
        <w:rPr>
          <w:sz w:val="20"/>
          <w:szCs w:val="20"/>
          <w:color w:val="auto"/>
        </w:rPr>
      </w:pPr>
      <w:r>
        <w:rPr>
          <w:rFonts w:ascii="Courier New" w:cs="Courier New" w:eastAsia="Courier New" w:hAnsi="Courier New"/>
          <w:sz w:val="18"/>
          <w:szCs w:val="18"/>
          <w:color w:val="auto"/>
        </w:rPr>
        <w:t>offsetting was a price related revenue increase which reflects general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The marine fueling segment contributed $72,087,000 in revenues.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 recycling segment contributed $4,014,000 of revenue for the three months</w:t>
      </w:r>
    </w:p>
    <w:p>
      <w:pPr>
        <w:spacing w:after="0" w:line="238" w:lineRule="auto"/>
        <w:rPr>
          <w:sz w:val="20"/>
          <w:szCs w:val="20"/>
          <w:color w:val="auto"/>
        </w:rPr>
      </w:pPr>
      <w:r>
        <w:rPr>
          <w:rFonts w:ascii="Courier New" w:cs="Courier New" w:eastAsia="Courier New" w:hAnsi="Courier New"/>
          <w:sz w:val="18"/>
          <w:szCs w:val="18"/>
          <w:color w:val="auto"/>
        </w:rPr>
        <w:t>ended June 30, 1995. This was a decrease in revenue of $507,000, or 11.2% as</w:t>
      </w:r>
    </w:p>
    <w:p>
      <w:pPr>
        <w:spacing w:after="0"/>
        <w:rPr>
          <w:sz w:val="20"/>
          <w:szCs w:val="20"/>
          <w:color w:val="auto"/>
        </w:rPr>
      </w:pPr>
      <w:r>
        <w:rPr>
          <w:rFonts w:ascii="Courier New" w:cs="Courier New" w:eastAsia="Courier New" w:hAnsi="Courier New"/>
          <w:sz w:val="18"/>
          <w:szCs w:val="18"/>
          <w:color w:val="auto"/>
        </w:rPr>
        <w:t>compared to the same period last year. The revenue decrease was due to lower</w:t>
      </w:r>
    </w:p>
    <w:p>
      <w:pPr>
        <w:spacing w:after="0" w:line="237" w:lineRule="auto"/>
        <w:rPr>
          <w:sz w:val="20"/>
          <w:szCs w:val="20"/>
          <w:color w:val="auto"/>
        </w:rPr>
      </w:pPr>
      <w:r>
        <w:rPr>
          <w:rFonts w:ascii="Courier New" w:cs="Courier New" w:eastAsia="Courier New" w:hAnsi="Courier New"/>
          <w:sz w:val="18"/>
          <w:szCs w:val="18"/>
          <w:color w:val="auto"/>
        </w:rPr>
        <w:t>sales volume. Partially offsetting were higher used oil and waste water</w:t>
      </w:r>
    </w:p>
    <w:p>
      <w:pPr>
        <w:spacing w:after="0" w:line="238" w:lineRule="auto"/>
        <w:rPr>
          <w:sz w:val="20"/>
          <w:szCs w:val="20"/>
          <w:color w:val="auto"/>
        </w:rPr>
      </w:pPr>
      <w:r>
        <w:rPr>
          <w:rFonts w:ascii="Courier New" w:cs="Courier New" w:eastAsia="Courier New" w:hAnsi="Courier New"/>
          <w:sz w:val="18"/>
          <w:szCs w:val="18"/>
          <w:color w:val="auto"/>
        </w:rPr>
        <w:t>collection revenues, and a price related increase on recycled product.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16</w:t>
      </w:r>
    </w:p>
    <w:p>
      <w:pPr>
        <w:sectPr>
          <w:pgSz w:w="11900" w:h="16838" w:orient="portrait"/>
          <w:cols w:equalWidth="0" w:num="1">
            <w:col w:w="10219"/>
          </w:cols>
          <w:pgMar w:left="240" w:top="1325" w:right="1440" w:bottom="1440" w:gutter="0" w:footer="0" w:header="0"/>
        </w:sectPr>
      </w:pPr>
    </w:p>
    <w:bookmarkStart w:id="10" w:name="page11"/>
    <w:bookmarkEnd w:id="10"/>
    <w:p>
      <w:pPr>
        <w:ind w:right="2099" w:firstLine="948"/>
        <w:spacing w:after="0" w:line="237" w:lineRule="auto"/>
        <w:rPr>
          <w:sz w:val="20"/>
          <w:szCs w:val="20"/>
          <w:color w:val="auto"/>
        </w:rPr>
      </w:pPr>
      <w:r>
        <w:rPr>
          <w:rFonts w:ascii="Courier New" w:cs="Courier New" w:eastAsia="Courier New" w:hAnsi="Courier New"/>
          <w:sz w:val="18"/>
          <w:szCs w:val="18"/>
          <w:color w:val="auto"/>
        </w:rPr>
        <w:t>The Company's gross profit of $9,174,000 increased by $1,932,000, or 26.7%, as compared to the same period last year. The Company's gross margin decreased from 10.0% for the three months ended June 30, 1994 to 6.6% for the three months ended June 30, 1995.</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aviation fueling business achieved a 7.8% gross margin for the three months ended June 30, 1995, as compared to 8.7% achieved for the same period during the prior fiscal year. The decline in the gross margin was largely attributed to a lower fuel terminaling gross profit. The Company's marine fueling segment achieved a 4.2% gross margin for the three months ended June 30, 1995. The gross margin in the Company's oil recycling segment increased from 29.2% for the three months ended June 30, 1994, to 31.5% for the three months ended June 30, 1995. This improvement in gross margin is attributed to higher collection revenue.</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Total operating expenses for the three months ended June 30, 1995 were $5,512,000, an increase of $1,239,000, or 29.0%, as compared to the same period a year ago. This increase resulted from operating expenses of the marine segment, which totalled $2,358,000. Partially offsetting was a $1,235,000 decrease in the aviation segment provision for bad debts due to a year over year improvement in the quality of accounts receivable. In relation to revenue, total operating expenses decreased from 5.9% to 4.0%.</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June 30, 1995 was $3,662,000, an increase of $693,000, or 23.3%, as compared to the same period a year ago. Income from operations during these periods was attributable to the following segments: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rPr>
                <w:sz w:val="17"/>
                <w:szCs w:val="17"/>
                <w:color w:val="auto"/>
              </w:rPr>
            </w:pPr>
          </w:p>
        </w:tc>
        <w:tc>
          <w:tcPr>
            <w:tcW w:w="3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THREE MONTHS ENDED JUNE 30,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222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222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$3,499,000</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$3,165,000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678,000</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562,000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567,000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(1,077,000)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(763,000)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222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Operations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$3,662,000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$2,969,000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222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Percent not meaningful.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Income from operations of the aviation fueling segment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$334,000, or 10.6%, for the three months ended June 30, 1995, as compared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June 30, 1994. This improvement resulted from a decrease in</w:t>
      </w:r>
    </w:p>
    <w:p>
      <w:pPr>
        <w:spacing w:after="0" w:line="238" w:lineRule="auto"/>
        <w:rPr>
          <w:sz w:val="20"/>
          <w:szCs w:val="20"/>
          <w:color w:val="auto"/>
        </w:rPr>
      </w:pPr>
      <w:r>
        <w:rPr>
          <w:rFonts w:ascii="Courier New" w:cs="Courier New" w:eastAsia="Courier New" w:hAnsi="Courier New"/>
          <w:sz w:val="18"/>
          <w:szCs w:val="18"/>
          <w:color w:val="auto"/>
        </w:rPr>
        <w:t>the provision for bad debts and a price related revenue increase. Partially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offsetting were a lower product volume sold and lower operating income from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fuel terminaling activities.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marine fueling segment earned $678,000 in income from operations for the three months ended June 30, 1995. The gross profit of this segment was $3,036,000, reduced by $2,358,000 in operating expenses.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16</w:t>
      </w:r>
    </w:p>
    <w:p>
      <w:pPr>
        <w:sectPr>
          <w:pgSz w:w="11900" w:h="16838" w:orient="portrait"/>
          <w:cols w:equalWidth="0" w:num="1">
            <w:col w:w="10219"/>
          </w:cols>
          <w:pgMar w:left="240" w:top="1128" w:right="1440" w:bottom="144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Income from operations of the oil recycling segment decreased by</w:t>
      </w:r>
    </w:p>
    <w:p>
      <w:pPr>
        <w:spacing w:after="0" w:line="238" w:lineRule="auto"/>
        <w:rPr>
          <w:sz w:val="20"/>
          <w:szCs w:val="20"/>
          <w:color w:val="auto"/>
        </w:rPr>
      </w:pPr>
      <w:r>
        <w:rPr>
          <w:rFonts w:ascii="Courier New" w:cs="Courier New" w:eastAsia="Courier New" w:hAnsi="Courier New"/>
          <w:sz w:val="18"/>
          <w:szCs w:val="18"/>
          <w:color w:val="auto"/>
        </w:rPr>
        <w:t>$5,000, or 1.0%, for the three months ended June 30, 1995, as compared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period last year. This decrease, which resulted primarily from lower sales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volumes, was largely offset by higher margins and lower operating expenses.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Corporate overhead costs not charged to the business segments totalled $1,077,000 for the three months ended June 30, 1995, an increase of $314,000, or 41.2%, as compared to the same period last year. This increase was due to higher salaries and payroll related costs. In relation to revenue, total corporate overhead remained relatively constant at 1.0% for the three months ended June 30, 1995, as compared to 1.1% for the same period a year prior.</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three months ended June 30, 1995, the Company had net other income of $386,000, an increase of $256,000 over the same period a year ago. This improvement was due to $377,000 in equity earnings of a joint venture and an increase in net interest income which is the result of the Company's improved liquidity. Partially offsetting this increase was $109,000 in foreign currency transaction losses.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Net income for the three months ended June 30, 1995 was $2,545,000, an increase of $601,000, as compared to net income for the three months ended June 30, 1994. Earnings per share of $.32 for the three months ended June 30, 1995 exhibited a $.05 increase over the $.27 achieved during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Cash and cash equivalents amounted to $15,914,000 at June 30, 1995, as compared to $10,907,000 at March 31, 1995. The principal sources of cash during the first quarter of fiscal year 1996 were $4,423,000 in net cash provided by operating activities, $848,000 in dividends and repayments of advances from the joint venture, $203,000 from proceeds on sale of assets and $131,000 from collections on notes receivable. Partially offsetting the increase in cash and cash equivalents was $264,000 in a common stock dividend and $246,000 used for the purchase and construction of plant, equipment and other capital expenditures. Other components of changes in cash and cash equivalents are detailed in the Consolidated Statements of Cash Flows.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 as of June 30, 1995 was $30,937,000, exhibiting a</w:t>
      </w:r>
    </w:p>
    <w:p>
      <w:pPr>
        <w:spacing w:after="0" w:line="238" w:lineRule="auto"/>
        <w:rPr>
          <w:sz w:val="20"/>
          <w:szCs w:val="20"/>
          <w:color w:val="auto"/>
        </w:rPr>
      </w:pPr>
      <w:r>
        <w:rPr>
          <w:rFonts w:ascii="Courier New" w:cs="Courier New" w:eastAsia="Courier New" w:hAnsi="Courier New"/>
          <w:sz w:val="18"/>
          <w:szCs w:val="18"/>
          <w:color w:val="auto"/>
        </w:rPr>
        <w:t>$3,417,000 increase from working capital as of March 31, 1995. As of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the Company's accounts receivable, excluding the allowance for bad debts,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amounted to $45,977,000, an increase of $2,611,000, as compared to the March 31,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 balance. This increase in accounts receivable resulted from a $5,009,000</w:t>
      </w:r>
    </w:p>
    <w:p>
      <w:pPr>
        <w:spacing w:after="0" w:line="238" w:lineRule="auto"/>
        <w:rPr>
          <w:sz w:val="20"/>
          <w:szCs w:val="20"/>
          <w:color w:val="auto"/>
        </w:rPr>
      </w:pPr>
      <w:r>
        <w:rPr>
          <w:rFonts w:ascii="Courier New" w:cs="Courier New" w:eastAsia="Courier New" w:hAnsi="Courier New"/>
          <w:sz w:val="18"/>
          <w:szCs w:val="18"/>
          <w:color w:val="auto"/>
        </w:rPr>
        <w:t>increase in the marine segment accounts receivable, due to higher trade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Partially offsetting were a decrease of $1,737,000 in the aviation segment and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$658,000 decrease in the oil recycling segment. The allowance for bad debts as</w:t>
      </w:r>
    </w:p>
    <w:p>
      <w:pPr>
        <w:spacing w:after="0" w:line="238" w:lineRule="auto"/>
        <w:rPr>
          <w:sz w:val="20"/>
          <w:szCs w:val="20"/>
          <w:color w:val="auto"/>
        </w:rPr>
      </w:pPr>
      <w:r>
        <w:rPr>
          <w:rFonts w:ascii="Courier New" w:cs="Courier New" w:eastAsia="Courier New" w:hAnsi="Courier New"/>
          <w:sz w:val="18"/>
          <w:szCs w:val="18"/>
          <w:color w:val="auto"/>
        </w:rPr>
        <w:t>of June 30, 1995 amounted to $4,697,000, an increase of $131,000 when compared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March 31, 1995 balance. During the first quarter of fiscal year 1996,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charged $150,000 to the provision for bad debts.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16</w:t>
      </w:r>
    </w:p>
    <w:p>
      <w:pPr>
        <w:sectPr>
          <w:pgSz w:w="11900" w:h="16838" w:orient="portrait"/>
          <w:cols w:equalWidth="0" w:num="1">
            <w:col w:w="10219"/>
          </w:cols>
          <w:pgMar w:left="240" w:top="1122" w:right="1440" w:bottom="1440" w:gutter="0" w:footer="0" w:header="0"/>
        </w:sectPr>
      </w:pPr>
    </w:p>
    <w:bookmarkStart w:id="12" w:name="page13"/>
    <w:bookmarkEnd w:id="12"/>
    <w:p>
      <w:pPr>
        <w:ind w:right="1779" w:firstLine="948"/>
        <w:spacing w:after="0" w:line="237" w:lineRule="auto"/>
        <w:rPr>
          <w:sz w:val="20"/>
          <w:szCs w:val="20"/>
          <w:color w:val="auto"/>
        </w:rPr>
      </w:pPr>
      <w:r>
        <w:rPr>
          <w:rFonts w:ascii="Courier New" w:cs="Courier New" w:eastAsia="Courier New" w:hAnsi="Courier New"/>
          <w:sz w:val="18"/>
          <w:szCs w:val="18"/>
          <w:color w:val="auto"/>
        </w:rPr>
        <w:t>Inventories at June 30, 1995, were $242,000 higher as compared to March 31, 1995. This increase consisted of a $421,000 increase in inventories in the oil recycling segment, partially offset by a $179,000 decrease in the aviation fueling segment.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Capital expenditures for the first quarter ended June 30, 1995 consisted primarily of $121,000 in office equipment and furniture as well as $109,000 in plant construction costs. Effective June 1, 1995, the Company sold property plant and equipment, with a net book value of $1,294,000, utilized in its Georgia oil recycling operations. See Note 3 of notes to the consolidated financial statements. During fiscal year 1996, the Company anticipates spending approximately $1,000,000 to upgrade plant, machinery and equipment. The Company also anticipates spending an estimated $1,000,000 over the next several years to clean up contamination which was present at one of the Company's sites when it was acquired by the Company. Clean up will be capitalized as part of the cost of the site, up to the fair market value of the site.</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aggregate, accounts payable, accrued expenses and customer deposits increased $2,325,000. This increase is attributed to higher trade sales in the marine segment. Accrued salaries and wages increased $163,000, principally as the result of sales and management performance bonuses.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Income taxes payable at June 30, 1995, increased by $651,000, when compared to March 31, 1995. This increase resulted from the payment of the first quarter installment for fiscal year 1996, subsequent to June 30, 1995, in accordance with federal and state regulations.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Long-term liabilities as of June 30, 1995, were $5,679,000 exhibiting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$1,305,000 decrease as compared to March 31, 1995. This decrease was primarily</w:t>
      </w:r>
    </w:p>
    <w:p>
      <w:pPr>
        <w:spacing w:after="0" w:line="238" w:lineRule="auto"/>
        <w:rPr>
          <w:sz w:val="20"/>
          <w:szCs w:val="20"/>
          <w:color w:val="auto"/>
        </w:rPr>
      </w:pPr>
      <w:r>
        <w:rPr>
          <w:rFonts w:ascii="Courier New" w:cs="Courier New" w:eastAsia="Courier New" w:hAnsi="Courier New"/>
          <w:sz w:val="18"/>
          <w:szCs w:val="18"/>
          <w:color w:val="auto"/>
        </w:rPr>
        <w:t>the result of the issuance of the Company's common stock in settlement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$1,300,000 accrued litigation settlement expense. Stockholders' equity amounted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$55,660,000, or $7.03 per share, at June 30, 1995 compared to $52,066,000,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$6.67 per share, at March 31, 1995.</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during fiscal year 1996. The Company expects to meet its cash requirements for fiscal year 1996 from existing cash, operations and additional borrowings, as necessary, under its existing line of credit. The Company's business has not been significantly affected by inflation during the periods discussed in this report.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16</w:t>
      </w:r>
    </w:p>
    <w:p>
      <w:pPr>
        <w:sectPr>
          <w:pgSz w:w="11900" w:h="16838" w:orient="portrait"/>
          <w:cols w:equalWidth="0" w:num="1">
            <w:col w:w="10219"/>
          </w:cols>
          <w:pgMar w:left="240" w:top="1330" w:right="1440" w:bottom="1440" w:gutter="0" w:footer="0" w:header="0"/>
        </w:sectPr>
      </w:pPr>
    </w:p>
    <w:bookmarkStart w:id="13" w:name="page14"/>
    <w:bookmarkEnd w:id="13"/>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60" w:type="dxa"/>
            <w:vAlign w:val="bottom"/>
          </w:tcPr>
          <w:p>
            <w:pPr>
              <w:ind w:left="280"/>
              <w:spacing w:after="0"/>
              <w:rPr>
                <w:sz w:val="20"/>
                <w:szCs w:val="20"/>
                <w:color w:val="auto"/>
              </w:rPr>
            </w:pPr>
            <w:r>
              <w:rPr>
                <w:rFonts w:ascii="Courier New" w:cs="Courier New" w:eastAsia="Courier New" w:hAnsi="Courier New"/>
                <w:sz w:val="18"/>
                <w:szCs w:val="18"/>
                <w:color w:val="auto"/>
              </w:rPr>
              <w:t>PART II.  OTHER INFORMATION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LEGAL PROCEEDINGS</w:t>
            </w:r>
          </w:p>
        </w:tc>
      </w:tr>
      <w:tr>
        <w:trPr>
          <w:trHeight w:val="405"/>
        </w:trPr>
        <w:tc>
          <w:tcPr>
            <w:tcW w:w="1320" w:type="dxa"/>
            <w:vAlign w:val="bottom"/>
          </w:tcPr>
          <w:p>
            <w:pPr>
              <w:spacing w:after="0"/>
              <w:rPr>
                <w:sz w:val="24"/>
                <w:szCs w:val="24"/>
                <w:color w:val="auto"/>
              </w:rPr>
            </w:pP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Except for the proceedings described in the Company's Form</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10-K for the fiscal year ended March 31, 1995, there are no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material legal proceedings to which the Company or any of its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subsidiaries is a party.</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CHANGES IN SECURITIES</w:t>
            </w:r>
          </w:p>
        </w:tc>
      </w:tr>
      <w:tr>
        <w:trPr>
          <w:trHeight w:val="405"/>
        </w:trPr>
        <w:tc>
          <w:tcPr>
            <w:tcW w:w="13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76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DEFAULTS UPON SENIOR SECURITIES</w:t>
            </w:r>
          </w:p>
        </w:tc>
      </w:tr>
      <w:tr>
        <w:trPr>
          <w:trHeight w:val="405"/>
        </w:trPr>
        <w:tc>
          <w:tcPr>
            <w:tcW w:w="13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76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SUBMISSION OF MATTERS TO A VOTE OF SECURITY HOLDERS</w:t>
            </w:r>
          </w:p>
        </w:tc>
      </w:tr>
      <w:tr>
        <w:trPr>
          <w:trHeight w:val="405"/>
        </w:trPr>
        <w:tc>
          <w:tcPr>
            <w:tcW w:w="13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76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OTHER INFORMATION</w:t>
            </w:r>
          </w:p>
        </w:tc>
      </w:tr>
      <w:tr>
        <w:trPr>
          <w:trHeight w:val="405"/>
        </w:trPr>
        <w:tc>
          <w:tcPr>
            <w:tcW w:w="13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76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EXHIBITS AND REPORTS ON FORM 8-K</w:t>
            </w:r>
          </w:p>
        </w:tc>
      </w:tr>
      <w:tr>
        <w:trPr>
          <w:trHeight w:val="405"/>
        </w:trPr>
        <w:tc>
          <w:tcPr>
            <w:tcW w:w="13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5760" w:type="dxa"/>
            <w:vAlign w:val="bottom"/>
          </w:tcPr>
          <w:p>
            <w:pPr>
              <w:ind w:left="280"/>
              <w:spacing w:after="0"/>
              <w:rPr>
                <w:sz w:val="20"/>
                <w:szCs w:val="20"/>
                <w:color w:val="auto"/>
              </w:rPr>
            </w:pPr>
            <w:r>
              <w:rPr>
                <w:rFonts w:ascii="Courier New" w:cs="Courier New" w:eastAsia="Courier New" w:hAnsi="Courier New"/>
                <w:sz w:val="18"/>
                <w:szCs w:val="18"/>
                <w:color w:val="auto"/>
              </w:rPr>
              <w:t>During the three months ended June 30, 1995, the</w:t>
            </w:r>
          </w:p>
        </w:tc>
      </w:tr>
      <w:tr>
        <w:trPr>
          <w:trHeight w:val="203"/>
        </w:trPr>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Company did not file any reports on Form 8-K.</w:t>
            </w:r>
          </w:p>
        </w:tc>
      </w:tr>
    </w:tbl>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16</w:t>
      </w:r>
    </w:p>
    <w:p>
      <w:pPr>
        <w:sectPr>
          <w:pgSz w:w="11900" w:h="16838" w:orient="portrait"/>
          <w:cols w:equalWidth="0" w:num="1">
            <w:col w:w="10219"/>
          </w:cols>
          <w:pgMar w:left="240" w:top="1440" w:right="1440" w:bottom="1440" w:gutter="0" w:footer="0" w:header="0"/>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 1995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RECOVERY CORP.</w:t>
      </w:r>
    </w:p>
    <w:p>
      <w:pPr>
        <w:spacing w:after="0" w:line="200" w:lineRule="exact"/>
        <w:rPr>
          <w:sz w:val="20"/>
          <w:szCs w:val="20"/>
          <w:color w:val="auto"/>
        </w:rPr>
      </w:pPr>
    </w:p>
    <w:p>
      <w:pPr>
        <w:sectPr>
          <w:pgSz w:w="11900" w:h="16838" w:orient="portrait"/>
          <w:cols w:equalWidth="0" w:num="2">
            <w:col w:w="3180" w:space="720"/>
            <w:col w:w="6319"/>
          </w:cols>
          <w:pgMar w:left="240" w:top="919" w:right="1440" w:bottom="1440" w:gutter="0" w:footer="0" w:header="0"/>
          <w:type w:val="continuous"/>
        </w:sectPr>
      </w:pP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RALPH R. WEISER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RALPH R. WEISER</w:t>
      </w:r>
    </w:p>
    <w:p>
      <w:pPr>
        <w:ind w:left="390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CARLOS A. ABAUNZA</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CARLOS A. ABAUNZA</w:t>
      </w:r>
    </w:p>
    <w:p>
      <w:pPr>
        <w:ind w:left="39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16</w:t>
      </w:r>
    </w:p>
    <w:p>
      <w:pPr>
        <w:sectPr>
          <w:pgSz w:w="11900" w:h="16838" w:orient="portrait"/>
          <w:cols w:equalWidth="0" w:num="1">
            <w:col w:w="10219"/>
          </w:cols>
          <w:pgMar w:left="240" w:top="919" w:right="1440" w:bottom="1440" w:gutter="0" w:footer="0" w:header="0"/>
          <w:type w:val="continuous"/>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THE SCHEDULE CONTAINS SUMMARY FINANCIAL INFORMATION EXTRACTED FROM ITS JUNE 30, 1995 10-Q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MAR-31-1995</w:t>
      </w:r>
    </w:p>
    <w:p>
      <w:pPr>
        <w:ind w:left="3120"/>
        <w:spacing w:after="0"/>
        <w:rPr>
          <w:sz w:val="20"/>
          <w:szCs w:val="20"/>
          <w:color w:val="auto"/>
        </w:rPr>
      </w:pPr>
      <w:r>
        <w:rPr>
          <w:rFonts w:ascii="Courier New" w:cs="Courier New" w:eastAsia="Courier New" w:hAnsi="Courier New"/>
          <w:sz w:val="18"/>
          <w:szCs w:val="18"/>
          <w:color w:val="auto"/>
        </w:rPr>
        <w:t>APR-1-1995</w:t>
      </w:r>
    </w:p>
    <w:p>
      <w:pPr>
        <w:ind w:left="3240"/>
        <w:spacing w:after="0" w:line="237" w:lineRule="auto"/>
        <w:rPr>
          <w:sz w:val="20"/>
          <w:szCs w:val="20"/>
          <w:color w:val="auto"/>
        </w:rPr>
      </w:pPr>
      <w:r>
        <w:rPr>
          <w:rFonts w:ascii="Courier New" w:cs="Courier New" w:eastAsia="Courier New" w:hAnsi="Courier New"/>
          <w:sz w:val="18"/>
          <w:szCs w:val="18"/>
          <w:color w:val="auto"/>
        </w:rPr>
        <w:t>JUN-30-1995</w:t>
      </w:r>
    </w:p>
    <w:p>
      <w:pPr>
        <w:ind w:left="3980"/>
        <w:spacing w:after="0" w:line="238" w:lineRule="auto"/>
        <w:rPr>
          <w:sz w:val="20"/>
          <w:szCs w:val="20"/>
          <w:color w:val="auto"/>
        </w:rPr>
      </w:pPr>
      <w:r>
        <w:rPr>
          <w:rFonts w:ascii="Courier New" w:cs="Courier New" w:eastAsia="Courier New" w:hAnsi="Courier New"/>
          <w:sz w:val="18"/>
          <w:szCs w:val="18"/>
          <w:color w:val="auto"/>
        </w:rPr>
        <w:t>15,914,000</w:t>
      </w:r>
    </w:p>
    <w:p>
      <w:pPr>
        <w:ind w:left="428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41,280,000</w:t>
      </w:r>
    </w:p>
    <w:p>
      <w:pPr>
        <w:ind w:left="3440"/>
        <w:spacing w:after="0"/>
        <w:rPr>
          <w:sz w:val="20"/>
          <w:szCs w:val="20"/>
          <w:color w:val="auto"/>
        </w:rPr>
      </w:pPr>
      <w:r>
        <w:rPr>
          <w:rFonts w:ascii="Courier New" w:cs="Courier New" w:eastAsia="Courier New" w:hAnsi="Courier New"/>
          <w:sz w:val="18"/>
          <w:szCs w:val="18"/>
          <w:color w:val="auto"/>
        </w:rPr>
        <w:t>4,697,000</w:t>
      </w:r>
    </w:p>
    <w:p>
      <w:pPr>
        <w:ind w:left="3540"/>
        <w:spacing w:after="0" w:line="237" w:lineRule="auto"/>
        <w:rPr>
          <w:sz w:val="20"/>
          <w:szCs w:val="20"/>
          <w:color w:val="auto"/>
        </w:rPr>
      </w:pPr>
      <w:r>
        <w:rPr>
          <w:rFonts w:ascii="Courier New" w:cs="Courier New" w:eastAsia="Courier New" w:hAnsi="Courier New"/>
          <w:sz w:val="18"/>
          <w:szCs w:val="18"/>
          <w:color w:val="auto"/>
        </w:rPr>
        <w:t>3,956,000</w:t>
      </w:r>
    </w:p>
    <w:p>
      <w:pPr>
        <w:ind w:left="2920"/>
        <w:spacing w:after="0"/>
        <w:rPr>
          <w:sz w:val="20"/>
          <w:szCs w:val="20"/>
          <w:color w:val="auto"/>
        </w:rPr>
      </w:pPr>
      <w:r>
        <w:rPr>
          <w:rFonts w:ascii="Courier New" w:cs="Courier New" w:eastAsia="Courier New" w:hAnsi="Courier New"/>
          <w:sz w:val="18"/>
          <w:szCs w:val="18"/>
          <w:color w:val="auto"/>
        </w:rPr>
        <w:t>64,501,000</w:t>
      </w:r>
    </w:p>
    <w:p>
      <w:pPr>
        <w:ind w:left="3980"/>
        <w:spacing w:after="0" w:line="237" w:lineRule="auto"/>
        <w:rPr>
          <w:sz w:val="20"/>
          <w:szCs w:val="20"/>
          <w:color w:val="auto"/>
        </w:rPr>
      </w:pPr>
      <w:r>
        <w:rPr>
          <w:rFonts w:ascii="Courier New" w:cs="Courier New" w:eastAsia="Courier New" w:hAnsi="Courier New"/>
          <w:sz w:val="18"/>
          <w:szCs w:val="18"/>
          <w:color w:val="auto"/>
        </w:rPr>
        <w:t>19,857,000</w:t>
      </w:r>
    </w:p>
    <w:p>
      <w:pPr>
        <w:ind w:left="3240"/>
        <w:spacing w:after="0" w:line="238" w:lineRule="auto"/>
        <w:rPr>
          <w:sz w:val="20"/>
          <w:szCs w:val="20"/>
          <w:color w:val="auto"/>
        </w:rPr>
      </w:pPr>
      <w:r>
        <w:rPr>
          <w:rFonts w:ascii="Courier New" w:cs="Courier New" w:eastAsia="Courier New" w:hAnsi="Courier New"/>
          <w:sz w:val="18"/>
          <w:szCs w:val="18"/>
          <w:color w:val="auto"/>
        </w:rPr>
        <w:t>5,601,000</w:t>
      </w:r>
    </w:p>
    <w:p>
      <w:pPr>
        <w:ind w:left="3120"/>
        <w:spacing w:after="0"/>
        <w:rPr>
          <w:sz w:val="20"/>
          <w:szCs w:val="20"/>
          <w:color w:val="auto"/>
        </w:rPr>
      </w:pPr>
      <w:r>
        <w:rPr>
          <w:rFonts w:ascii="Courier New" w:cs="Courier New" w:eastAsia="Courier New" w:hAnsi="Courier New"/>
          <w:sz w:val="18"/>
          <w:szCs w:val="18"/>
          <w:color w:val="auto"/>
        </w:rPr>
        <w:t>94,903,000</w:t>
      </w:r>
    </w:p>
    <w:p>
      <w:pPr>
        <w:ind w:left="2280"/>
        <w:spacing w:after="0" w:line="237" w:lineRule="auto"/>
        <w:rPr>
          <w:sz w:val="20"/>
          <w:szCs w:val="20"/>
          <w:color w:val="auto"/>
        </w:rPr>
      </w:pPr>
      <w:r>
        <w:rPr>
          <w:rFonts w:ascii="Courier New" w:cs="Courier New" w:eastAsia="Courier New" w:hAnsi="Courier New"/>
          <w:sz w:val="18"/>
          <w:szCs w:val="18"/>
          <w:color w:val="auto"/>
        </w:rPr>
        <w:t>33,564,0000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79,000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55,581,000</w:t>
      </w:r>
    </w:p>
    <w:p>
      <w:pPr>
        <w:ind w:left="1660"/>
        <w:spacing w:after="0"/>
        <w:rPr>
          <w:sz w:val="20"/>
          <w:szCs w:val="20"/>
          <w:color w:val="auto"/>
        </w:rPr>
      </w:pPr>
      <w:r>
        <w:rPr>
          <w:rFonts w:ascii="Courier New" w:cs="Courier New" w:eastAsia="Courier New" w:hAnsi="Courier New"/>
          <w:sz w:val="18"/>
          <w:szCs w:val="18"/>
          <w:color w:val="auto"/>
        </w:rPr>
        <w:t>94,903,000</w:t>
      </w:r>
    </w:p>
    <w:p>
      <w:pPr>
        <w:ind w:left="3760"/>
        <w:spacing w:after="0" w:line="237" w:lineRule="auto"/>
        <w:rPr>
          <w:sz w:val="20"/>
          <w:szCs w:val="20"/>
          <w:color w:val="auto"/>
        </w:rPr>
      </w:pPr>
      <w:r>
        <w:rPr>
          <w:rFonts w:ascii="Courier New" w:cs="Courier New" w:eastAsia="Courier New" w:hAnsi="Courier New"/>
          <w:sz w:val="18"/>
          <w:szCs w:val="18"/>
          <w:color w:val="auto"/>
        </w:rPr>
        <w:t>138,960,000</w:t>
      </w:r>
    </w:p>
    <w:p>
      <w:pPr>
        <w:ind w:left="2820"/>
        <w:spacing w:after="0"/>
        <w:rPr>
          <w:sz w:val="20"/>
          <w:szCs w:val="20"/>
          <w:color w:val="auto"/>
        </w:rPr>
      </w:pPr>
      <w:r>
        <w:rPr>
          <w:rFonts w:ascii="Courier New" w:cs="Courier New" w:eastAsia="Courier New" w:hAnsi="Courier New"/>
          <w:sz w:val="18"/>
          <w:szCs w:val="18"/>
          <w:color w:val="auto"/>
        </w:rPr>
        <w:t>138,960,000</w:t>
      </w:r>
    </w:p>
    <w:p>
      <w:pPr>
        <w:ind w:left="3980"/>
        <w:spacing w:after="0" w:line="237" w:lineRule="auto"/>
        <w:rPr>
          <w:sz w:val="20"/>
          <w:szCs w:val="20"/>
          <w:color w:val="auto"/>
        </w:rPr>
      </w:pPr>
      <w:r>
        <w:rPr>
          <w:rFonts w:ascii="Courier New" w:cs="Courier New" w:eastAsia="Courier New" w:hAnsi="Courier New"/>
          <w:sz w:val="18"/>
          <w:szCs w:val="18"/>
          <w:color w:val="auto"/>
        </w:rPr>
        <w:t>129,786,000</w:t>
      </w:r>
    </w:p>
    <w:p>
      <w:pPr>
        <w:ind w:left="3120"/>
        <w:spacing w:after="0"/>
        <w:rPr>
          <w:sz w:val="20"/>
          <w:szCs w:val="20"/>
          <w:color w:val="auto"/>
        </w:rPr>
      </w:pPr>
      <w:r>
        <w:rPr>
          <w:rFonts w:ascii="Courier New" w:cs="Courier New" w:eastAsia="Courier New" w:hAnsi="Courier New"/>
          <w:sz w:val="18"/>
          <w:szCs w:val="18"/>
          <w:color w:val="auto"/>
        </w:rPr>
        <w:t>129,786,000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150,000</w:t>
      </w:r>
    </w:p>
    <w:p>
      <w:pPr>
        <w:ind w:left="3020"/>
        <w:spacing w:after="0" w:line="237" w:lineRule="auto"/>
        <w:rPr>
          <w:sz w:val="20"/>
          <w:szCs w:val="20"/>
          <w:color w:val="auto"/>
        </w:rPr>
      </w:pPr>
      <w:r>
        <w:rPr>
          <w:rFonts w:ascii="Courier New" w:cs="Courier New" w:eastAsia="Courier New" w:hAnsi="Courier New"/>
          <w:sz w:val="18"/>
          <w:szCs w:val="18"/>
          <w:color w:val="auto"/>
        </w:rPr>
        <w:t>149,000</w:t>
      </w:r>
    </w:p>
    <w:p>
      <w:pPr>
        <w:ind w:left="3120"/>
        <w:spacing w:after="0" w:line="238" w:lineRule="auto"/>
        <w:rPr>
          <w:sz w:val="20"/>
          <w:szCs w:val="20"/>
          <w:color w:val="auto"/>
        </w:rPr>
      </w:pPr>
      <w:r>
        <w:rPr>
          <w:rFonts w:ascii="Courier New" w:cs="Courier New" w:eastAsia="Courier New" w:hAnsi="Courier New"/>
          <w:sz w:val="18"/>
          <w:szCs w:val="18"/>
          <w:color w:val="auto"/>
        </w:rPr>
        <w:t>4,048,000</w:t>
      </w:r>
    </w:p>
    <w:p>
      <w:pPr>
        <w:ind w:left="3440"/>
        <w:spacing w:after="0"/>
        <w:rPr>
          <w:sz w:val="20"/>
          <w:szCs w:val="20"/>
          <w:color w:val="auto"/>
        </w:rPr>
      </w:pPr>
      <w:r>
        <w:rPr>
          <w:rFonts w:ascii="Courier New" w:cs="Courier New" w:eastAsia="Courier New" w:hAnsi="Courier New"/>
          <w:sz w:val="18"/>
          <w:szCs w:val="18"/>
          <w:color w:val="auto"/>
        </w:rPr>
        <w:t>1,503,000</w:t>
      </w:r>
    </w:p>
    <w:p>
      <w:pPr>
        <w:ind w:left="2700"/>
        <w:spacing w:after="0" w:line="237" w:lineRule="auto"/>
        <w:rPr>
          <w:sz w:val="20"/>
          <w:szCs w:val="20"/>
          <w:color w:val="auto"/>
        </w:rPr>
      </w:pPr>
      <w:r>
        <w:rPr>
          <w:rFonts w:ascii="Courier New" w:cs="Courier New" w:eastAsia="Courier New" w:hAnsi="Courier New"/>
          <w:sz w:val="18"/>
          <w:szCs w:val="18"/>
          <w:color w:val="auto"/>
        </w:rPr>
        <w:t>2,545,000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2,545,000</w:t>
      </w:r>
    </w:p>
    <w:p>
      <w:pPr>
        <w:ind w:left="3860"/>
        <w:spacing w:after="0" w:line="238" w:lineRule="auto"/>
        <w:rPr>
          <w:sz w:val="20"/>
          <w:szCs w:val="20"/>
          <w:color w:val="auto"/>
        </w:rPr>
      </w:pPr>
      <w:r>
        <w:rPr>
          <w:rFonts w:ascii="Courier New" w:cs="Courier New" w:eastAsia="Courier New" w:hAnsi="Courier New"/>
          <w:sz w:val="18"/>
          <w:szCs w:val="18"/>
          <w:color w:val="auto"/>
        </w:rPr>
        <w:t>0.32</w:t>
      </w:r>
    </w:p>
    <w:p>
      <w:pPr>
        <w:ind w:left="3860"/>
        <w:spacing w:after="0"/>
        <w:rPr>
          <w:sz w:val="20"/>
          <w:szCs w:val="20"/>
          <w:color w:val="auto"/>
        </w:rPr>
      </w:pPr>
      <w:r>
        <w:rPr>
          <w:rFonts w:ascii="Courier New" w:cs="Courier New" w:eastAsia="Courier New" w:hAnsi="Courier New"/>
          <w:sz w:val="18"/>
          <w:szCs w:val="18"/>
          <w:color w:val="auto"/>
        </w:rPr>
        <w:t>0.32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2019-12-13T16:37:16Z</dcterms:created>
  <dcterms:modified xsi:type="dcterms:W3CDTF">2019-12-13T16:37:16Z</dcterms:modified>
</cp:coreProperties>
</file>