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Washington, DC 20549</w:t>
      </w:r>
    </w:p>
    <w:p>
      <w:pPr>
        <w:spacing w:after="0" w:line="84"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FORM 10-K</w:t>
      </w:r>
    </w:p>
    <w:p>
      <w:pPr>
        <w:spacing w:after="0" w:line="191"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59" w:lineRule="exact"/>
        <w:rPr>
          <w:sz w:val="24"/>
          <w:szCs w:val="24"/>
          <w:color w:val="auto"/>
        </w:rPr>
      </w:pPr>
    </w:p>
    <w:p>
      <w:pPr>
        <w:ind w:left="40" w:right="3260" w:hanging="5"/>
        <w:spacing w:after="0" w:line="317" w:lineRule="auto"/>
        <w:tabs>
          <w:tab w:leader="none" w:pos="2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 For the fiscal year ended December 31, 2016</w:t>
      </w:r>
    </w:p>
    <w:p>
      <w:pPr>
        <w:ind w:left="40"/>
        <w:spacing w:after="0"/>
        <w:rPr>
          <w:rFonts w:ascii="MS PGothic" w:cs="MS PGothic" w:eastAsia="MS PGothic" w:hAnsi="MS PGothic"/>
          <w:sz w:val="16"/>
          <w:szCs w:val="16"/>
          <w:color w:val="auto"/>
        </w:rPr>
      </w:pPr>
      <w:r>
        <w:rPr>
          <w:rFonts w:ascii="Arial" w:cs="Arial" w:eastAsia="Arial" w:hAnsi="Arial"/>
          <w:sz w:val="16"/>
          <w:szCs w:val="16"/>
          <w:color w:val="auto"/>
        </w:rPr>
        <w:t>OR</w:t>
      </w:r>
    </w:p>
    <w:p>
      <w:pPr>
        <w:spacing w:after="0" w:line="17" w:lineRule="exact"/>
        <w:rPr>
          <w:rFonts w:ascii="MS PGothic" w:cs="MS PGothic" w:eastAsia="MS PGothic" w:hAnsi="MS PGothic"/>
          <w:sz w:val="16"/>
          <w:szCs w:val="16"/>
          <w:color w:val="auto"/>
        </w:rPr>
      </w:pPr>
    </w:p>
    <w:p>
      <w:pPr>
        <w:ind w:left="40"/>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TRANSITION REPORT PURSUANT TO SECTION 13 OR 15(d) OF THE SECURITIES EXCHANGE ACT OF 1934</w:t>
      </w:r>
    </w:p>
    <w:p>
      <w:pPr>
        <w:spacing w:after="0" w:line="101" w:lineRule="exact"/>
        <w:rPr>
          <w:sz w:val="24"/>
          <w:szCs w:val="24"/>
          <w:color w:val="auto"/>
        </w:rPr>
      </w:pPr>
    </w:p>
    <w:p>
      <w:pPr>
        <w:ind w:left="40"/>
        <w:spacing w:after="0"/>
        <w:tabs>
          <w:tab w:leader="none" w:pos="2360" w:val="left"/>
        </w:tabs>
        <w:rPr>
          <w:sz w:val="20"/>
          <w:szCs w:val="20"/>
          <w:color w:val="auto"/>
        </w:rPr>
      </w:pPr>
      <w:r>
        <w:rPr>
          <w:rFonts w:ascii="Arial" w:cs="Arial" w:eastAsia="Arial" w:hAnsi="Arial"/>
          <w:sz w:val="16"/>
          <w:szCs w:val="16"/>
          <w:color w:val="auto"/>
        </w:rPr>
        <w:t>For the transition period from</w:t>
        <w:tab/>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1400810</wp:posOffset>
            </wp:positionH>
            <wp:positionV relativeFrom="paragraph">
              <wp:posOffset>-14605</wp:posOffset>
            </wp:positionV>
            <wp:extent cx="85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-14605</wp:posOffset>
            </wp:positionV>
            <wp:extent cx="85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2263775" cy="1140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775"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Florida</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59-2459427</w:t>
      </w:r>
    </w:p>
    <w:p>
      <w:pPr>
        <w:spacing w:after="0" w:line="59" w:lineRule="exact"/>
        <w:rPr>
          <w:sz w:val="24"/>
          <w:szCs w:val="24"/>
          <w:color w:val="auto"/>
        </w:rPr>
      </w:pPr>
    </w:p>
    <w:p>
      <w:pPr>
        <w:sectPr>
          <w:pgSz w:w="11900" w:h="16838" w:orient="portrait"/>
          <w:cols w:equalWidth="0" w:num="2">
            <w:col w:w="5480" w:space="720"/>
            <w:col w:w="5220"/>
          </w:cols>
          <w:pgMar w:left="240" w:top="233"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59" w:lineRule="exact"/>
        <w:rPr>
          <w:sz w:val="24"/>
          <w:szCs w:val="24"/>
          <w:color w:val="auto"/>
        </w:rPr>
      </w:pPr>
    </w:p>
    <w:p>
      <w:pPr>
        <w:sectPr>
          <w:pgSz w:w="11900" w:h="16838" w:orient="portrait"/>
          <w:cols w:equalWidth="0" w:num="2">
            <w:col w:w="5480" w:space="720"/>
            <w:col w:w="5220"/>
          </w:cols>
          <w:pgMar w:left="240" w:top="233"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9800 Northwest 41st Street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auto"/>
        </w:rPr>
        <w:t>Miami, Florida</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33178</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48" w:lineRule="exact"/>
        <w:rPr>
          <w:sz w:val="24"/>
          <w:szCs w:val="24"/>
          <w:color w:val="auto"/>
        </w:rPr>
      </w:pPr>
    </w:p>
    <w:p>
      <w:pPr>
        <w:sectPr>
          <w:pgSz w:w="11900" w:h="16838" w:orient="portrait"/>
          <w:cols w:equalWidth="0" w:num="2">
            <w:col w:w="5480" w:space="720"/>
            <w:col w:w="5220"/>
          </w:cols>
          <w:pgMar w:left="240" w:top="233"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Registrant’s telephone number, including area code: (305) 428-8000</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233" w:right="239" w:bottom="1440" w:gutter="0" w:footer="0" w:header="0"/>
          <w:type w:val="continuous"/>
        </w:sectPr>
      </w:pPr>
    </w:p>
    <w:p>
      <w:pPr>
        <w:spacing w:after="0" w:line="79" w:lineRule="exact"/>
        <w:rPr>
          <w:sz w:val="24"/>
          <w:szCs w:val="24"/>
          <w:color w:val="auto"/>
        </w:rPr>
      </w:pPr>
    </w:p>
    <w:p>
      <w:pPr>
        <w:ind w:left="40"/>
        <w:spacing w:after="0"/>
        <w:rPr>
          <w:sz w:val="20"/>
          <w:szCs w:val="20"/>
          <w:color w:val="auto"/>
        </w:rPr>
      </w:pPr>
      <w:r>
        <w:rPr>
          <w:rFonts w:ascii="Arial" w:cs="Arial" w:eastAsia="Arial" w:hAnsi="Arial"/>
          <w:sz w:val="16"/>
          <w:szCs w:val="16"/>
          <w:color w:val="auto"/>
        </w:rPr>
        <w:t>Title of each class: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New York Stock Exchange</w:t>
      </w:r>
    </w:p>
    <w:p>
      <w:pPr>
        <w:spacing w:after="0" w:line="66" w:lineRule="exact"/>
        <w:rPr>
          <w:sz w:val="24"/>
          <w:szCs w:val="24"/>
          <w:color w:val="auto"/>
        </w:rPr>
      </w:pPr>
    </w:p>
    <w:p>
      <w:pPr>
        <w:sectPr>
          <w:pgSz w:w="11900" w:h="16838" w:orient="portrait"/>
          <w:cols w:equalWidth="0" w:num="2">
            <w:col w:w="5480" w:space="720"/>
            <w:col w:w="52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ectPr>
          <w:pgSz w:w="11900" w:h="16838" w:orient="portrait"/>
          <w:cols w:equalWidth="0" w:num="1">
            <w:col w:w="11420"/>
          </w:cols>
          <w:pgMar w:left="240" w:top="233" w:right="239" w:bottom="1440" w:gutter="0" w:footer="0" w:header="0"/>
          <w:type w:val="continuous"/>
        </w:sectPr>
      </w:pPr>
    </w:p>
    <w:p>
      <w:pPr>
        <w:spacing w:after="0" w:line="37" w:lineRule="exact"/>
        <w:rPr>
          <w:sz w:val="24"/>
          <w:szCs w:val="24"/>
          <w:color w:val="auto"/>
        </w:rPr>
      </w:pPr>
    </w:p>
    <w:p>
      <w:pPr>
        <w:ind w:right="2000"/>
        <w:spacing w:after="0" w:line="25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244"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00" w:hanging="192"/>
        <w:spacing w:after="0" w:line="184" w:lineRule="exact"/>
        <w:tabs>
          <w:tab w:leader="none" w:pos="200" w:val="left"/>
        </w:tabs>
        <w:numPr>
          <w:ilvl w:val="0"/>
          <w:numId w:val="2"/>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76"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As of June 30, 2016, the registrant’s most recently completed second fiscal quarter, the aggregate market value of the voting and non-voting common equity held by non-affiliates computed by reference to the market price at which the common equity was last sold was $3,275,617,000.</w:t>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3, 2017, the registrant had approximately 69,933,455 shares of outstanding common stock, par value $0.01 per share.</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47"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6"/>
          <w:szCs w:val="16"/>
          <w:color w:val="auto"/>
        </w:rPr>
        <w:t>Part III -</w:t>
      </w:r>
      <w:r>
        <w:rPr>
          <w:sz w:val="20"/>
          <w:szCs w:val="20"/>
          <w:color w:val="auto"/>
        </w:rPr>
        <w:tab/>
      </w:r>
      <w:r>
        <w:rPr>
          <w:rFonts w:ascii="Arial" w:cs="Arial" w:eastAsia="Arial" w:hAnsi="Arial"/>
          <w:sz w:val="16"/>
          <w:szCs w:val="16"/>
          <w:color w:val="auto"/>
        </w:rPr>
        <w:t>Specified Portions of the Registrant’s Definitive Proxy Statement for the 2017 Annual Meeting of Shareholders.</w:t>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30"/>
        </w:trPr>
        <w:tc>
          <w:tcPr>
            <w:tcW w:w="1040" w:type="dxa"/>
            <w:vAlign w:val="bottom"/>
            <w:gridSpan w:val="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7"/>
        </w:trPr>
        <w:tc>
          <w:tcPr>
            <w:tcW w:w="640" w:type="dxa"/>
            <w:vAlign w:val="bottom"/>
            <w:tcBorders>
              <w:top w:val="single" w:sz="8" w:color="0000EE"/>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00" w:type="dxa"/>
            <w:vAlign w:val="bottom"/>
            <w:gridSpan w:val="5"/>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68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Item 1A.</w:t>
              </w:r>
            </w:hyperlink>
          </w:p>
        </w:tc>
        <w:tc>
          <w:tcPr>
            <w:tcW w:w="360" w:type="dxa"/>
            <w:vAlign w:val="bottom"/>
            <w:gridSpan w:val="3"/>
          </w:tcPr>
          <w:p>
            <w:pPr>
              <w:spacing w:after="0"/>
              <w:rPr>
                <w:sz w:val="20"/>
                <w:szCs w:val="20"/>
                <w:color w:val="auto"/>
              </w:rPr>
            </w:pPr>
          </w:p>
        </w:tc>
        <w:tc>
          <w:tcPr>
            <w:tcW w:w="10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Risk Factors</w:t>
              </w:r>
            </w:hyperlink>
          </w:p>
        </w:tc>
        <w:tc>
          <w:tcPr>
            <w:tcW w:w="8400" w:type="dxa"/>
            <w:vAlign w:val="bottom"/>
            <w:gridSpan w:val="17"/>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r>
      <w:tr>
        <w:trPr>
          <w:trHeight w:val="237"/>
        </w:trPr>
        <w:tc>
          <w:tcPr>
            <w:tcW w:w="1040" w:type="dxa"/>
            <w:vAlign w:val="bottom"/>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1B.</w:t>
              </w:r>
            </w:hyperlink>
          </w:p>
        </w:tc>
        <w:tc>
          <w:tcPr>
            <w:tcW w:w="940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92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19</w:t>
              </w:r>
            </w:hyperlink>
          </w:p>
        </w:tc>
      </w:tr>
      <w:tr>
        <w:trPr>
          <w:trHeight w:val="237"/>
        </w:trPr>
        <w:tc>
          <w:tcPr>
            <w:tcW w:w="660" w:type="dxa"/>
            <w:vAlign w:val="bottom"/>
            <w:tcBorders>
              <w:top w:val="single" w:sz="8" w:color="0000EE"/>
            </w:tcBorders>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380" w:type="dxa"/>
            <w:vAlign w:val="bottom"/>
            <w:gridSpan w:val="4"/>
          </w:tcPr>
          <w:p>
            <w:pPr>
              <w:spacing w:after="0"/>
              <w:rPr>
                <w:sz w:val="20"/>
                <w:szCs w:val="20"/>
                <w:color w:val="auto"/>
              </w:rPr>
            </w:pPr>
          </w:p>
        </w:tc>
        <w:tc>
          <w:tcPr>
            <w:tcW w:w="2240" w:type="dxa"/>
            <w:vAlign w:val="bottom"/>
            <w:tcBorders>
              <w:top w:val="single" w:sz="8" w:color="0000EE"/>
            </w:tcBorders>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160" w:type="dxa"/>
            <w:vAlign w:val="bottom"/>
            <w:gridSpan w:val="11"/>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94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9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94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9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70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26">
              <w:r>
                <w:rPr>
                  <w:rFonts w:ascii="Arial" w:cs="Arial" w:eastAsia="Arial" w:hAnsi="Arial"/>
                  <w:sz w:val="18"/>
                  <w:szCs w:val="18"/>
                  <w:b w:val="1"/>
                  <w:bCs w:val="1"/>
                  <w:color w:val="0000EE"/>
                  <w:w w:val="98"/>
                </w:rPr>
                <w:t>PART II.</w:t>
              </w:r>
            </w:hyperlink>
          </w:p>
        </w:tc>
        <w:tc>
          <w:tcPr>
            <w:tcW w:w="3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94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Shareholder Matters and Issuer Purchases of Equity Securities</w:t>
              </w:r>
            </w:hyperlink>
          </w:p>
        </w:tc>
        <w:tc>
          <w:tcPr>
            <w:tcW w:w="9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940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9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7.</w:t>
              </w:r>
            </w:hyperlink>
          </w:p>
        </w:tc>
        <w:tc>
          <w:tcPr>
            <w:tcW w:w="940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7A.</w:t>
              </w:r>
            </w:hyperlink>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37"/>
        </w:trPr>
        <w:tc>
          <w:tcPr>
            <w:tcW w:w="660" w:type="dxa"/>
            <w:vAlign w:val="bottom"/>
            <w:tcBorders>
              <w:top w:val="single" w:sz="8" w:color="0000EE"/>
            </w:tcBorders>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8.</w:t>
              </w:r>
            </w:hyperlink>
          </w:p>
        </w:tc>
        <w:tc>
          <w:tcPr>
            <w:tcW w:w="380" w:type="dxa"/>
            <w:vAlign w:val="bottom"/>
            <w:gridSpan w:val="4"/>
          </w:tcPr>
          <w:p>
            <w:pPr>
              <w:spacing w:after="0"/>
              <w:rPr>
                <w:sz w:val="20"/>
                <w:szCs w:val="20"/>
                <w:color w:val="auto"/>
              </w:rPr>
            </w:pPr>
          </w:p>
        </w:tc>
        <w:tc>
          <w:tcPr>
            <w:tcW w:w="4700" w:type="dxa"/>
            <w:vAlign w:val="bottom"/>
            <w:tcBorders>
              <w:top w:val="single" w:sz="8" w:color="0000EE"/>
            </w:tcBorders>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4700" w:type="dxa"/>
            <w:vAlign w:val="bottom"/>
            <w:gridSpan w:val="6"/>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9.</w:t>
              </w:r>
            </w:hyperlink>
          </w:p>
        </w:tc>
        <w:tc>
          <w:tcPr>
            <w:tcW w:w="940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Changes in and Disagreements with Accountants on Accounting and Financial Disclosure</w:t>
              </w:r>
            </w:hyperlink>
          </w:p>
        </w:tc>
        <w:tc>
          <w:tcPr>
            <w:tcW w:w="9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680" w:type="dxa"/>
            <w:vAlign w:val="bottom"/>
            <w:gridSpan w:val="4"/>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Item 9A.</w:t>
              </w:r>
            </w:hyperlink>
          </w:p>
        </w:tc>
        <w:tc>
          <w:tcPr>
            <w:tcW w:w="360" w:type="dxa"/>
            <w:vAlign w:val="bottom"/>
            <w:gridSpan w:val="3"/>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9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r>
      <w:tr>
        <w:trPr>
          <w:trHeight w:val="237"/>
        </w:trPr>
        <w:tc>
          <w:tcPr>
            <w:tcW w:w="6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9">
              <w:r>
                <w:rPr>
                  <w:rFonts w:ascii="Arial" w:cs="Arial" w:eastAsia="Arial" w:hAnsi="Arial"/>
                  <w:sz w:val="18"/>
                  <w:szCs w:val="18"/>
                  <w:color w:val="0000EE"/>
                  <w:w w:val="98"/>
                </w:rPr>
                <w:t>Item 9B.</w:t>
              </w:r>
            </w:hyperlink>
          </w:p>
        </w:tc>
        <w:tc>
          <w:tcPr>
            <w:tcW w:w="360" w:type="dxa"/>
            <w:vAlign w:val="bottom"/>
            <w:gridSpan w:val="3"/>
          </w:tcPr>
          <w:p>
            <w:pPr>
              <w:spacing w:after="0"/>
              <w:rPr>
                <w:sz w:val="20"/>
                <w:szCs w:val="20"/>
                <w:color w:val="auto"/>
              </w:rPr>
            </w:pPr>
          </w:p>
        </w:tc>
        <w:tc>
          <w:tcPr>
            <w:tcW w:w="1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9">
              <w:r>
                <w:rPr>
                  <w:rFonts w:ascii="Arial" w:cs="Arial" w:eastAsia="Arial" w:hAnsi="Arial"/>
                  <w:sz w:val="18"/>
                  <w:szCs w:val="18"/>
                  <w:color w:val="0000EE"/>
                  <w:w w:val="98"/>
                </w:rPr>
                <w:t>Other Information</w:t>
              </w:r>
            </w:hyperlink>
          </w:p>
        </w:tc>
        <w:tc>
          <w:tcPr>
            <w:tcW w:w="580" w:type="dxa"/>
            <w:vAlign w:val="bottom"/>
            <w:tcBorders>
              <w:top w:val="single" w:sz="8" w:color="0000EE"/>
            </w:tcBorders>
            <w:gridSpan w:val="4"/>
          </w:tcPr>
          <w:p>
            <w:pPr>
              <w:spacing w:after="0"/>
              <w:rPr>
                <w:sz w:val="20"/>
                <w:szCs w:val="20"/>
                <w:color w:val="auto"/>
              </w:rPr>
            </w:pPr>
          </w:p>
        </w:tc>
        <w:tc>
          <w:tcPr>
            <w:tcW w:w="7420" w:type="dxa"/>
            <w:vAlign w:val="bottom"/>
            <w:gridSpan w:val="12"/>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46</w:t>
              </w:r>
            </w:hyperlink>
          </w:p>
        </w:tc>
      </w:tr>
      <w:tr>
        <w:trPr>
          <w:trHeight w:val="372"/>
        </w:trPr>
        <w:tc>
          <w:tcPr>
            <w:tcW w:w="1040" w:type="dxa"/>
            <w:vAlign w:val="bottom"/>
            <w:gridSpan w:val="7"/>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III.</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720" w:type="dxa"/>
            <w:vAlign w:val="bottom"/>
            <w:tcBorders>
              <w:top w:val="single" w:sz="8" w:color="0000EE"/>
            </w:tcBorders>
            <w:gridSpan w:val="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10.</w:t>
              </w:r>
            </w:hyperlink>
          </w:p>
        </w:tc>
        <w:tc>
          <w:tcPr>
            <w:tcW w:w="320" w:type="dxa"/>
            <w:vAlign w:val="bottom"/>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Directors, Executive Officers and Corporate Governance</w:t>
              </w:r>
            </w:hyperlink>
          </w:p>
        </w:tc>
        <w:tc>
          <w:tcPr>
            <w:tcW w:w="92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11.</w:t>
              </w:r>
            </w:hyperlink>
          </w:p>
        </w:tc>
        <w:tc>
          <w:tcPr>
            <w:tcW w:w="940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Executive Compensation</w:t>
              </w:r>
            </w:hyperlink>
          </w:p>
        </w:tc>
        <w:tc>
          <w:tcPr>
            <w:tcW w:w="92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12.</w:t>
              </w:r>
            </w:hyperlink>
          </w:p>
        </w:tc>
        <w:tc>
          <w:tcPr>
            <w:tcW w:w="940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Security Ownership of Certain Beneficial Owners and Management and Related Shareholder Matters</w:t>
              </w:r>
            </w:hyperlink>
          </w:p>
        </w:tc>
        <w:tc>
          <w:tcPr>
            <w:tcW w:w="92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13.</w:t>
              </w:r>
            </w:hyperlink>
          </w:p>
        </w:tc>
        <w:tc>
          <w:tcPr>
            <w:tcW w:w="940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Certain Relationships and Related Transactions, and Director Independence</w:t>
              </w:r>
            </w:hyperlink>
          </w:p>
        </w:tc>
        <w:tc>
          <w:tcPr>
            <w:tcW w:w="92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14.</w:t>
              </w:r>
            </w:hyperlink>
          </w:p>
        </w:tc>
        <w:tc>
          <w:tcPr>
            <w:tcW w:w="940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Principal Accounting Fees and Services</w:t>
              </w:r>
            </w:hyperlink>
          </w:p>
        </w:tc>
        <w:tc>
          <w:tcPr>
            <w:tcW w:w="92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1040" w:type="dxa"/>
            <w:vAlign w:val="bottom"/>
            <w:gridSpan w:val="7"/>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IV.</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720" w:type="dxa"/>
            <w:vAlign w:val="bottom"/>
            <w:tcBorders>
              <w:top w:val="single" w:sz="8" w:color="0000EE"/>
            </w:tcBorders>
            <w:gridSpan w:val="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15.</w:t>
              </w:r>
            </w:hyperlink>
          </w:p>
        </w:tc>
        <w:tc>
          <w:tcPr>
            <w:tcW w:w="320" w:type="dxa"/>
            <w:vAlign w:val="bottom"/>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 Financial Statement Schedules</w:t>
              </w:r>
            </w:hyperlink>
          </w:p>
        </w:tc>
        <w:tc>
          <w:tcPr>
            <w:tcW w:w="92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48</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62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Item 16.</w:t>
              </w:r>
            </w:hyperlink>
          </w:p>
        </w:tc>
        <w:tc>
          <w:tcPr>
            <w:tcW w:w="9400" w:type="dxa"/>
            <w:vAlign w:val="bottom"/>
            <w:gridSpan w:val="20"/>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Form 10-K Summary</w:t>
              </w:r>
            </w:hyperlink>
          </w:p>
        </w:tc>
        <w:tc>
          <w:tcPr>
            <w:tcW w:w="92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98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103">
        <w:r>
          <w:rPr>
            <w:rFonts w:ascii="Arial" w:cs="Arial" w:eastAsia="Arial" w:hAnsi="Arial"/>
            <w:sz w:val="18"/>
            <w:szCs w:val="18"/>
            <w:b w:val="1"/>
            <w:bCs w:val="1"/>
            <w:u w:val="single" w:color="auto"/>
            <w:color w:val="0000EE"/>
          </w:rPr>
          <w:t>SIGNATURES</w:t>
        </w:r>
      </w:hyperlink>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(“2016 10</w:t>
      </w:r>
      <w:r>
        <w:rPr>
          <w:rFonts w:ascii="MS PGothic" w:cs="MS PGothic" w:eastAsia="MS PGothic" w:hAnsi="MS PGothic"/>
          <w:sz w:val="18"/>
          <w:szCs w:val="18"/>
          <w:color w:val="auto"/>
        </w:rPr>
        <w:t>‑</w:t>
      </w:r>
      <w:r>
        <w:rPr>
          <w:rFonts w:ascii="Arial" w:cs="Arial" w:eastAsia="Arial" w:hAnsi="Arial"/>
          <w:sz w:val="18"/>
          <w:szCs w:val="18"/>
          <w:color w:val="auto"/>
        </w:rPr>
        <w:t>K Report”) as “World Fuel,” “we,” “our” and “us.”</w:t>
      </w:r>
    </w:p>
    <w:p>
      <w:pPr>
        <w:spacing w:after="0" w:line="21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are a global energy management company involved in providing energy procurement advisory services, supply fulfillment and transaction and payment management solutions to commercial and industrial customers, principally in the aviation, marine and transportation industries. We have offices throughout the United States and in various foreign jurisdictions, including: Argentina, Australia, Brazil, Canada, Chile, China, Colombia, Costa Rica, Denmark, Finland, France, Germany, Gibraltar, Greece, Hong Kong, India, Indonesia, Ireland, Italy, Japan, Kyrgyzstan, Malaysia, Mexico, the Netherlands, Norway, Russia, Singapore, South Africa, South Korea, Sweden, Switzerland, Taiwan, Turkey, the United Arab Emirates, the United Kingdom ("U.K.") and the United States ("U.S."). See “Item 2 – Properties” for a list of principal offices by business segment and “Exhibit 21.1 – Subsidiaries of the Registrant” included in this 2016 10</w:t>
      </w:r>
      <w:r>
        <w:rPr>
          <w:rFonts w:ascii="MS PGothic" w:cs="MS PGothic" w:eastAsia="MS PGothic" w:hAnsi="MS PGothic"/>
          <w:sz w:val="18"/>
          <w:szCs w:val="18"/>
          <w:color w:val="auto"/>
        </w:rPr>
        <w:t>‑</w:t>
      </w:r>
      <w:r>
        <w:rPr>
          <w:rFonts w:ascii="Arial" w:cs="Arial" w:eastAsia="Arial" w:hAnsi="Arial"/>
          <w:sz w:val="18"/>
          <w:szCs w:val="18"/>
          <w:color w:val="auto"/>
        </w:rPr>
        <w:t>K Report for a list of our subsidiaries.</w:t>
      </w:r>
    </w:p>
    <w:p>
      <w:pPr>
        <w:spacing w:after="0" w:line="219"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As of February 4, 2017, we employed more than 5,000 employees globally. Our principal executive office is located at 9800 Northwest 41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Street, Miami, Florida 33178 and our telephone number at this address is 305</w:t>
      </w:r>
      <w:r>
        <w:rPr>
          <w:rFonts w:ascii="MS PGothic" w:cs="MS PGothic" w:eastAsia="MS PGothic" w:hAnsi="MS PGothic"/>
          <w:sz w:val="18"/>
          <w:szCs w:val="18"/>
          <w:color w:val="auto"/>
        </w:rPr>
        <w:t>‑</w:t>
      </w:r>
      <w:r>
        <w:rPr>
          <w:rFonts w:ascii="Arial" w:cs="Arial" w:eastAsia="Arial" w:hAnsi="Arial"/>
          <w:sz w:val="18"/>
          <w:szCs w:val="18"/>
          <w:color w:val="auto"/>
        </w:rPr>
        <w:t>428</w:t>
      </w:r>
      <w:r>
        <w:rPr>
          <w:rFonts w:ascii="MS PGothic" w:cs="MS PGothic" w:eastAsia="MS PGothic" w:hAnsi="MS PGothic"/>
          <w:sz w:val="18"/>
          <w:szCs w:val="18"/>
          <w:color w:val="auto"/>
        </w:rPr>
        <w:t>‑</w:t>
      </w:r>
      <w:r>
        <w:rPr>
          <w:rFonts w:ascii="Arial" w:cs="Arial" w:eastAsia="Arial" w:hAnsi="Arial"/>
          <w:sz w:val="18"/>
          <w:szCs w:val="18"/>
          <w:color w:val="auto"/>
        </w:rPr>
        <w:t>8000. Our internet address is http://www.wfscorp.com and the investor relations section of our website is located at http://ir.wfscorp.com. We make available free of charge, on or through the investor relations section of our website, our Annual Reports on Form 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Conduct (“Code of Conduct”), Board of Directors’ committee charters and Corporate Governance Principles. Our internet website and information contained on our internet website are not part of this 2016 10</w:t>
      </w:r>
      <w:r>
        <w:rPr>
          <w:rFonts w:ascii="MS PGothic" w:cs="MS PGothic" w:eastAsia="MS PGothic" w:hAnsi="MS PGothic"/>
          <w:sz w:val="18"/>
          <w:szCs w:val="18"/>
          <w:color w:val="auto"/>
        </w:rPr>
        <w:t>‑</w:t>
      </w:r>
      <w:r>
        <w:rPr>
          <w:rFonts w:ascii="Arial" w:cs="Arial" w:eastAsia="Arial" w:hAnsi="Arial"/>
          <w:sz w:val="18"/>
          <w:szCs w:val="18"/>
          <w:color w:val="auto"/>
        </w:rPr>
        <w:t>K Report and are not incorporated by reference in this 2016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three reportable segments consisting of aviation, marine and land.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Segment</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aviation</w:t>
      </w:r>
      <w:r>
        <w:rPr>
          <w:rFonts w:ascii="MS PGothic" w:cs="MS PGothic" w:eastAsia="MS PGothic" w:hAnsi="MS PGothic"/>
          <w:sz w:val="18"/>
          <w:szCs w:val="18"/>
          <w:color w:val="auto"/>
        </w:rPr>
        <w:t>‑</w:t>
      </w:r>
      <w:r>
        <w:rPr>
          <w:rFonts w:ascii="Arial" w:cs="Arial" w:eastAsia="Arial" w:hAnsi="Arial"/>
          <w:sz w:val="18"/>
          <w:szCs w:val="18"/>
          <w:color w:val="auto"/>
        </w:rPr>
        <w:t>related service offerings include fuel management, price risk management, ground handling, 24/7 global dispatch services, and international trip planning services, including flight plans, weather reports and overflight permits. In addition, we offer card payment solutions and related processing services and technology. Because fuel is a major component of an aircraft’s operating costs, our customers require cost effective and professional fuel services. We have developed an extensive network of third</w:t>
      </w:r>
      <w:r>
        <w:rPr>
          <w:rFonts w:ascii="MS PGothic" w:cs="MS PGothic" w:eastAsia="MS PGothic" w:hAnsi="MS PGothic"/>
          <w:sz w:val="18"/>
          <w:szCs w:val="18"/>
          <w:color w:val="auto"/>
        </w:rPr>
        <w:t>‑</w:t>
      </w:r>
      <w:r>
        <w:rPr>
          <w:rFonts w:ascii="Arial" w:cs="Arial" w:eastAsia="Arial" w:hAnsi="Arial"/>
          <w:sz w:val="18"/>
          <w:szCs w:val="18"/>
          <w:color w:val="auto"/>
        </w:rPr>
        <w:t>party suppliers and service providers that enables us to provide aviation fuel and related services throughout the world. We believe the breadth of our service offering combined with our global supplier network is a strategic differentiator that allows customers to secure fuel and high</w:t>
      </w:r>
      <w:r>
        <w:rPr>
          <w:rFonts w:ascii="MS PGothic" w:cs="MS PGothic" w:eastAsia="MS PGothic" w:hAnsi="MS PGothic"/>
          <w:sz w:val="18"/>
          <w:szCs w:val="18"/>
          <w:color w:val="auto"/>
        </w:rPr>
        <w:t>‑</w:t>
      </w:r>
      <w:r>
        <w:rPr>
          <w:rFonts w:ascii="Arial" w:cs="Arial" w:eastAsia="Arial" w:hAnsi="Arial"/>
          <w:sz w:val="18"/>
          <w:szCs w:val="18"/>
          <w:color w:val="auto"/>
        </w:rPr>
        <w:t>quality services in locations worldwide on short notice.</w:t>
      </w:r>
    </w:p>
    <w:p>
      <w:pPr>
        <w:spacing w:after="0" w:line="21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purchase our aviation fuel from suppliers worldwide, which may be delivered into our customers’ aircraft or to a designated storage facility located at one of our suppliers’ locations, pursuant to arrangements with them. Inventory is purchased at airport locations or shipped via pipelines and held at multiple locations for strategic reasons. We engage in contract sales, which are sales made pursuant to fuel purchase contracts with customers who commit to purchasing fuel from us over the contract term. We also conduct spot sales, which are sales that do not involve continuing contractual obligations by our customers to purchase fuel from us. Our cost of fuel is generally tied to market</w:t>
      </w:r>
      <w:r>
        <w:rPr>
          <w:rFonts w:ascii="MS PGothic" w:cs="MS PGothic" w:eastAsia="MS PGothic" w:hAnsi="MS PGothic"/>
          <w:sz w:val="18"/>
          <w:szCs w:val="18"/>
          <w:color w:val="auto"/>
        </w:rPr>
        <w:t>‑</w:t>
      </w:r>
      <w:r>
        <w:rPr>
          <w:rFonts w:ascii="Arial" w:cs="Arial" w:eastAsia="Arial" w:hAnsi="Arial"/>
          <w:sz w:val="18"/>
          <w:szCs w:val="18"/>
          <w:color w:val="auto"/>
        </w:rPr>
        <w:t>based formulas or is government controlled.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Segment</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Through our extensive network, we provide our customers with real</w:t>
      </w:r>
      <w:r>
        <w:rPr>
          <w:rFonts w:ascii="MS PGothic" w:cs="MS PGothic" w:eastAsia="MS PGothic" w:hAnsi="MS PGothic"/>
          <w:sz w:val="18"/>
          <w:szCs w:val="18"/>
          <w:color w:val="auto"/>
        </w:rPr>
        <w:t>‑</w:t>
      </w:r>
      <w:r>
        <w:rPr>
          <w:rFonts w:ascii="Arial" w:cs="Arial" w:eastAsia="Arial" w:hAnsi="Arial"/>
          <w:sz w:val="18"/>
          <w:szCs w:val="18"/>
          <w:color w:val="auto"/>
        </w:rPr>
        <w:t>time global market intelligence and rapid access to quality and competitively priced marine fuel 24 hours a day, every day of the year. Our marine fuel-related services include management services for the procurement of fuel, cost control through the use of price risk management offerings, quality control, claims management, and card payment solutions and related processing services.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serve primarily as a reseller, and accordingly, in those instances we take delivery for fuel purchased from our supplier at the same place and time as the fuel is sold to our customer. We also sell fuel from our inventory, which we maintain in storage facilities that we own or lease. We also serve as a broker and in those cases we are paid a commission for negotiating the fuel purchase transaction between the supplier and the end user and for expediting delivery of the fuel.</w:t>
      </w:r>
    </w:p>
    <w:p>
      <w:pPr>
        <w:spacing w:after="0" w:line="2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majority of our marine segment activity consists of spot sales. Our cost of fuel is generally tied to spot pricing or market</w:t>
      </w:r>
      <w:r>
        <w:rPr>
          <w:rFonts w:ascii="MS PGothic" w:cs="MS PGothic" w:eastAsia="MS PGothic" w:hAnsi="MS PGothic"/>
          <w:sz w:val="18"/>
          <w:szCs w:val="18"/>
          <w:color w:val="auto"/>
        </w:rPr>
        <w:t>‑</w:t>
      </w:r>
      <w:r>
        <w:rPr>
          <w:rFonts w:ascii="Arial" w:cs="Arial" w:eastAsia="Arial" w:hAnsi="Arial"/>
          <w:sz w:val="18"/>
          <w:szCs w:val="18"/>
          <w:color w:val="auto"/>
        </w:rPr>
        <w:t>based formulas or is government controlled. We also contract with third parties to provide various services for our customers, including fueling of vessels in ports and at sea, and transportation and delivery of fuel and fuel-related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Segment</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land related services include management services for the procurement of fuel and price risk management. We primarily conduct these activities throughout most of the U.S. as well as parts of the U.K. and Brazil. We also offer advisory and fulfillment solutions with respect to power, natural gas and other energy products through Kinect, our global energy management solutions business.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offer transaction management services, which include card payment solutions, merchant processing services, payment solutions for tolls across Europe, government payment systems for global fuel procurement and commercial payment programs.</w:t>
      </w:r>
    </w:p>
    <w:p>
      <w:pPr>
        <w:spacing w:after="0" w:line="19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connection with our fuel marketing activities, we serve as a reseller, and in those instances we purchase fuel from a supplier and contemporaneously resell it to our customers through spot and contract sales. The fuel is generally delivered to our customers directly or to a designated tanker truck loading terminal commonly referred to as “racks,” which are owned and operated by our suppliers or other third</w:t>
      </w:r>
      <w:r>
        <w:rPr>
          <w:rFonts w:ascii="MS PGothic" w:cs="MS PGothic" w:eastAsia="MS PGothic" w:hAnsi="MS PGothic"/>
          <w:sz w:val="18"/>
          <w:szCs w:val="18"/>
          <w:color w:val="auto"/>
        </w:rPr>
        <w:t>‑</w:t>
      </w:r>
      <w:r>
        <w:rPr>
          <w:rFonts w:ascii="Arial" w:cs="Arial" w:eastAsia="Arial" w:hAnsi="Arial"/>
          <w:sz w:val="18"/>
          <w:szCs w:val="18"/>
          <w:color w:val="auto"/>
        </w:rPr>
        <w:t>parties. We also maintain inventory in certain strategic locations, including pipelines. Our cost of fuel is generally tied to market</w:t>
      </w:r>
      <w:r>
        <w:rPr>
          <w:rFonts w:ascii="MS PGothic" w:cs="MS PGothic" w:eastAsia="MS PGothic" w:hAnsi="MS PGothic"/>
          <w:sz w:val="18"/>
          <w:szCs w:val="18"/>
          <w:color w:val="auto"/>
        </w:rPr>
        <w:t>‑</w:t>
      </w:r>
      <w:r>
        <w:rPr>
          <w:rFonts w:ascii="Arial" w:cs="Arial" w:eastAsia="Arial" w:hAnsi="Arial"/>
          <w:sz w:val="18"/>
          <w:szCs w:val="18"/>
          <w:color w:val="auto"/>
        </w:rPr>
        <w:t>based formulas.</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each of the years presented on the consolidated statements of income and comprehensive income, none of our customers accounted for more than 10% of total consolidated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globally across industries that are highly fragmented with numerous competitors. Our competitors range in size and complexity from large multinational corporations, principally major oil producers, which have significantly greater capital resources, to relatively small and specialized firms. We compete with major oil producers that market fuel directly to the large commercial airlines, shipping companies and petroleum distributors operating in the land transportation market as well as fuel resellers. We believe that our extensive market knowledge, worldwide footprint, logistics expertise, and the use of price risk management offerings give us the ability to compete within those markets.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 Financial information with respect to our business segments and the geographic areas of our business is provided below and within Note 12 to the accompanying consolidated financial statements included in this 2016 10-K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operating results are subject to seasonal variability. Our seasonality results from numerous factors, including traditionally higher demand for natural gas and home heating oil during the winter months and aviation and land fuel during the summer months, as well as other seasonal weather patterns. As such, our results of operations may fluctuate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business activities are subject to substantial regulation by federal, state and local government agencies, inside and outside of the U.S., which enforce laws and regulations governing the transportation, sale, storage and disposal of fuel and the collection, transportation, processing, storage, use and disposal of hazardous substances and wastes, including waste oil and petroleum products. For example, U.S. federal and state environmental laws applicable to us include statutes that: (i) allocate the cost of remedying contamination among specifically identified parties and prevent future contamination; (ii) impose national ambient standards and, in some cases, emission standards, for air pollutants that present a risk to public health or welfare; (iii) govern the management, treatment, storage and disposal of hazardous wastes; and (iv) regulate the discharge of pollutants into waterways. International treaties also prohibit the discharge of petroleum products at sea. The penalties for violations of environmental laws include injunctive relief, recovery of damages for injury to air, water or property, and fines for non</w:t>
      </w:r>
      <w:r>
        <w:rPr>
          <w:rFonts w:ascii="MS PGothic" w:cs="MS PGothic" w:eastAsia="MS PGothic" w:hAnsi="MS PGothic"/>
          <w:sz w:val="18"/>
          <w:szCs w:val="18"/>
          <w:color w:val="auto"/>
        </w:rPr>
        <w:t>‑</w:t>
      </w:r>
      <w:r>
        <w:rPr>
          <w:rFonts w:ascii="Arial" w:cs="Arial" w:eastAsia="Arial" w:hAnsi="Arial"/>
          <w:sz w:val="18"/>
          <w:szCs w:val="18"/>
          <w:color w:val="auto"/>
        </w:rPr>
        <w:t>compliance. See “Item 1A – Risk Factors,” and “Item 3 – Legal Proceedings.”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also be affected by new environmental laws and regulations that will apply to us or our customers in the future, some of which could increase the cost or reduce the demand for our products and services. For example, due to concern over the risk of climate change, a number of countries have adopted, or are considering the adoption of, regulatory frameworks to reduce greenhouse gas ("GHG") emissions. In the U.S., the U.S. Environmental Protection Agency has finalized rules requiring the reporting of GHG emissions by petroleum product suppliers and facilities meeting certain annual emissions thresholds and to regulate emissions from major sources of GHGs under the Clean Air Act. In other countries, proposed regulations include adoption of cap and trade regimes, carbon taxes, restrictive permitting, increased efficiency standards, and incentives or mandates for renewable energy. Although the ultimate impact of these or other future measures is difficult to accurately predict, they could make our products more expensive or reduce demand for petroleum products, as well as shift demand toward relatively lower-carbon sources. This, in turn, could affect our operations, earnings and competitive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Examples of forward-looking statements in this 2016 10-K Report include, but are not limited to, our expectations about the conditions in the marine, land and aviation markets, cost reduction initiatives, the timing, cost and benefits of our multi-year project and upgrade of our Enterprise Resource Planning (“ERP”) platform, the timing for closing the acquisition of assets from ExxonMobil affiliates and funding of the purchase price, as well as expectations regarding our government business, our business strategy, business prospects, operating results, effectiveness of internal controls to manage risk, working capital, liquidity, capital expenditure requirements and future acquisitions. Important assumptions relating to the forward-looking statements include, among others, assumptions regarding our ability to obtain required consents and satisfy closing conditions in acquisitions, our ability to capitalize on new market opportunities, the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3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market price of fuel;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63"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including a continuation of the global economic instability and its impact on the airline and shipping industries;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and other global market impacts associated with U.K. referendum vote to exit from the European Union;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benefits of any cost savings;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natural disasters, such as hurricanes;</w:t>
      </w:r>
    </w:p>
    <w:p>
      <w:pPr>
        <w:spacing w:after="0" w:line="63"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63" w:lineRule="exact"/>
        <w:rPr>
          <w:rFonts w:ascii="Arial" w:cs="Arial" w:eastAsia="Arial" w:hAnsi="Arial"/>
          <w:sz w:val="18"/>
          <w:szCs w:val="18"/>
          <w:color w:val="auto"/>
        </w:rPr>
      </w:pPr>
    </w:p>
    <w:p>
      <w:pPr>
        <w:ind w:left="660" w:right="8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or foreign tax laws, interpretations of such laws, or changes in the mix of taxable income among different tax jurisdictions;</w:t>
      </w:r>
    </w:p>
    <w:p>
      <w:pPr>
        <w:spacing w:after="0" w:line="34"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63"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and those described from time to time in our other filings with the SEC.</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2016 10-K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the Company following this report that modify or impact any of the forward-looking statements contained in or accompanying this 2016 10-K Report will be deemed to modify or supersede such forward-looking statements.</w:t>
      </w:r>
    </w:p>
    <w:p>
      <w:pPr>
        <w:spacing w:after="0" w:line="200" w:lineRule="exact"/>
        <w:rPr>
          <w:sz w:val="20"/>
          <w:szCs w:val="20"/>
          <w:color w:val="auto"/>
        </w:rPr>
      </w:pPr>
    </w:p>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We extend credit to most of our customers in connection with their purchase of fuel and services from us, and our business, financial condition, results of operations and cash flows will be adversely affected if we are unable to collect accounts receivable. </w:t>
      </w:r>
      <w:r>
        <w:rPr>
          <w:rFonts w:ascii="Arial" w:cs="Arial" w:eastAsia="Arial" w:hAnsi="Arial"/>
          <w:sz w:val="18"/>
          <w:szCs w:val="18"/>
          <w:color w:val="auto"/>
        </w:rPr>
        <w:t>Our success in attracting customers has been due, in part, to our willingness to extend credit on an unsecured basis to customers as opposed to requiring prepayment, letters of credit or other forms of credit support. While no single customer represents more than 10% of our total consolidated revenue, diversification of credit risk is limited to the aviation, marine and land transportation industries within which we primarily do business.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exposure to credit losses will depend on the financial condition of our customers and other macroeconomic factors beyond our control, such as deteriorating conditions in the world economy or in the industries we serve, changes in oil prices and political instability. While we actively manage our credit exposure and work to respond to both changes in our customers’ financial conditions or macroeconomic events, there can be no guarantee we will be able to successfully mitigate all of these risks. Credit losses, if significant, could have a material adverse effect on our business, financial condition, results of operations and cash flows.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business is dependent on our ability to adequately finance our capital requirements and fund our investments, which if not available to us would impact our ability to conduct our operations.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rely on credit arrangements with banks, suppliers and other parties as a significant source of liquidity for capital requirements not satisfied by operating cash flow. Future market volatility, generally, and persistent weakness in global energy markets may adversely affect our ability to access capital and credit markets or to obtain funds at low interest rates or on other advantageous terms. If we are unable to obtain credit as and when we need it on commercially reasonable terms or at all, such as in the event there is a substantial tightening of the global credit markets, a significant increase in interest rates or a significant reduction in supplier trade credit, it could have a negative impact on our business, financial condition, and cash flows, as well as our future development and growth. Furthermore, if we are unable to obtain debt financing and instead raise capital through an equity issuance, existing shareholders would be diluted. Even if we are able to obtain financing, the restrictions our creditors may place on our operations or our increased interest expense and leverage could limit our ability to grow.</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our cash equivalents, principally consisting of overnight investments, bank money market accounts and bank time deposits are subject to credit, liquidity, market and interest rate risk, which can be exacerbated by volatility in the capital markets. Adverse changes in this respect can result in the decline of the fair value of our cash equivalents and therefore our liquidity, which could materially affect our business, financial condition, results of operations and cash flows.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derivatives transactions with customers, suppliers, merchants and financial institutions expose us to price and credit risks, which could have a material adverse effect on our business.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price risk management services, we offer to customers various pricing structures for the purchase of fuel, including derivatives products designed to hedge exposure to fluctuations in fuel prices. In the ordinary course of business, we enter into fixed forward contracts with some of our counterparties under which we agree to sell or purchase certain volumes of fuel at fixed prices. In addition, we may act as a counterparty in over-the-counter swap transactions with some of our customers where the customer may be required to pay us in connection with changes in the price of fuel. Further, we may use derivatives to hedge price risks associated with our fuel inventories and purchase and sale commitments. We typically hedge our price risk in any of the foregoing types of transactions by entering into derivative instruments with large energy companies, trading houses and financial institutions, on either secured or unsecured terms.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we have not required a customer to post collateral in connection with a fixed forward contract or swap transaction and there is an outstanding mark-to-market liability owing, we will have effectively extended unsecured credit to that customer. Based on the volatility of fuel prices, our counterparties may not be willing or able to fulfill their obligations to us under their fixed forward contracts or swap transactions. In such cases, we would be exposed to potential losses or costs associated with any resulting default. For example, in the event the spot market price of fuel at the time of delivery is significantly less than the fixed price of the contract with the customer, a customer could default on its purchase obligation to us and purchase the fuel at the current lower spot market rate from another supplier. Meanwhile, we may have entered into a corresponding commitment with a supplier to offer our customer specified fixed pricing or terms and would be obligated to perform our fixed price purchase obligations to such supplier. Similarly, the counterparties with whom we may hedge our price risk exposure may not be willing or able to fulfill their obligations to us under their swap transactions.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generally attempt to structure our agreements such that we are able to recover from the non-performing counterparty, we may not always be able to recover any losses or costs we may incur as a result of such counterparty’s default and may be exposed to claims for damages, penalties or other costs. While we monitor and manage credit exposures for this purpose, credit defaults may still occur and the actual recovery will depend on the financial condition of that counterparty. Accordingly, should any counterparty fail to honor its obligations under our agreements, we could sustain significant losses that would have a material adverse effect on our business, financial condition, results of operations and cash flows.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We are exposed to various risks in connection with our use of derivatives which could have a material adverse effect on our results of operations.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financial derivative contracts to mitigate the risk of market price fluctuations in fuel products, to offer our customers fuel pricing alternatives to meet their needs, to manage price exposures associated with our inventories, and to mitigate the risk of fluctuations in foreign currency exchange rates. However, our efforts to hedge our exposure to fuel price and exchange rate fluctuations could be ineffective in certain instances. For example, we hedge jet fuel prices with derivatives tied to other petroleum products that have historically been correlated to aviation jet fuel (e.g. heating oil in the United States or gasoil in Europe or Asia). If the price of aviation jet fuel at a specific location experiences a divergence to historical correlations, our attempts to mitigate price risk associated with our aviation business may not be effective. Moreover, there may be times where the change in the price of jet fuel at a specific location is disrupted (e.g. hurricanes) and is not correlated to the underlying hedges when compared to historical prices.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also enter into proprietary derivative transactions, which are transactions which are not intended to hedge our own risk but rather to make a profit by capitalizing on arbitrage opportunities associated with basis, time, quality or geographic spreads related to fuel products we sell. Proprietary derivative transactions, by their nature, expose us to adverse changes in commodity prices in relation to the proprietary positions taken. Although we have established limits on such exposure, any adverse changes could result in losses. The risks we face because of proprietary positions can be exacerbated by volatility in the financial and other markets. In addition, we may fail to adequately manage our risks or could otherwise incur losses if our employees fail to comply with our policies and procedures with respect to hedging or proprietary trading by engaging, for example, in unauthorized trading activity, failing to hedge a specific price risk or failing to observe limits on exposure, which could subject us to financial losses that would have a material adverse effect on our business, financial condition, results of operations and cash flows.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the majority of our derivatives are not designated as hedges for accounting purposes, and we therefore recognize changes in the fair market value of these derivatives as a component of revenue or cost of revenue (based on the underlying transaction type) in our consolidated statements of income and comprehensive income. Since the fair market value of these derivatives is marked to market at the end of each quarter, changes in the value of our derivative instruments as a result of gains or losses may cause our earnings to fluctuate from period to period.</w:t>
      </w: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If we fail to comply with laws or other government regulations applicable to our operations, we could suffer penalties or costs that could have a material adverse effect on our business.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required to comply with extensive and complex laws and other regulations in the countries in which we operate at the international, federal, state/provincial and local government levels relating to, among other things:</w:t>
      </w:r>
    </w:p>
    <w:p>
      <w:pPr>
        <w:spacing w:after="0" w:line="19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transportation, handling and delivery of fuel and fuel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operation of fuel storage, blending and distribution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workplace safety;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fuel spillage or seepage;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and data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payment card industry data security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contracting and procurement;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anti-trust and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anti-money laundering and statutes and regulations governing the transmission of 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reporting and licensing;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hazardous waste disposal.</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Due to the complex and technical nature of these laws and regulations, inadvertent violations may occur. If we fail to comply with these laws or regulations for any reason, we would be required to correct or implement measures to prevent a recurrence of any violations, which could increase our operating costs. If more serious violations were to occur, we could be subject to substantial fines or penalties or to civil or criminal liability. In addition, compliance with existing and future laws regulating the delivery of fuel by barge, truck, vessel or railcar, fuel storage terminals and underground storage tanks that we own, lease or operate may require significant capital expenditures and increased operating and maintenance costs, particularly as we acquire business with more physical assets. For example, rail incidents in the last several years have led and are likely to continue to lead to additional governmental regulation of rail shipments of crude oil and other fuel products in Canada and the United States and to increased safety standards for the railcars that transport these products, including specifications mandating modified railcar designs, configurations, materials, and equipment. These regulations, together with the decline in crude oil prices, have caused a number of railcars to be left idle by market participants and the market for these railcars has diminished significantly causing a significant decline in their value. We lease a significant number of railcars under long-term leases and these regulations could result in higher operating costs for us, such as if we are required to pay for the modifications to railcars we lease or if such railcars are deemed obsolete and we are unable to sublease them or find an alternate use. Any of these circumstances could have a material adverse affect on our operating results.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the extent that we use third parties in our operations, we are also subject to the risk that we would be held accountable for the failure of these third parties to comply with the laws and regulations of the U.S. and various international jurisdictions. Any significant fines and costs incurred as a result of such regulations could have a material adverse effect on our business and results of operations.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failure to comply with U.S. or foreign tax laws or a government challenging our tax position could adversely affect our business and future operating results.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affected by various U.S. and foreign taxes, including income taxes and taxes imposed on the purchase and sale of aviation, marine and land fuel products, such as sales, excise, value added tax ("VAT"), energy, environmental and other taxes. From time to time, we may also benefit from special tax concessions in certain jurisdictions. For example, we have operated under a special income tax concession in Singapore since 2008 which is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derivative gains and losses. The impact of this income tax concession decreased (increased) foreign income taxes by $2.7 million, $(7.7) million and $ 6.3 million for 2016, 2015 and 2014, respectively. The impact of the income tax concession on a diluted earnings per common share basis was $0.04 for 2016, $(0.11) for 2015 and $0.09 for 2014. Changes in U.S. and foreign tax laws, our failure to comply with such laws or the loss of tax concessions could adversely affect our business, financial condition, results of operations and cash flows.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significant judgment is required in determining our worldwide provision for income taxes. In the ordinary course of our business, there are many transactions and calculations where the ultimate tax determination is uncertain. Our tax expense includes estimates of additional tax that may be incurred for tax exposures and reflects various estimates and assumptions, including assessments of future earnings that could affect the valuation of our net deferred tax assets. Our operating results could be adversely affected by changes in the effective tax rate as a result of a change in the mix of earnings in countries with differing statutory tax rates, changes in our overall profitability, changes in tax legislation, the results of audits and examinations of previously filed tax returns and continuing assessments of our income tax exposures.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From time to time, we are under review by the Internal Revenue Service and various other domestic and foreign tax authorities with regards to income tax and indirect tax matters and are involved in various challenges and litigation in a number of countries, including, in particular, the U.S., Brazil and South Korea, where the amounts under controversy may be significant. We are in the process of contesting a number of these tax assessments in several administrative and legal proceedings, which are at various stages of appeal. In addition, in some jurisdictions these challenges require the posting of collateral or payment of the contested amount which may affect our flexibility in operating our business or our liquidity. If these assessments are ultimately determined adversely to us, these proceedings may have a material adverse effect on our business, results of operations, financial condition or prospects. Furthermore, any failure to comply with applicable laws and regulations or appropriately resolve these challenges could subject us to administrative, civil, and criminal remedies, including fines, penalties, disgorgement, injunctions and damage to our reputation. See notes 8 and 10 of the accompanying consolidated financial statements for additional details regarding certain tax matters.</w:t>
      </w:r>
    </w:p>
    <w:p>
      <w:pPr>
        <w:spacing w:after="0" w:line="21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Finally, we earn a significant amount of our operating income from outside the U.S., and any repatriation of funds currently held in foreign jurisdictions to the U.S. may result in higher effective income tax rates for the Company. Further, recent developments, including proposals to change U.S. income tax laws regarding how U.S. multinational corporations are taxed on foreign earnings, investigations by the European Commission on illegal state aid, the project by the Organisation for Economic Co-operation and Development (“OECD”) on Base Erosion and Profit Shifting (“BEPS”) and other initiatives, could adversely affect our worldwide effective tax rate. With the finalization of specific actions contained within the OECD’s BEPS study, many OECD countries have acknowledged their intent to implement the actions and update their local tax laws. The extent (if any) to which countries in which we operate adopt and implement these actions could have a material adverse impact on our effective tax rate, income tax expense, financial condition, and results of operations and cash flows.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Due to our international operations, we are subject to U.S. and international laws, including U.S. economic sanctions, the Foreign Corrupt Practices Act (“FCPA”) and similar anti-bribery laws, which can impose significant compliance costs and subject us to civil or criminal penalties for non-compliance.</w:t>
      </w:r>
    </w:p>
    <w:p>
      <w:pPr>
        <w:jc w:val="both"/>
        <w:spacing w:after="0" w:line="251" w:lineRule="auto"/>
        <w:rPr>
          <w:sz w:val="20"/>
          <w:szCs w:val="20"/>
          <w:color w:val="auto"/>
        </w:rPr>
      </w:pPr>
      <w:r>
        <w:rPr>
          <w:rFonts w:ascii="Arial" w:cs="Arial" w:eastAsia="Arial" w:hAnsi="Arial"/>
          <w:sz w:val="18"/>
          <w:szCs w:val="18"/>
          <w:color w:val="auto"/>
        </w:rPr>
        <w:t>Doing business on a worldwide basis requires us to comply with the laws and regulations of the U.S. government and various international jurisdictions. These regulations place restrictions on our operations, trade practices and partners and investment decisions. In particular, our international operations are subject to U.S. and foreign anti-corruption laws and regulations, such as the FCPA and the U.K. Anti Bribery Act, and economic sanction programs administered by the U.S. Treasury Department’s Office of Foreign Assets Control (“OFAC”). The FCPA prohibits us from providing anything of value to foreign officials for the purposes of improperly influencing official decisions or improperly obtaining or retaining business and the U.K. Anti Bribery Act prohibits bribery both in the U.K. and internationally, as well as bribery across public and private sectors. As part of our business, we regularly deal with state owned enterprises, the employees of which may be considered foreign officials for purposes of the FCPA. In addition, some of the international jurisdictions in which we operate lack a developed legal system and have higher than normal levels of corruption. Our activities in these countries create the risk of improper payments or offers of payments by one of our employees or other parties acting on our behalf.</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Furthermore, international trade controls, including economic sanctions, export controls and anti-boycott regulations, are complex, restrict our business dealings with certain countries and individuals, and are constantly changing. Further restrictions may be enacted, amended, enforced or interpreted in a manner that materially impacts our operations. From time to time, certain of our subsidiaries have limited business dealings in countries subject to comprehensive OFAC administered sanctions. These business dealings currently represent an insignificant amount of our consolidated revenue and income and generally consist of the provision of services pursuant to licenses issued by OFAC or as otherwise permitted by applicable sanctions regulations. As a result of the above activities, we are exposed to a heightened risk of violating anti-corruption laws and trade control regulations. Violations of these regulations are punishable by civil penalties, including fines, denial of export privileges, injunctions, asset seizures, debarment from government contracts and revocations or restrictions of licenses, as well as criminal fines and imprisonment.</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established policies and procedures designed to assist with our compliance with applicable U.S. and international laws and regulations. However, these policies and procedures may not effectively prevent us from violating these regulations in every transaction in which we may engage, and such a violation could adversely affect our reputation, business, financial condition, results of operations and cash flows. In addition, such a violation could also cause an event of default under our Credit Facility, which if not waived, could result in the acceleration of any outstanding indebtedness, could trigger cross defaults under other agreements to which we are a party (such as certain derivative contracts), and would impair our ability to obtain working capital advances and letters of credit. Such events could adversely affect our business, financial condition, results of operations and cash flows. Finally, various state and municipal governments, universities and other investors maintain prohibitions or restrictions on investments in companies that do business with sanctioned countries, which could adversely affect the market for our securities.</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past, we have received administrative subpoenas from OFAC requesting information regarding our transactions in countries that are the subject of U.S. sanctions. In responding to these subpoenas, we identified a limited number of transactions that may have resulted in violations of U.S. sanctions regulations or our OFAC issued licenses. In each of these responses, we noted that the transactions identified as potential violations resulted in very small amounts of revenue to us. We routinely take actions to further strengthen our compliance-related policies and procedures. Nevertheless, should OFAC determine that any activities constituted violations of U.S. sanctions regulations, civil penalties, including fines, could be assessed against us. Additionally, in the course of its ongoing reviews, OFAC could request additional information from us, in the form of additional subpoenas or otherwise, and we intend to fully cooperate with any such additional subpoenas or requests. We cannot predict the ultimate outcome of any OFAC review, the total costs to be incurred in response to these reviews, the potential impact on our personnel, the effect of implementing any further measures that may be necessary to ensure full compliance with U.S. sanctions regulations or to what extent, if at all, we could be subject to fines, sanctions or other penalties.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who fail to provide products or services to us or our customers as agreed could harm our business.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purchase fuel and other products from suppliers and resell to customers. If the fuel and other products we sell fail to meet the specifications we have agreed to with customers, we could incur significant liabilities if such products cause physical damage to a vessel or aircraft or result in other losses such that a customer initiates a claim or a lawsuit for which we settle or results in a decision against us. In addition, our relationship with our customers could be adversely affected and adverse publicity about any allegations of contaminated products may negatively affect us, regardless of whether the allegations are true. Although in most cases we have recourse against our suppliers for products that fail to meet contractual specifications, such recourse cannot be assured and may be costly to enforce. For example, several of our supply agreements are with foreign entities, including foreign governments, and are governed by the laws of foreign jurisdictions. If a supplier breaches such agreement, then we may incur the additional costs of determining our rights and obligations under the agreement, under applicable foreign laws, and enforcing an agreement in a foreign jurisdiction. Any significant liability in excess of any applicable insurance coverage could have a material adverse effect on our business, financial condition, results of operations and cash flows.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use third parties to provide various services to our customers, including into plane fueling at airports, fueling of vessels in port and at sea and delivering land based fuel. The failure of these third parties to perform these services in accordance with contractual terms for any reason, such as their inability to supply specified fuel or an interruption of their business because of weather, environmental or labor difficulties or political unrest, could affect our relationships with our customers and subject us to claims and other liabilities that could have a material adverse effect on our business, financial condition, results of operations and cash flows.</w:t>
      </w: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fuel storage and transportation operations have inherent risks that could negatively impact our stock price, results of operations and financial condition.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Operating fuel storage and distribution terminals and transporting fuel products involve inherent risks including:</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oil spills and other environmental mishaps;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fires, collisions and other catastrophic disasters;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injuries and loss of life;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severe damage to and destruction of property and equipment;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product and business interruption.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Damage arising from such occurrences have in the past resulted, and may in the future result, in fines and significant third party claims. We generally maintain insurance to mitigate these types of costs, however our insurance may not be sufficient to cover the liabilities we might suffer from the occurrence of one or more of the risks described above.</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if we are involved in a spill, leak, fire or other accident involving hazardous substances or if there are releases of fuel or fuel products we own or have custody of, our operations could be disrupted. We could also be subject to material liabilities, such as the cost of investigating and remediating contaminated properties or claims by customers, employees or others who may have been injured, or whose property may have been damaged. These liabilities, to the extent not covered by insurance, could have a material adverse effect on our business, financial condition, results of operations and cash flows. Some environmental laws impose strict liability, which means we could have liability without regard to whether we were negligent or at fault. Any of these occurrences, and any resulting negative media coverage, could have a material adverse effect on our stock price and on our business, financial condition, results of operations and cash flows.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Information technology failures and data security breaches, including as a result of cybersecurity attacks, could negatively impact our results of operations and financial condition, subject us to increased operating costs, and expose us to litigation.</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on our computer systems and network infrastructure across our operations. Despite our implementation of security and back-up measures, all of our technology systems are vulnerable to damage, disability or failures due to physical theft, fire, power loss, telecommunications failure, operational error, or other catastrophic events. Our technology systems are also subject to cybersecurity attacks including malware, other malicious software, phishing email attacks, attempts to gain unauthorized access to our data, the unauthorized release, corruption or loss of our data, loss or damage to our data delivery systems, and other electronic security breaches. Due to the large number of transactions that run through our systems each day, significant system down-time or slow-down could have a material impact on our ability to conduct business, process and record transactions, as well as make operational and financial decisions. In addition, as we continue to grow the volume of transactions in our businesses, our existing IT systems infrastructure, applications and related functionality may be unable to effectively support a larger scale operation, which can cause the information being processed to be unreliable and impact our decision-making or damage our reputation with customers.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our own vulnerabilities, our reliance on email transmissions over public networks to process certain transactions exposes us to risks associated with the failure of our customers, business partners and other third parties to use appropriate controls to protect sensitive information, as well as to risks of on-line fraud and email scams. Furthermore, despite our efforts to ensure the integrity of our systems and prevent future cybersecurity attacks, it is possible that our business, financial and other systems could be compromised, especially because such attacks can originate from a wide variety of sources including persons involved in organized crime or associated with external service providers. Those parties may also attempt to fraudulently induce employees, customers or other users of our systems to disclose sensitive information in order to gain access to our data or use electronic means to induce the company to enter into fraudulent transactions. Past and future occurrences of such attacks could damage our reputation and our ability to conduct our business, impact our credit and risk exposure decisions, cause us to lose customers or revenues, subject us to litigation and require us to incur significant expense to address and remediate or otherwise resolve these issues, which could have a material adverse effect on our business, financial condition, results of operations and cash flows.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maintain insurance to protect against cybersecurity risks and incidents. However, insurance coverage may not available in the future on commercially reasonable terms or at commercially reasonable rates. In addition, insurance coverage may be insufficient or may not cover certain of these cybersecurity risks and, even if available, the insurance proceeds received for any loss or damage may be insufficient to cover our losses or liabilities without materially adversely affecting our business, financial condition and results of operations.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The personal information that we collect may be vulnerable to breach, theft, loss or misuse that could increase operational costs, result in regulatory penalties and adversely affect our results of operation and financial condition.</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various businesses we operate, such as our transaction management and payment processing businesses, we have access to sensitive, confidential or personal data or information from our employees, customers (both corporate and individual consumers), suppliers and other third parties, some of which may be subject to privacy and security laws, regulations and customer imposed controls. In the ordinary course of business, we collect, process, transmit and retain sensitive information regarding these parties. Despite our efforts to protect this information, our facilities and systems and those of our third party service providers may be vulnerable to security breaches, theft, misplaced or lost data and programming and human errors that could potentially lead to such information being compromised.</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Failure to adequately protect this information could lead to substantial fines, penalties, third party liability, remediation costs, potential cancellation of existing contracts and inability to compete for future business. Due to legislative and regulatory rules, we may be required to notify the owners of such information of any data breaches, which could harm our business relationships, reputation and financial results, as well as subject us to litigation or actions by regulatory authorities. Furthermore, there has been heightened legislative and regulatory focus on data security in the U.S. and abroad (particularly in the European Union). Significant changes in applicable regulations may require us to make costly changes to our systems. Although we have taken steps to address these concerns by implementing network security and internal control measures, these steps may not prevent a data security breach and any data security breach may have a material adverse effect on our business, financial condition, results of operations and cash flows.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Business acquisitions and strategic investments, such as joint venture arrangements, present increased risks and uncertainties, which if realized, could result in costs that outweigh the financial benefit of such opportunities.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our growth strategy, we have been acquisitive and intend to continue to pursue acquisition opportunities of fuel resellers, logistics and transaction management and payment processing companies, energy management businesses, as well as other service and technology businesses. However, our ability to successfully implement our growth strategy depends on our ability to find attractive acquisition candidates or strategic investments, consummate such transactions on economically acceptable terms and, if necessary, finance such transactions on economically acceptable terms. From time to time, we may also enter into joint venture arrangements, equity investments intended to complement or expand our business, or may pursue organic growth initiatives, as well as divest of certain of our businesses or assets. These types of transactions can pose substantial risks and liabilities associated with their operations, as well as the risk that our relationships with our partners do not succeed in the manner that we anticipate. Even if we are successful in acquiring these businesses or consummating these strategic investments, we could be exposed to additional business and operating risks and uncertainties, including:</w:t>
      </w:r>
    </w:p>
    <w:p>
      <w:pPr>
        <w:spacing w:after="0" w:line="213" w:lineRule="exact"/>
        <w:rPr>
          <w:sz w:val="20"/>
          <w:szCs w:val="20"/>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integrate the operations, financial reporting, and personnel of acquired companies and manage acquired businesses or strategic investments, while maintaining uniform standards and controls;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our investment and anticipated synergies in the acquired businesses or strategic investments;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diversion of management’s time and attention from other business concerns, the potentially negative impact of changes in management on existing business relationships and other disruptions of our business;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entering into businesses or markets in which we may have no or limited direct prior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loss of key employees, customers or suppliers of the acquired businesses;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our liquidity resulting from a significant portion of our available cash or borrowing capacity being used to fund acquisitions and a corresponding increase in our interest expense or financial leverage if we incur additional debt to fund acquisitions;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integrate the IT systems of acquired businesses into our existing IT infrastructure and manage those systems that cannot be effectively integrated;</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requirement to write down acquired assets as a result of the acquired business or strategic investment being worth less than we paid or invested in it;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 requirements exceeding our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an acquisition or strategic investment could reduce our future earnings; and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assumption of material liabilities, exposure to litigation, regulatory noncompliance or unknown liabilities, and no or limited indemnities from sellers or ongoing indemnity obligations to purchasers.</w:t>
      </w:r>
    </w:p>
    <w:p>
      <w:pPr>
        <w:spacing w:after="0" w:line="19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These risks may result in an adverse effect on our results of operations or financial condition or result in costs that outweigh the financial benefit of such opportunities.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these acquisitions or strategic investments may result in us incurring substantial additional indebtedness and other expenses or consummating potentially dilutive issuances of equity securities to fund the required capital investment. This could adversely affect the market price of our common stock, inhibit our ability to pay dividends or otherwise restrict our operations.</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Adverse conditions in the aviation, marine and land transportation industries may have a material adverse effect on our business. </w:t>
      </w:r>
      <w:r>
        <w:rPr>
          <w:rFonts w:ascii="Arial" w:cs="Arial" w:eastAsia="Arial" w:hAnsi="Arial"/>
          <w:sz w:val="18"/>
          <w:szCs w:val="18"/>
          <w:color w:val="auto"/>
        </w:rPr>
        <w:t>Our business is focused on the marketing of fuel and other related products and services primarily to the aviation, marine and land transportation industries, which are generally affected by economic cycles. Therefore, weak economic conditions can have a negative impact on the business of our customers which may, in turn, have an adverse effect on our business. For example, during 2016, our marine segment was significantly impacted by the economic conditions adversely affecting the maritime industry. In addition, any political instability, natural disasters and other weather-related events, terrorist activity or military action that disrupts shipping, flight operations or land transportation will adversely affect our customers and may reduce the demand for our products and services. Our business could also be adversely affected by increased merger activity in the aviation, marine or land transportation industries, which may reduce the number of customers that purchase our products and services, as well as the prices we are able to charge for such products and services.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the aviation, marine and land transportation industries are subject to continuing changes in laws and regulations, including environmental regulations mandating or incentivizing alternative energy sources or attempting to control or limit emissions and pollution. For example, amendments to the International Convention for the Prevention of Pollution from Ships, or MARPOL, established a phased reduction of the sulfur content in fuel oil and allows for stricter sulfur limits in designated emission control areas. Further changes in laws and regulations applicable to international and national maritime trade are expected over the coming years. Complying with these and other laws and regulations may require capital expenditures by our customers or otherwise increase our customers’ operating costs, which could in turn, reduce the demand for our products and services or impact the pricing or availability of the products we sell. Although the ultimate impact of any regulations is difficult to predict accurately, they could have a material adverse effect on our business or on the businesses of our customers.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business is subject to seasonal variability, which can cause our revenues and operating results to fluctuate and adversely affect the market price of our shares.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operating results are subject to seasonal variability. Our seasonality results from numerous factors, including traditionally higher demand for natural gas and home heating oil during the winter months and aviation and land fuel during the summer months, as well as other seasonal weather patterns. As such, our results for the fourth and first quarters of the year tend to be the strongest while the second quarter is generally the weakest. However, extreme or unseasonable weather conditions could significantly reduce demand for our products and services which can, in turn, adversely impact our results of operations. There can be no assurance that seasonal variability factors will continue in future periods. Accordingly, results for any one quarter may not necessarily be indicative of the results that may be achieved for any other quarter or for the full fiscal year. These seasonal fluctuations in our quarterly operating results may adversely affect the market price of our shares.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We are subject to unique business risks as a result of selling to government customers and reduced sales to our government customers could adversely affect our profitability.</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Sales to government customers, which includes sales to the U.S. Defense Logistics Agency, the North Atlantic Treaty Organization (NATO), and other government and military customers, account for a significant portion of our profitability, particularly in our aviation segment. A decrease in defense spending as a result of factors such as U.S. and foreign government budget constraints or the withdrawal of armed forces from Afghanistan could result in a significant reduction in sales and related profit in our government services business. Furthermore, due to the nature of these types of conflicts, withdrawals from certain areas may be sudden, subjecting us to losses or higher expenses associated with disposing of unused inventory, removal or abandonment of equipment and relocation of employees. Government contracts are requirements based, and therefore profitability associated with our government services business may fluctuate significantly from time to time as a result of the commencement, extension or completion of existing and new government contracts. As a result of complex logistics and extended payment terms for our government customers, sales of products and services to such customers generally carry higher margins than sales to other customers. Accordingly, a decrease in government sales could contribute disproportionately to a reduction in our gross margin and profitability and such decrease could be sudden. The loss of a significant government customer or a material reduction in sales to government customers would adversely affect our business, financial condition, results of operations and cash flows.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contracting with government customers is inherently complex. Government contracts are subject to specific procurement regulations and a variety of other requirements, which affects how we transact business with our customers and can impose additional costs on our business operations. Government contracts are also generally subject to oversight, including audits and investigations which could identify violations of these agreements or applicable procurement regulations, such as the Federal Acquisition Regulation for contracts with the U.S. federal government. Such violations, including those caused by our subcontractors, could result in a range of consequences including, but not limited to, contract price adjustments, civil and criminal penalties, contract termination, forfeiture of profit and/or suspension of payment, and suspension or debarment from future government contracts. The occurrence of any of these actions could harm our reputation and could have a material adverse impact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market price of fuel may have a material adverse effect on our business.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Fuel prices are impacted by many factors beyond our control,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global crude oil and natural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and actual supply and demand for fuel;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or willingness of the Organization of Petroleum Exporting Countries (“OPEC”) to set and maintain production levels for oil;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 and gas production levels by non-OPEC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geopolitical conditions;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regulations related to environmental matters, including those mandating or incentivizing alternative energy sources or otherwise addressing global climate change;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pricing or production controls by various organizations and oil 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or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energy conservation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and availability of alternative fuels;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fuel prices increase, our customers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to reduce costs or comply with new environmental regulations to obtain associated incentives. For example, in the shipping industry a number of container ships sail at reduced speeds, known as “slow steaming,” to conserve fuel and reduce carbon emissions. In any such event, the volume of orders from our customers may thereafter decrease and we may not be able to replace lost volumes with new or existing customers. In addition, if fuel prices increase, our own credit limits could prevent us from purchasing enough fuel from our suppliers to meet our customers’ demands or could require us to prepay for fuel purchases which would impair our liquidity.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our results of operations and overall profitability. This outcome can be due to a number of factors, including reduced demand from our customers involved in the oil exploration sector and for our price risk management products. Low fuel prices also facilitate increased competition by reducing financial barriers to entry and enabling existing, lower-capitalized competitors to conduct more business as a result of lower working capital requirements.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we maintain fuel inventories for competitive or logistical reasons. Because fuel is a commodity, we have no control over the changing market value of our inventory although we may manage or hedge this price exposure with derivatives. Our inventory is valued using the weighted average cost methodology and is stated at the lower of average cost or market. A rapid decline in fuel prices could cause our inventory value to be higher than market, resulting in our inventory being marked down to market or the inventory itself sold at lower prices. While we attempt to mitigate these fluctuations through hedging, such hedges may not be fully effective. Accordingly, if the market value of our inventory is less than our average cost and to the extent our hedges are not effective at mitigating fluctuations in prices, we could record a write down of inventory on hand and incur a non-cash charge or suffer losses as fuel is sold, which could adversely impact our earnings.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Economic, political and other risks associated with international sales and operations could adversely affect our business and future operating results.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we offer fuel products and services on a worldwide basis, our business is subject to risks associated with doing business internationally. Our business and future operating results could be harmed by a variety of factors, including:</w:t>
      </w:r>
    </w:p>
    <w:p>
      <w:pPr>
        <w:spacing w:after="0" w:line="196" w:lineRule="exact"/>
        <w:rPr>
          <w:sz w:val="20"/>
          <w:szCs w:val="20"/>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protection measures and import, export and other licensing requirements, which could increase our costs or prevent us from doing certain business internationally;</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hiring and retaining senior management for overseas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regulatory requirements, which may be costly and require significant time to implement;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restricting us from repatriating profits earned from our activities within foreign countries, including the payment of distributions;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governmental actions that may result in the deprivation of our contractual rights or the inability to obtain or retain authorizations required to conduct our business;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risks, including changes in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terrorism, war, civil unrest and natural disasters.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particular, we operate in certain international markets which have been plagued by corruption and have uncertain regulatory environments, either of which could have a negative impact on our operations there. Furthermore, many countries in which we operate have historically been, and may continue to be, susceptible to recessions or currency devaluation.</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operate in certain high risk locations that have been experiencing military action, terrorist activity or continued unrest which could disrupt the supply of fuel or otherwise disrupt our operations in those areas. An act of terror could result in disruptions of fuel supply and oil markets, and our facilities could be direct or indirect targets. Terrorist activity may also hinder our ability to transport fuel if our means of transportation become damaged as a result of an attack. In these high risk locations, we may also incur substantial operating costs, including maintaining the safety of our personnel. Furthermore, we cannot guarantee the safety of our personnel in these locations and there is a risk of serious injury or loss of life of employees or subcontractors.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disruptions in the availability or supply of fuel would adversely affect our business.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success of our business depends on our ability to purchase, sell and coordinate delivery of fuel and related services to our customers. Political instability, natural disasters, transportation, terminal or pipeline capacity constraints, terrorist activity, piracy, military action or other similar conditions may disrupt the availability or supply of fuel. Decreased availability or supply of fuel or other petroleum products may have a negative impact on our sales and margins and adversely affect our operating results. In addition, we rely on a single or limited number of suppliers for the provision of fuel and related products and services in certain markets. These parties may have significant negotiating leverage over us, and if they are unable or unwilling to supply us on commercially reasonable terms, our business would be adversely affected.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We face intense competition and, if we are not able to effectively compete in our markets, our revenues and profits may decrease. </w:t>
      </w:r>
      <w:r>
        <w:rPr>
          <w:rFonts w:ascii="Arial" w:cs="Arial" w:eastAsia="Arial" w:hAnsi="Arial"/>
          <w:sz w:val="18"/>
          <w:szCs w:val="18"/>
          <w:color w:val="auto"/>
        </w:rPr>
        <w:t>Competitive pressures in our markets could adversely affect our competitive position, leading to a possible loss of market share or a decrease in prices, either of which could result in decreased revenues and profits. Our competitors are numerous, ranging from large multinational corporations, which have significantly greater capital resources than we do, to relatively small and specialized firms. In addition to competing with resellers, we also compete with the major oil producers that market fuel and other energy products directly to the large commercial airlines, shipping companies and commercial and industrial users. Although many major oil companies have been divesting their downstream assets, some continue to compete with us in certain markets while others may decide to reenter the market in the future. Our business could be adversely affected because of increased competition from these oil companies, who may choose to increase their direct marketing in order to compete with us or provide less advantageous price and credit terms to us than to our fuel reseller competitors.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retain our senior management and key employees, our business and results of operations could be harmed.</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maintain our competitive position is largely dependent on the services of our senior management and key personnel. Although we have employment or severance agreements with certain of our key employees, these agreements do not prevent those individuals from ceasing their employment with us at any time. If we are unable to retain existing senior management and key personnel, or to attract other qualified senior management and key personnel on terms satisfactory to us, our business could be adversely affected. While we maintain key man life insurance with respect to certain members of senior management, our coverage levels may not be sufficient to offset any losses we may incur and there is no assurance that we will continue to maintain key man life insurance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comply with the requirements of our Credit Facility and Term Loans could adversely affect our operating flexibility.</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the ability to borrow money pursuant to a Credit Facility and Term Loans that impose certain operating and financial covenants on us, which restrict our ability to (i) pay dividends, (ii) incur additional debt, (iii) create liens, (iv) make restricted payments, (v) sell assets and (vi) engage in mergers or acquisitions. Our failure or inability to comply with the requirements of these facilities, including meeting certain financial ratios or other covenants, could limit the availability under our Credit Facility or result in an event of default. An event of default, if not cured or waived, would permit acceleration of any outstanding indebtedness under these facilities, could trigger cross defaults under other agreements to which we are a party (such as certain derivative contracts), and would impair our ability to obtain working capital advances and letters of credit, any of which could have a material adverse effect on our business, financial condition, results of operations and cash flows.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color w:val="auto"/>
        </w:rPr>
        <w:t>If we fail to successfully manage the implementation of an upgrade to our global enterprise resource planning (“ERP”) platform, our operations and operating results could be adversely affected.</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2015, we committed to undertake a multi-year project designed to drive greater improvement in operating efficiencies and optimize scalability, particularly when integrating future acquisitions. We will accomplish this in part by a global design and deployment of an upgrade to our existing ERP platform. We are currently in the early planning phase and the costs incurred to date have not been significant. We expect the total cost of the project over the next three years to range between $30.0 million and $40.0 million. If we fail to successfully implement the upgrade to our existing ERP platform, or should we experience material delays in implementation, our ability to grow our business could be adversely affected. Estimating the expenditures related to an upgrade of an ERP platform is highly complex and subject to variables that can significantly increase costs. Should the actual costs exceed our estimates, our liquidity and results of operations could be adversely affected.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operations may be adversely affected by legislation and competition from other energy sources and new or advanced technology.</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Fuel competes with other sources of energy, some of which are less costly on an equivalent energy basis. There are significant governmental incentives and consumer pressures to increase the use of alternative fuels in the United States and abroad. A number of automotive, industrial and power generation manufacturers are developing more fuel efficient engines, hybrid engines and alternative clean power systems using fuel cells or clean burning gaseous fuels. The more successful these alternatives become as a result of governmental incentives or regulations, technological advances, consumer demand, improved pricing or otherwise, the greater the potential negative impact on pricing and demand for our products and services and accordingly, our profitability.</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federal, state, local and/or foreign governments may enact legislation or regulations that attempt to control or limit GHGs such as carbon dioxide. Such laws or regulations could impose costs tied to carbon emissions, operational requirements or restrictions, or additional charges to fund energy efficiency activities. They could also provide a cost advantage to alternative energy sources, result in other costs or requirements, such as costs associated with the adoption of new infrastructure and technology to respond to new mandates, or impose costs or restrictions on end users of fuel. For example, some of our customers in the transportation industry may be required to purchase allowances or offsets or incur other costs to comply with existing or future requirements relating to GHG. Finally, the focus on climate change could also negatively impact the reputation of fuel products or services such as those we offer. The occurrence of any of the foregoing events could put upward pressure on the cost of fuel relative to other energy sources, increase our costs and the prices we charge our customers, reduce the demand for our products, and therefore adversely affect our business, financial condition, results of operations and cash flows.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Insurance coverage for some of our operations may be insufficient to cover losses, which may have a material adverse effect on our financial condition and results of operations.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insurance to cover various risks associated with the operation of our business. Certain risks, however, such as environmental risks, are not fully insurable and our insurance coverage does not cover all potential losses, costs, or liabilities. Accordingly, our insurance policies may not adequately cover or may have exclusions of coverage for certain losses. Therefore, our insurance coverage may not be available or, if available, may not be adequate to cover claims that may arise.</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our ability to obtain and maintain adequate insurance and the cost of such insurance may be affected by significant claims and conditions in the insurance market over which we have no control. If the cost of insurance increases, we may decide to discontinue certain insurance coverage, reduce our level of coverage or increase our deductibles/retentions in order to offset the cost increase. In addition, our existing types and levels of insurance coverage could become difficult or impossible to obtain in the future. The occurrence of an event that is not fully covered by insurance, the loss of insurance coverage or a significant increase in the cost of insurance could have a material adverse effect on our business, financial condition, results of operations and cash flows.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and future litigation could have a material adverse effect on our business and results of operations.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currently, and may in the future be, involved in legal proceedings that arise in the ordinary course of our business. Lawsuits and other administrative or legal proceedings as well as any governmental investigations can involve substantial costs, including the costs associated with investigation, litigation and possible settlement, judgment, penalty or fine. Although we generally maintain insurance to mitigate certain costs, costs associated with lawsuits or other legal proceedings may exceed the limits of insurance policies, which could adversely impact our results of operations. Furthermore, our business, financial condition, results of operations and cash flows could be adversely affected if a judgment, penalty or fine is not fully covered by insurance.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exchange rates could materially affect our financial condition and results of operations.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majority of our business transactions are denominated in U.S. dollars. In particular markets, however, payments to certain of our fuel suppliers and from certain of our customers are denominated in local currency. We also have certain liabilities, primarily for local operations, including income and transactional taxes, which are denominated in foreign currencies. This subjects us to foreign currency exchange risk. Although we generally use hedging strategies to manage and minimize the impact of foreign currency exchange risk when available, these hedges may be costly and at any given time, only a portion of this risk may be hedged. Accordingly, our exposure to this risk may be substantial and fluctuations in foreign exchange rates could adversely affect our profitability.</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many of our customers are based outside of the U.S. and may be required to purchase U.S. dollars to pay for our products and services. A rapid depreciation or devaluation in currency that affects our customers could have an adverse effect on their operations and their ability to convert local currency to U.S. dollars in order to make required payments to us. This could, in turn, increase our credit losses and adversely affect our business, financial condition, results of operations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U.K.’s proposed withdrawal from the E.U. could harm our business and financial results.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June 23, 2016 referendum in which British voters approved an exit from the European Union (“E.U.”), commonly referred to as "Brexit", it is expected that the British government will commence negotiations to determine the terms of the U.K.’s withdrawal from the E.U. A withdrawal could, among other outcomes, disrupt the free movement of goods, services and people between the U.K. and the E.U., undermine bilateral cooperation in key geographic areas and significantly disrupt trade between the U.K. and the E.U. or other nations as the U.K. pursues independent trade relations. These factors pose a risk to the overall U.K. economy and as a result, our operations in the U.K., particularly in our land segment, as well as our global operations, could be adversely impacted.</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 announcement of Brexit caused significant volatility in global stock markets and currency exchange rate fluctuations that resulted in the strengthening of the U.S. dollar. The strengthening of the U.S. dollar relative to the British pound and other currencies may harm our results of operations as the local currency results of our international operations may translate into fewer U.S. dollars. Uncertainty over Brexit and currency fluctuations could also impact our customers, who may closely monitor their costs and reduce their spending budgets on our products and services, which in turn, may adversely affect our business, results of operations and financial condition. Furthermore, our hedging activities may not be effective to mitigate volatile fuel prices and may expose us to counterparty risk.</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Brexit could lead to legal uncertainty and potentially divergent national laws and regulations as the U.K. determines which E.U. laws to replace or replicate. We may incur additional costs and expenses as we adapt to such potentially divergent regulatory frameworks. The effects of Brexit will depend on any agreements the U.K. makes to retain access to E.U. or other markets either during a transitional period or more permanently. Given the lack of comparable precedent, it is unclear what financial, trade and legal implications the withdrawal of the U.K. from the E.U. would have and how such withdrawal would affect us. Adverse consequences concerning Brexit or the E.U. could include deterioration in global economic conditions, instability in global financial markets, political uncertainty, continued volatility in currency exchange rates, or adverse changes in the cross-border agreements currently in place, any of which could have an adverse impact on our financial results in the future.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and proposed derivatives legislation and rulemaking could have a material adverse effect on our business.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Dodd Frank Wall Street Transparency and Accountability Act of 2010 (the “Dodd-Frank Act”) provides for federal regulation of the over the counter derivative markets both for commodities and securities, and gives the U.S. Commodity Futures Trading Commission (“CFTC”) and the SEC broad authority to regulate such markets and their participants. This includes, among others, derivative transactions linked to crude oil, refined products and natural gas prices. The Dodd-Frank Act and the rules being promulgated thereunder subject certain swap participants to capital and margin requirements and business conduct standards. If we or our derivatives counterparties are subject to additional requirements imposed as a result of the Dodd-Frank Act, this may increase our transaction costs or make it more difficult for us to enter into hedging transactions on favorable terms. Our inability to enter into hedging transactions on favorable terms, or at all, could increase our operating expenses and put us at increased exposure to risks of adverse changes in energy commodities prices. Further, on December 30, 2016, the CFTC re-proposed new position limits rules for public comment, which would limit trading in options, futures, and swaps contracts related to certain agricultural, metal, and energy commodities, including energy commodities in which we currently engage in derivative transactions, and solicited public comment with respect to the same. These rules have not been finalized, and we cannot currently predict whether or when the re-proposed rules will be adopted, in what form the rules will be adopted, or the effect of the final rules, if any, on our businesses. Any such regulations could also subject our derivatives counterparties to limits on commodity positions and thereby have an adverse effect on our ability to hedge risks associated with our business or on the cost of our hedging activity.</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upcoming E.U. derivative regulations and other legislation regulating the use of derivatives that certain foreign jurisdictions have adopted or are in the process of adopting, could have a material adverse effect on our business. For example, in early 2016, the E.U. Commission announced that the deadline for two key sets of derivative regulations schedules to come into effect, the Markets in Financial Instruments Directive II (“MiFID II”) and the Markets in Financial Instruments Regulation (“MiFIR”), originally set for January 2017, had been postponed to January 2018. As we approach the January 2018 MiFID II and MiFIR regulatory implementation, we will continue to evaluate how these E.U. regulations, may impact our ability to conduct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Any new (or newly implemented) regulations and international legislation could:</w:t>
      </w:r>
    </w:p>
    <w:p>
      <w:pPr>
        <w:spacing w:after="0" w:line="225" w:lineRule="exact"/>
        <w:rPr>
          <w:sz w:val="20"/>
          <w:szCs w:val="20"/>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significantly increase the cost of our derivative contracts (including through requirements to post collateral, which could adversely affect our cash flows and liquidity, or require us to obtain licenses and subject us directly or indirectly to additional reporting and other requirements),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materially alter the terms of our derivative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our ability to offer derivative and other price management products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that we limit our derivatives activities to avoid being subject to burdensome requirements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demand for our price risk management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availability of derivatives to protect against risks we encounter,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price volatility in the commodities we buy and sell (and derivatives related to those commodities),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affect cash flow and liquidity due to margin 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our ability to monetize or restructure our existing commodity price contracts,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exposure to less creditworthy counterparties.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increased cost of derivative contracts is significant or we reduce or limit our derivatives activities as a result of any such legislation or rules, our profitability and results of operations could be adversely affected. Any of these consequences could have a material adverse effect on us, our financial condition, and our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our principal properties, the majority of which are leased, as of February 4, 2017. We consider all of our properties and facilities to be suitable and adequate for our present needs and do not anticipate that we will experience difficulty in renewing or replacing those leases that expire in 2017 in any material respect.</w:t>
      </w:r>
    </w:p>
    <w:p>
      <w:pPr>
        <w:spacing w:after="0" w:line="184" w:lineRule="exact"/>
        <w:rPr>
          <w:sz w:val="20"/>
          <w:szCs w:val="20"/>
          <w:color w:val="auto"/>
        </w:rPr>
      </w:pPr>
    </w:p>
    <w:p>
      <w:pPr>
        <w:ind w:right="5040"/>
        <w:spacing w:after="0" w:line="274" w:lineRule="auto"/>
        <w:rPr>
          <w:sz w:val="20"/>
          <w:szCs w:val="20"/>
          <w:color w:val="auto"/>
        </w:rPr>
      </w:pPr>
      <w:r>
        <w:rPr>
          <w:rFonts w:ascii="Arial" w:cs="Arial" w:eastAsia="Arial" w:hAnsi="Arial"/>
          <w:sz w:val="22"/>
          <w:szCs w:val="22"/>
          <w:b w:val="1"/>
          <w:bCs w:val="1"/>
          <w:color w:val="auto"/>
        </w:rPr>
        <w:t>WORLD FUEL SERVICES CORPORATION AND SUBSIDIARIES PROPERTIES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0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5600" w:type="dxa"/>
            <w:vAlign w:val="bottom"/>
          </w:tcPr>
          <w:p>
            <w:pPr>
              <w:ind w:left="460"/>
              <w:spacing w:after="0"/>
              <w:rPr>
                <w:sz w:val="20"/>
                <w:szCs w:val="20"/>
                <w:color w:val="auto"/>
              </w:rPr>
            </w:pPr>
            <w:r>
              <w:rPr>
                <w:rFonts w:ascii="Arial" w:cs="Arial" w:eastAsia="Arial" w:hAnsi="Arial"/>
                <w:sz w:val="14"/>
                <w:szCs w:val="14"/>
                <w:b w:val="1"/>
                <w:bCs w:val="1"/>
                <w:color w:val="auto"/>
              </w:rPr>
              <w:t>Principal Use</w:t>
            </w:r>
          </w:p>
        </w:tc>
        <w:tc>
          <w:tcPr>
            <w:tcW w:w="13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Lease Expiration</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2"/>
        </w:trPr>
        <w:tc>
          <w:tcPr>
            <w:tcW w:w="4000" w:type="dxa"/>
            <w:vAlign w:val="bottom"/>
          </w:tcPr>
          <w:p>
            <w:pPr>
              <w:spacing w:after="0"/>
              <w:rPr>
                <w:sz w:val="20"/>
                <w:szCs w:val="20"/>
                <w:color w:val="auto"/>
              </w:rPr>
            </w:pPr>
            <w:r>
              <w:rPr>
                <w:rFonts w:ascii="Arial" w:cs="Arial" w:eastAsia="Arial" w:hAnsi="Arial"/>
                <w:sz w:val="18"/>
                <w:szCs w:val="18"/>
                <w:color w:val="auto"/>
              </w:rPr>
              <w:t>9800 Northwest 41st Street</w:t>
            </w:r>
          </w:p>
        </w:tc>
        <w:tc>
          <w:tcPr>
            <w:tcW w:w="5600" w:type="dxa"/>
            <w:vAlign w:val="bottom"/>
          </w:tcPr>
          <w:p>
            <w:pPr>
              <w:ind w:left="460"/>
              <w:spacing w:after="0"/>
              <w:rPr>
                <w:sz w:val="20"/>
                <w:szCs w:val="20"/>
                <w:color w:val="auto"/>
              </w:rPr>
            </w:pPr>
            <w:r>
              <w:rPr>
                <w:rFonts w:ascii="Arial" w:cs="Arial" w:eastAsia="Arial" w:hAnsi="Arial"/>
                <w:sz w:val="18"/>
                <w:szCs w:val="18"/>
                <w:color w:val="auto"/>
              </w:rPr>
              <w:t>Executive, administrative, operations and sales office for</w:t>
            </w:r>
          </w:p>
        </w:tc>
        <w:tc>
          <w:tcPr>
            <w:tcW w:w="1380" w:type="dxa"/>
            <w:vAlign w:val="bottom"/>
          </w:tcPr>
          <w:p>
            <w:pPr>
              <w:ind w:left="100"/>
              <w:spacing w:after="0"/>
              <w:rPr>
                <w:sz w:val="20"/>
                <w:szCs w:val="20"/>
                <w:color w:val="auto"/>
              </w:rPr>
            </w:pPr>
            <w:r>
              <w:rPr>
                <w:rFonts w:ascii="Arial" w:cs="Arial" w:eastAsia="Arial" w:hAnsi="Arial"/>
                <w:sz w:val="18"/>
                <w:szCs w:val="18"/>
                <w:color w:val="auto"/>
              </w:rPr>
              <w:t>May 2021</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Miami, FL 33178, USA</w:t>
            </w:r>
          </w:p>
        </w:tc>
        <w:tc>
          <w:tcPr>
            <w:tcW w:w="5600" w:type="dxa"/>
            <w:vAlign w:val="bottom"/>
          </w:tcPr>
          <w:p>
            <w:pPr>
              <w:ind w:left="460"/>
              <w:spacing w:after="0"/>
              <w:rPr>
                <w:sz w:val="20"/>
                <w:szCs w:val="20"/>
                <w:color w:val="auto"/>
              </w:rPr>
            </w:pPr>
            <w:r>
              <w:rPr>
                <w:rFonts w:ascii="Arial" w:cs="Arial" w:eastAsia="Arial" w:hAnsi="Arial"/>
                <w:sz w:val="18"/>
                <w:szCs w:val="18"/>
                <w:color w:val="auto"/>
              </w:rPr>
              <w:t>corporate, aviation, marine and land segments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62 Buckingham Gate</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aviation, marine</w:t>
            </w:r>
          </w:p>
        </w:tc>
        <w:tc>
          <w:tcPr>
            <w:tcW w:w="1380" w:type="dxa"/>
            <w:vAlign w:val="bottom"/>
          </w:tcPr>
          <w:p>
            <w:pPr>
              <w:ind w:left="100"/>
              <w:spacing w:after="0"/>
              <w:rPr>
                <w:sz w:val="20"/>
                <w:szCs w:val="20"/>
                <w:color w:val="auto"/>
              </w:rPr>
            </w:pPr>
            <w:r>
              <w:rPr>
                <w:rFonts w:ascii="Arial" w:cs="Arial" w:eastAsia="Arial" w:hAnsi="Arial"/>
                <w:sz w:val="18"/>
                <w:szCs w:val="18"/>
                <w:color w:val="auto"/>
              </w:rPr>
              <w:t>June 2028</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London, UK SW1E 6AJ</w:t>
            </w:r>
          </w:p>
        </w:tc>
        <w:tc>
          <w:tcPr>
            <w:tcW w:w="5600" w:type="dxa"/>
            <w:vAlign w:val="bottom"/>
          </w:tcPr>
          <w:p>
            <w:pPr>
              <w:ind w:left="460"/>
              <w:spacing w:after="0"/>
              <w:rPr>
                <w:sz w:val="20"/>
                <w:szCs w:val="20"/>
                <w:color w:val="auto"/>
              </w:rPr>
            </w:pPr>
            <w:r>
              <w:rPr>
                <w:rFonts w:ascii="Arial" w:cs="Arial" w:eastAsia="Arial" w:hAnsi="Arial"/>
                <w:sz w:val="18"/>
                <w:szCs w:val="18"/>
                <w:color w:val="auto"/>
              </w:rPr>
              <w:t>and land segments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line="207" w:lineRule="exact"/>
              <w:rPr>
                <w:sz w:val="20"/>
                <w:szCs w:val="20"/>
                <w:color w:val="auto"/>
              </w:rPr>
            </w:pPr>
            <w:r>
              <w:rPr>
                <w:rFonts w:ascii="Arial" w:cs="Arial" w:eastAsia="Arial" w:hAnsi="Arial"/>
                <w:sz w:val="18"/>
                <w:szCs w:val="18"/>
                <w:color w:val="auto"/>
              </w:rPr>
              <w:t>238A Thompson Road #08</w:t>
            </w:r>
            <w:r>
              <w:rPr>
                <w:rFonts w:ascii="MS PGothic" w:cs="MS PGothic" w:eastAsia="MS PGothic" w:hAnsi="MS PGothic"/>
                <w:sz w:val="18"/>
                <w:szCs w:val="18"/>
                <w:color w:val="auto"/>
              </w:rPr>
              <w:t>‑</w:t>
            </w:r>
            <w:r>
              <w:rPr>
                <w:rFonts w:ascii="Arial" w:cs="Arial" w:eastAsia="Arial" w:hAnsi="Arial"/>
                <w:sz w:val="18"/>
                <w:szCs w:val="18"/>
                <w:color w:val="auto"/>
              </w:rPr>
              <w:t>01/10</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aviation and</w:t>
            </w:r>
          </w:p>
        </w:tc>
        <w:tc>
          <w:tcPr>
            <w:tcW w:w="1380" w:type="dxa"/>
            <w:vAlign w:val="bottom"/>
          </w:tcPr>
          <w:p>
            <w:pPr>
              <w:ind w:left="100"/>
              <w:spacing w:after="0"/>
              <w:rPr>
                <w:sz w:val="20"/>
                <w:szCs w:val="20"/>
                <w:color w:val="auto"/>
              </w:rPr>
            </w:pPr>
            <w:r>
              <w:rPr>
                <w:rFonts w:ascii="Arial" w:cs="Arial" w:eastAsia="Arial" w:hAnsi="Arial"/>
                <w:sz w:val="18"/>
                <w:szCs w:val="18"/>
                <w:color w:val="auto"/>
              </w:rPr>
              <w:t>March 2020</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Novena Square Tower A</w:t>
            </w:r>
          </w:p>
        </w:tc>
        <w:tc>
          <w:tcPr>
            <w:tcW w:w="5600" w:type="dxa"/>
            <w:vAlign w:val="bottom"/>
          </w:tcPr>
          <w:p>
            <w:pPr>
              <w:ind w:left="460"/>
              <w:spacing w:after="0" w:line="202" w:lineRule="exact"/>
              <w:rPr>
                <w:sz w:val="20"/>
                <w:szCs w:val="20"/>
                <w:color w:val="auto"/>
              </w:rPr>
            </w:pPr>
            <w:r>
              <w:rPr>
                <w:rFonts w:ascii="Arial" w:cs="Arial" w:eastAsia="Arial" w:hAnsi="Arial"/>
                <w:sz w:val="18"/>
                <w:szCs w:val="18"/>
                <w:color w:val="auto"/>
              </w:rPr>
              <w:t>marine segments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Singapore 307684</w:t>
            </w: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Office No. 2003, Swiss Tower</w:t>
            </w:r>
          </w:p>
        </w:tc>
        <w:tc>
          <w:tcPr>
            <w:tcW w:w="5600" w:type="dxa"/>
            <w:vAlign w:val="bottom"/>
          </w:tcPr>
          <w:p>
            <w:pPr>
              <w:ind w:left="460"/>
              <w:spacing w:after="0"/>
              <w:rPr>
                <w:sz w:val="20"/>
                <w:szCs w:val="20"/>
                <w:color w:val="auto"/>
              </w:rPr>
            </w:pPr>
            <w:r>
              <w:rPr>
                <w:rFonts w:ascii="Arial" w:cs="Arial" w:eastAsia="Arial" w:hAnsi="Arial"/>
                <w:sz w:val="18"/>
                <w:szCs w:val="18"/>
                <w:color w:val="auto"/>
              </w:rPr>
              <w:t>Sales and marketing office for aviation and marine segments</w:t>
            </w:r>
          </w:p>
        </w:tc>
        <w:tc>
          <w:tcPr>
            <w:tcW w:w="1380" w:type="dxa"/>
            <w:vAlign w:val="bottom"/>
          </w:tcPr>
          <w:p>
            <w:pPr>
              <w:ind w:left="100"/>
              <w:spacing w:after="0"/>
              <w:rPr>
                <w:sz w:val="20"/>
                <w:szCs w:val="20"/>
                <w:color w:val="auto"/>
              </w:rPr>
            </w:pPr>
            <w:r>
              <w:rPr>
                <w:rFonts w:ascii="Arial" w:cs="Arial" w:eastAsia="Arial" w:hAnsi="Arial"/>
                <w:sz w:val="18"/>
                <w:szCs w:val="18"/>
                <w:color w:val="auto"/>
              </w:rPr>
              <w:t>March 2017</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Plot No. Y3, Jumeirah Lakes Towers</w:t>
            </w:r>
          </w:p>
        </w:tc>
        <w:tc>
          <w:tcPr>
            <w:tcW w:w="5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Dubai, United Arab Emirates</w:t>
            </w: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Av. Rio Branco 181, Suite 3301 -</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aviation, marine</w:t>
            </w:r>
          </w:p>
        </w:tc>
        <w:tc>
          <w:tcPr>
            <w:tcW w:w="1380" w:type="dxa"/>
            <w:vAlign w:val="bottom"/>
          </w:tcPr>
          <w:p>
            <w:pPr>
              <w:ind w:left="100"/>
              <w:spacing w:after="0"/>
              <w:rPr>
                <w:sz w:val="20"/>
                <w:szCs w:val="20"/>
                <w:color w:val="auto"/>
              </w:rPr>
            </w:pPr>
            <w:r>
              <w:rPr>
                <w:rFonts w:ascii="Arial" w:cs="Arial" w:eastAsia="Arial" w:hAnsi="Arial"/>
                <w:sz w:val="18"/>
                <w:szCs w:val="18"/>
                <w:color w:val="auto"/>
                <w:w w:val="99"/>
              </w:rPr>
              <w:t>Month-to-month</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Parte, Centro</w:t>
            </w:r>
          </w:p>
        </w:tc>
        <w:tc>
          <w:tcPr>
            <w:tcW w:w="5600" w:type="dxa"/>
            <w:vAlign w:val="bottom"/>
          </w:tcPr>
          <w:p>
            <w:pPr>
              <w:ind w:left="460"/>
              <w:spacing w:after="0" w:line="202" w:lineRule="exact"/>
              <w:rPr>
                <w:sz w:val="20"/>
                <w:szCs w:val="20"/>
                <w:color w:val="auto"/>
              </w:rPr>
            </w:pPr>
            <w:r>
              <w:rPr>
                <w:rFonts w:ascii="Arial" w:cs="Arial" w:eastAsia="Arial" w:hAnsi="Arial"/>
                <w:sz w:val="18"/>
                <w:szCs w:val="18"/>
                <w:color w:val="auto"/>
              </w:rPr>
              <w:t>and land segments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Rio de Janeiro, Brazil 20040 007</w:t>
            </w: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Praia do Flamengo, 200, 22nd floor</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aviation, marine</w:t>
            </w:r>
          </w:p>
        </w:tc>
        <w:tc>
          <w:tcPr>
            <w:tcW w:w="1380" w:type="dxa"/>
            <w:vAlign w:val="bottom"/>
          </w:tcPr>
          <w:p>
            <w:pPr>
              <w:ind w:left="100"/>
              <w:spacing w:after="0"/>
              <w:rPr>
                <w:sz w:val="20"/>
                <w:szCs w:val="20"/>
                <w:color w:val="auto"/>
              </w:rPr>
            </w:pPr>
            <w:r>
              <w:rPr>
                <w:rFonts w:ascii="Arial" w:cs="Arial" w:eastAsia="Arial" w:hAnsi="Arial"/>
                <w:sz w:val="18"/>
                <w:szCs w:val="18"/>
                <w:color w:val="auto"/>
                <w:w w:val="98"/>
              </w:rPr>
              <w:t>November 2021</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Rio de Janeiro, Brazil 22210 030</w:t>
            </w:r>
          </w:p>
        </w:tc>
        <w:tc>
          <w:tcPr>
            <w:tcW w:w="5600" w:type="dxa"/>
            <w:vAlign w:val="bottom"/>
          </w:tcPr>
          <w:p>
            <w:pPr>
              <w:ind w:left="460"/>
              <w:spacing w:after="0"/>
              <w:rPr>
                <w:sz w:val="20"/>
                <w:szCs w:val="20"/>
                <w:color w:val="auto"/>
              </w:rPr>
            </w:pPr>
            <w:r>
              <w:rPr>
                <w:rFonts w:ascii="Arial" w:cs="Arial" w:eastAsia="Arial" w:hAnsi="Arial"/>
                <w:sz w:val="18"/>
                <w:szCs w:val="18"/>
                <w:color w:val="auto"/>
              </w:rPr>
              <w:t>and land segments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Paseo de la Reforma 231, Piso 8</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aviation segment</w:t>
            </w:r>
          </w:p>
        </w:tc>
        <w:tc>
          <w:tcPr>
            <w:tcW w:w="1380" w:type="dxa"/>
            <w:vAlign w:val="bottom"/>
          </w:tcPr>
          <w:p>
            <w:pPr>
              <w:ind w:left="100"/>
              <w:spacing w:after="0"/>
              <w:rPr>
                <w:sz w:val="20"/>
                <w:szCs w:val="20"/>
                <w:color w:val="auto"/>
              </w:rPr>
            </w:pPr>
            <w:r>
              <w:rPr>
                <w:rFonts w:ascii="Arial" w:cs="Arial" w:eastAsia="Arial" w:hAnsi="Arial"/>
                <w:sz w:val="18"/>
                <w:szCs w:val="18"/>
                <w:color w:val="auto"/>
              </w:rPr>
              <w:t>January 2020</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Cuauhtémoc Delegacion</w:t>
            </w:r>
          </w:p>
        </w:tc>
        <w:tc>
          <w:tcPr>
            <w:tcW w:w="5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Cuauhtémoc C.P. 06500, Mexico D.F</w:t>
            </w: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Forum 2, Building N, Level 4, Radial</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aviation and</w:t>
            </w:r>
          </w:p>
        </w:tc>
        <w:tc>
          <w:tcPr>
            <w:tcW w:w="1380" w:type="dxa"/>
            <w:vAlign w:val="bottom"/>
          </w:tcPr>
          <w:p>
            <w:pPr>
              <w:ind w:left="100"/>
              <w:spacing w:after="0"/>
              <w:rPr>
                <w:sz w:val="20"/>
                <w:szCs w:val="20"/>
                <w:color w:val="auto"/>
              </w:rPr>
            </w:pPr>
            <w:r>
              <w:rPr>
                <w:rFonts w:ascii="Arial" w:cs="Arial" w:eastAsia="Arial" w:hAnsi="Arial"/>
                <w:sz w:val="18"/>
                <w:szCs w:val="18"/>
                <w:color w:val="auto"/>
                <w:w w:val="98"/>
              </w:rPr>
              <w:t>December 2019</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Santa Ana Belén (Lindoral), Pozos,</w:t>
            </w:r>
          </w:p>
        </w:tc>
        <w:tc>
          <w:tcPr>
            <w:tcW w:w="5600" w:type="dxa"/>
            <w:vAlign w:val="bottom"/>
          </w:tcPr>
          <w:p>
            <w:pPr>
              <w:ind w:left="460"/>
              <w:spacing w:after="0" w:line="202" w:lineRule="exact"/>
              <w:rPr>
                <w:sz w:val="20"/>
                <w:szCs w:val="20"/>
                <w:color w:val="auto"/>
              </w:rPr>
            </w:pPr>
            <w:r>
              <w:rPr>
                <w:rFonts w:ascii="Arial" w:cs="Arial" w:eastAsia="Arial" w:hAnsi="Arial"/>
                <w:sz w:val="18"/>
                <w:szCs w:val="18"/>
                <w:color w:val="auto"/>
              </w:rPr>
              <w:t>marine segments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Santa Ana San José, Costa Rica</w:t>
            </w: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605 North Highway 169, Suites 1100 &amp; 1200</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land segment</w:t>
            </w:r>
          </w:p>
        </w:tc>
        <w:tc>
          <w:tcPr>
            <w:tcW w:w="1380" w:type="dxa"/>
            <w:vAlign w:val="bottom"/>
          </w:tcPr>
          <w:p>
            <w:pPr>
              <w:ind w:left="100"/>
              <w:spacing w:after="0"/>
              <w:rPr>
                <w:sz w:val="20"/>
                <w:szCs w:val="20"/>
                <w:color w:val="auto"/>
              </w:rPr>
            </w:pPr>
            <w:r>
              <w:rPr>
                <w:rFonts w:ascii="Arial" w:cs="Arial" w:eastAsia="Arial" w:hAnsi="Arial"/>
                <w:sz w:val="18"/>
                <w:szCs w:val="18"/>
                <w:color w:val="auto"/>
              </w:rPr>
              <w:t>June 2018</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Plymouth, MN 55441, USA</w:t>
            </w: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25 Mill Street</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aviation segment</w:t>
            </w:r>
          </w:p>
        </w:tc>
        <w:tc>
          <w:tcPr>
            <w:tcW w:w="1380" w:type="dxa"/>
            <w:vAlign w:val="bottom"/>
          </w:tcPr>
          <w:p>
            <w:pPr>
              <w:ind w:left="100"/>
              <w:spacing w:after="0"/>
              <w:rPr>
                <w:sz w:val="20"/>
                <w:szCs w:val="20"/>
                <w:color w:val="auto"/>
              </w:rPr>
            </w:pPr>
            <w:r>
              <w:rPr>
                <w:rFonts w:ascii="Arial" w:cs="Arial" w:eastAsia="Arial" w:hAnsi="Arial"/>
                <w:sz w:val="18"/>
                <w:szCs w:val="18"/>
                <w:color w:val="auto"/>
              </w:rPr>
              <w:t>March 2020</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Parish, NY 13131, USA</w:t>
            </w: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Strommen 6</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aviation and land</w:t>
            </w:r>
          </w:p>
        </w:tc>
        <w:tc>
          <w:tcPr>
            <w:tcW w:w="1380" w:type="dxa"/>
            <w:vAlign w:val="bottom"/>
          </w:tcPr>
          <w:p>
            <w:pPr>
              <w:ind w:left="100"/>
              <w:spacing w:after="0"/>
              <w:rPr>
                <w:sz w:val="20"/>
                <w:szCs w:val="20"/>
                <w:color w:val="auto"/>
              </w:rPr>
            </w:pPr>
            <w:r>
              <w:rPr>
                <w:rFonts w:ascii="Arial" w:cs="Arial" w:eastAsia="Arial" w:hAnsi="Arial"/>
                <w:sz w:val="18"/>
                <w:szCs w:val="18"/>
                <w:color w:val="auto"/>
                <w:w w:val="99"/>
              </w:rPr>
              <w:t>Month-to-month</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9400 Norresundby, Denmark</w:t>
            </w:r>
          </w:p>
        </w:tc>
        <w:tc>
          <w:tcPr>
            <w:tcW w:w="5600" w:type="dxa"/>
            <w:vAlign w:val="bottom"/>
          </w:tcPr>
          <w:p>
            <w:pPr>
              <w:ind w:left="460"/>
              <w:spacing w:after="0"/>
              <w:rPr>
                <w:sz w:val="20"/>
                <w:szCs w:val="20"/>
                <w:color w:val="auto"/>
              </w:rPr>
            </w:pPr>
            <w:r>
              <w:rPr>
                <w:rFonts w:ascii="Arial" w:cs="Arial" w:eastAsia="Arial" w:hAnsi="Arial"/>
                <w:sz w:val="18"/>
                <w:szCs w:val="18"/>
                <w:color w:val="auto"/>
              </w:rPr>
              <w:t>segments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6000 Metcalf Avenue</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land segment</w:t>
            </w:r>
          </w:p>
        </w:tc>
        <w:tc>
          <w:tcPr>
            <w:tcW w:w="1380" w:type="dxa"/>
            <w:vAlign w:val="bottom"/>
          </w:tcPr>
          <w:p>
            <w:pPr>
              <w:ind w:left="100"/>
              <w:spacing w:after="0"/>
              <w:rPr>
                <w:sz w:val="20"/>
                <w:szCs w:val="20"/>
                <w:color w:val="auto"/>
              </w:rPr>
            </w:pPr>
            <w:r>
              <w:rPr>
                <w:rFonts w:ascii="Arial" w:cs="Arial" w:eastAsia="Arial" w:hAnsi="Arial"/>
                <w:sz w:val="18"/>
                <w:szCs w:val="18"/>
                <w:color w:val="auto"/>
              </w:rPr>
              <w:t>August 2017</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Overland Park, KS 66202, USA</w:t>
            </w: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8650 College Boulevard</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aviation, marine</w:t>
            </w:r>
          </w:p>
        </w:tc>
        <w:tc>
          <w:tcPr>
            <w:tcW w:w="1380" w:type="dxa"/>
            <w:vAlign w:val="bottom"/>
          </w:tcPr>
          <w:p>
            <w:pPr>
              <w:ind w:left="100"/>
              <w:spacing w:after="0"/>
              <w:rPr>
                <w:sz w:val="20"/>
                <w:szCs w:val="20"/>
                <w:color w:val="auto"/>
              </w:rPr>
            </w:pPr>
            <w:r>
              <w:rPr>
                <w:rFonts w:ascii="Arial" w:cs="Arial" w:eastAsia="Arial" w:hAnsi="Arial"/>
                <w:sz w:val="18"/>
                <w:szCs w:val="18"/>
                <w:color w:val="auto"/>
              </w:rPr>
              <w:t>August 2017</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Overland Park, KS 66210, USA</w:t>
            </w:r>
          </w:p>
        </w:tc>
        <w:tc>
          <w:tcPr>
            <w:tcW w:w="5600" w:type="dxa"/>
            <w:vAlign w:val="bottom"/>
          </w:tcPr>
          <w:p>
            <w:pPr>
              <w:ind w:left="460"/>
              <w:spacing w:after="0"/>
              <w:rPr>
                <w:sz w:val="20"/>
                <w:szCs w:val="20"/>
                <w:color w:val="auto"/>
              </w:rPr>
            </w:pPr>
            <w:r>
              <w:rPr>
                <w:rFonts w:ascii="Arial" w:cs="Arial" w:eastAsia="Arial" w:hAnsi="Arial"/>
                <w:sz w:val="18"/>
                <w:szCs w:val="18"/>
                <w:color w:val="auto"/>
              </w:rPr>
              <w:t>and land segments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Causeway End, Brinkworth,</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land segment</w:t>
            </w:r>
          </w:p>
        </w:tc>
        <w:tc>
          <w:tcPr>
            <w:tcW w:w="1380" w:type="dxa"/>
            <w:vAlign w:val="bottom"/>
          </w:tcPr>
          <w:p>
            <w:pPr>
              <w:ind w:left="10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Chippenham SN15 5DN, United Kingdom</w:t>
            </w: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300 Flint Ridge Road</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aviation segment</w:t>
            </w:r>
          </w:p>
        </w:tc>
        <w:tc>
          <w:tcPr>
            <w:tcW w:w="1380" w:type="dxa"/>
            <w:vAlign w:val="bottom"/>
          </w:tcPr>
          <w:p>
            <w:pPr>
              <w:ind w:left="10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Webster, Texas 77598, USA</w:t>
            </w: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Fantoftvegen 38, 5072</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land segment</w:t>
            </w:r>
          </w:p>
        </w:tc>
        <w:tc>
          <w:tcPr>
            <w:tcW w:w="1380" w:type="dxa"/>
            <w:vAlign w:val="bottom"/>
          </w:tcPr>
          <w:p>
            <w:pPr>
              <w:ind w:left="100"/>
              <w:spacing w:after="0"/>
              <w:rPr>
                <w:sz w:val="20"/>
                <w:szCs w:val="20"/>
                <w:color w:val="auto"/>
              </w:rPr>
            </w:pPr>
            <w:r>
              <w:rPr>
                <w:rFonts w:ascii="Arial" w:cs="Arial" w:eastAsia="Arial" w:hAnsi="Arial"/>
                <w:sz w:val="18"/>
                <w:szCs w:val="18"/>
                <w:color w:val="auto"/>
                <w:w w:val="98"/>
              </w:rPr>
              <w:t>November 2023</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Bergen, Norway</w:t>
            </w: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000" w:type="dxa"/>
            <w:vAlign w:val="bottom"/>
          </w:tcPr>
          <w:p>
            <w:pPr>
              <w:spacing w:after="0"/>
              <w:rPr>
                <w:sz w:val="20"/>
                <w:szCs w:val="20"/>
                <w:color w:val="auto"/>
              </w:rPr>
            </w:pPr>
            <w:r>
              <w:rPr>
                <w:rFonts w:ascii="Arial" w:cs="Arial" w:eastAsia="Arial" w:hAnsi="Arial"/>
                <w:sz w:val="18"/>
                <w:szCs w:val="18"/>
                <w:color w:val="auto"/>
              </w:rPr>
              <w:t>2320 Milwaukee Way,</w:t>
            </w:r>
          </w:p>
        </w:tc>
        <w:tc>
          <w:tcPr>
            <w:tcW w:w="560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 for land segment</w:t>
            </w:r>
          </w:p>
        </w:tc>
        <w:tc>
          <w:tcPr>
            <w:tcW w:w="1380" w:type="dxa"/>
            <w:vAlign w:val="bottom"/>
          </w:tcPr>
          <w:p>
            <w:pPr>
              <w:ind w:left="100"/>
              <w:spacing w:after="0"/>
              <w:rPr>
                <w:sz w:val="20"/>
                <w:szCs w:val="20"/>
                <w:color w:val="auto"/>
              </w:rPr>
            </w:pPr>
            <w:r>
              <w:rPr>
                <w:rFonts w:ascii="Arial" w:cs="Arial" w:eastAsia="Arial" w:hAnsi="Arial"/>
                <w:sz w:val="18"/>
                <w:szCs w:val="18"/>
                <w:color w:val="auto"/>
              </w:rPr>
              <w:t>June 2026</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Tacoma, Washington 98421, USA</w:t>
            </w: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8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5920" w:type="dxa"/>
            <w:vAlign w:val="bottom"/>
          </w:tcPr>
          <w:p>
            <w:pPr>
              <w:ind w:left="780"/>
              <w:spacing w:after="0"/>
              <w:rPr>
                <w:sz w:val="20"/>
                <w:szCs w:val="20"/>
                <w:color w:val="auto"/>
              </w:rPr>
            </w:pPr>
            <w:r>
              <w:rPr>
                <w:rFonts w:ascii="Arial" w:cs="Arial" w:eastAsia="Arial" w:hAnsi="Arial"/>
                <w:sz w:val="14"/>
                <w:szCs w:val="14"/>
                <w:b w:val="1"/>
                <w:bCs w:val="1"/>
                <w:color w:val="auto"/>
              </w:rPr>
              <w:t>Principal Use</w:t>
            </w:r>
          </w:p>
        </w:tc>
        <w:tc>
          <w:tcPr>
            <w:tcW w:w="12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Lease Expiration</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3680" w:type="dxa"/>
            <w:vAlign w:val="bottom"/>
          </w:tcPr>
          <w:p>
            <w:pPr>
              <w:spacing w:after="0"/>
              <w:rPr>
                <w:sz w:val="20"/>
                <w:szCs w:val="20"/>
                <w:color w:val="auto"/>
              </w:rPr>
            </w:pPr>
            <w:r>
              <w:rPr>
                <w:rFonts w:ascii="Arial" w:cs="Arial" w:eastAsia="Arial" w:hAnsi="Arial"/>
                <w:sz w:val="18"/>
                <w:szCs w:val="18"/>
                <w:color w:val="auto"/>
              </w:rPr>
              <w:t>4920 Southern Boulevard</w:t>
            </w:r>
          </w:p>
        </w:tc>
        <w:tc>
          <w:tcPr>
            <w:tcW w:w="5920" w:type="dxa"/>
            <w:vAlign w:val="bottom"/>
          </w:tcPr>
          <w:p>
            <w:pPr>
              <w:ind w:left="780"/>
              <w:spacing w:after="0"/>
              <w:rPr>
                <w:sz w:val="20"/>
                <w:szCs w:val="20"/>
                <w:color w:val="auto"/>
              </w:rPr>
            </w:pPr>
            <w:r>
              <w:rPr>
                <w:rFonts w:ascii="Arial" w:cs="Arial" w:eastAsia="Arial" w:hAnsi="Arial"/>
                <w:sz w:val="18"/>
                <w:szCs w:val="18"/>
                <w:color w:val="auto"/>
              </w:rPr>
              <w:t>Administrative, operations and sales office for land segment</w:t>
            </w:r>
          </w:p>
        </w:tc>
        <w:tc>
          <w:tcPr>
            <w:tcW w:w="1280" w:type="dxa"/>
            <w:vAlign w:val="bottom"/>
          </w:tcPr>
          <w:p>
            <w:pPr>
              <w:ind w:left="10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20"/>
                <w:szCs w:val="20"/>
                <w:color w:val="auto"/>
              </w:rPr>
            </w:pPr>
            <w:r>
              <w:rPr>
                <w:rFonts w:ascii="Arial" w:cs="Arial" w:eastAsia="Arial" w:hAnsi="Arial"/>
                <w:sz w:val="18"/>
                <w:szCs w:val="18"/>
                <w:color w:val="auto"/>
              </w:rPr>
              <w:t>Virginia Beach, VA 23462, USA</w:t>
            </w:r>
          </w:p>
        </w:tc>
        <w:tc>
          <w:tcPr>
            <w:tcW w:w="5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680" w:type="dxa"/>
            <w:vAlign w:val="bottom"/>
          </w:tcPr>
          <w:p>
            <w:pPr>
              <w:spacing w:after="0"/>
              <w:rPr>
                <w:sz w:val="20"/>
                <w:szCs w:val="20"/>
                <w:color w:val="auto"/>
              </w:rPr>
            </w:pPr>
            <w:r>
              <w:rPr>
                <w:rFonts w:ascii="Arial" w:cs="Arial" w:eastAsia="Arial" w:hAnsi="Arial"/>
                <w:sz w:val="18"/>
                <w:szCs w:val="18"/>
                <w:color w:val="auto"/>
              </w:rPr>
              <w:t>Odinsgatan 10, SE-411 03</w:t>
            </w:r>
          </w:p>
        </w:tc>
        <w:tc>
          <w:tcPr>
            <w:tcW w:w="5920" w:type="dxa"/>
            <w:vAlign w:val="bottom"/>
          </w:tcPr>
          <w:p>
            <w:pPr>
              <w:ind w:left="780"/>
              <w:spacing w:after="0"/>
              <w:rPr>
                <w:sz w:val="20"/>
                <w:szCs w:val="20"/>
                <w:color w:val="auto"/>
              </w:rPr>
            </w:pPr>
            <w:r>
              <w:rPr>
                <w:rFonts w:ascii="Arial" w:cs="Arial" w:eastAsia="Arial" w:hAnsi="Arial"/>
                <w:sz w:val="18"/>
                <w:szCs w:val="18"/>
                <w:color w:val="auto"/>
              </w:rPr>
              <w:t>Administrative, operations and sales office for aviation segment</w:t>
            </w:r>
          </w:p>
        </w:tc>
        <w:tc>
          <w:tcPr>
            <w:tcW w:w="1280" w:type="dxa"/>
            <w:vAlign w:val="bottom"/>
          </w:tcPr>
          <w:p>
            <w:pPr>
              <w:ind w:left="100"/>
              <w:spacing w:after="0"/>
              <w:rPr>
                <w:sz w:val="20"/>
                <w:szCs w:val="20"/>
                <w:color w:val="auto"/>
              </w:rPr>
            </w:pPr>
            <w:r>
              <w:rPr>
                <w:rFonts w:ascii="Arial" w:cs="Arial" w:eastAsia="Arial" w:hAnsi="Arial"/>
                <w:sz w:val="18"/>
                <w:szCs w:val="18"/>
                <w:color w:val="auto"/>
              </w:rPr>
              <w:t>January 2019</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20"/>
                <w:szCs w:val="20"/>
                <w:color w:val="auto"/>
              </w:rPr>
            </w:pPr>
            <w:r>
              <w:rPr>
                <w:rFonts w:ascii="Arial" w:cs="Arial" w:eastAsia="Arial" w:hAnsi="Arial"/>
                <w:sz w:val="18"/>
                <w:szCs w:val="18"/>
                <w:color w:val="auto"/>
              </w:rPr>
              <w:t>Göteborg, Sweden</w:t>
            </w:r>
          </w:p>
        </w:tc>
        <w:tc>
          <w:tcPr>
            <w:tcW w:w="5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680" w:type="dxa"/>
            <w:vAlign w:val="bottom"/>
          </w:tcPr>
          <w:p>
            <w:pPr>
              <w:spacing w:after="0"/>
              <w:rPr>
                <w:sz w:val="20"/>
                <w:szCs w:val="20"/>
                <w:color w:val="auto"/>
              </w:rPr>
            </w:pPr>
            <w:r>
              <w:rPr>
                <w:rFonts w:ascii="Arial" w:cs="Arial" w:eastAsia="Arial" w:hAnsi="Arial"/>
                <w:sz w:val="18"/>
                <w:szCs w:val="18"/>
                <w:color w:val="auto"/>
              </w:rPr>
              <w:t>1B North Mole Road (C.P. No. 1360)</w:t>
            </w:r>
          </w:p>
        </w:tc>
        <w:tc>
          <w:tcPr>
            <w:tcW w:w="5920" w:type="dxa"/>
            <w:vAlign w:val="bottom"/>
          </w:tcPr>
          <w:p>
            <w:pPr>
              <w:ind w:left="780"/>
              <w:spacing w:after="0"/>
              <w:rPr>
                <w:sz w:val="20"/>
                <w:szCs w:val="20"/>
                <w:color w:val="auto"/>
              </w:rPr>
            </w:pPr>
            <w:r>
              <w:rPr>
                <w:rFonts w:ascii="Arial" w:cs="Arial" w:eastAsia="Arial" w:hAnsi="Arial"/>
                <w:sz w:val="18"/>
                <w:szCs w:val="18"/>
                <w:color w:val="auto"/>
              </w:rPr>
              <w:t>Administrative, operations and sales office for marine segment</w:t>
            </w:r>
          </w:p>
        </w:tc>
        <w:tc>
          <w:tcPr>
            <w:tcW w:w="1280" w:type="dxa"/>
            <w:vAlign w:val="bottom"/>
          </w:tcPr>
          <w:p>
            <w:pPr>
              <w:ind w:left="100"/>
              <w:spacing w:after="0"/>
              <w:rPr>
                <w:sz w:val="20"/>
                <w:szCs w:val="20"/>
                <w:color w:val="auto"/>
              </w:rPr>
            </w:pPr>
            <w:r>
              <w:rPr>
                <w:rFonts w:ascii="Arial" w:cs="Arial" w:eastAsia="Arial" w:hAnsi="Arial"/>
                <w:sz w:val="18"/>
                <w:szCs w:val="18"/>
                <w:color w:val="auto"/>
              </w:rPr>
              <w:t>May 2021</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20"/>
                <w:szCs w:val="20"/>
                <w:color w:val="auto"/>
              </w:rPr>
            </w:pPr>
            <w:r>
              <w:rPr>
                <w:rFonts w:ascii="Arial" w:cs="Arial" w:eastAsia="Arial" w:hAnsi="Arial"/>
                <w:sz w:val="18"/>
                <w:szCs w:val="18"/>
                <w:color w:val="auto"/>
              </w:rPr>
              <w:t>Gibraltar</w:t>
            </w:r>
          </w:p>
        </w:tc>
        <w:tc>
          <w:tcPr>
            <w:tcW w:w="5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680" w:type="dxa"/>
            <w:vAlign w:val="bottom"/>
          </w:tcPr>
          <w:p>
            <w:pPr>
              <w:spacing w:after="0"/>
              <w:rPr>
                <w:sz w:val="20"/>
                <w:szCs w:val="20"/>
                <w:color w:val="auto"/>
              </w:rPr>
            </w:pPr>
            <w:r>
              <w:rPr>
                <w:rFonts w:ascii="Arial" w:cs="Arial" w:eastAsia="Arial" w:hAnsi="Arial"/>
                <w:sz w:val="18"/>
                <w:szCs w:val="18"/>
                <w:color w:val="auto"/>
              </w:rPr>
              <w:t>The Docks, Falmouth, Cornwall,</w:t>
            </w:r>
          </w:p>
        </w:tc>
        <w:tc>
          <w:tcPr>
            <w:tcW w:w="5920" w:type="dxa"/>
            <w:vAlign w:val="bottom"/>
          </w:tcPr>
          <w:p>
            <w:pPr>
              <w:ind w:left="780"/>
              <w:spacing w:after="0"/>
              <w:rPr>
                <w:sz w:val="20"/>
                <w:szCs w:val="20"/>
                <w:color w:val="auto"/>
              </w:rPr>
            </w:pPr>
            <w:r>
              <w:rPr>
                <w:rFonts w:ascii="Arial" w:cs="Arial" w:eastAsia="Arial" w:hAnsi="Arial"/>
                <w:sz w:val="18"/>
                <w:szCs w:val="18"/>
                <w:color w:val="auto"/>
              </w:rPr>
              <w:t>Administrative, operations and sales office for marine segment</w:t>
            </w:r>
          </w:p>
        </w:tc>
        <w:tc>
          <w:tcPr>
            <w:tcW w:w="1280" w:type="dxa"/>
            <w:vAlign w:val="bottom"/>
          </w:tcPr>
          <w:p>
            <w:pPr>
              <w:ind w:left="100"/>
              <w:spacing w:after="0"/>
              <w:rPr>
                <w:sz w:val="20"/>
                <w:szCs w:val="20"/>
                <w:color w:val="auto"/>
              </w:rPr>
            </w:pPr>
            <w:r>
              <w:rPr>
                <w:rFonts w:ascii="Arial" w:cs="Arial" w:eastAsia="Arial" w:hAnsi="Arial"/>
                <w:sz w:val="18"/>
                <w:szCs w:val="18"/>
                <w:color w:val="auto"/>
                <w:w w:val="99"/>
              </w:rPr>
              <w:t>February 2037</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20"/>
                <w:szCs w:val="20"/>
                <w:color w:val="auto"/>
              </w:rPr>
            </w:pPr>
            <w:r>
              <w:rPr>
                <w:rFonts w:ascii="Arial" w:cs="Arial" w:eastAsia="Arial" w:hAnsi="Arial"/>
                <w:sz w:val="18"/>
                <w:szCs w:val="18"/>
                <w:color w:val="auto"/>
              </w:rPr>
              <w:t>TR11 4NR, United Kingdom</w:t>
            </w:r>
          </w:p>
        </w:tc>
        <w:tc>
          <w:tcPr>
            <w:tcW w:w="5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680" w:type="dxa"/>
            <w:vAlign w:val="bottom"/>
          </w:tcPr>
          <w:p>
            <w:pPr>
              <w:spacing w:after="0"/>
              <w:rPr>
                <w:sz w:val="20"/>
                <w:szCs w:val="20"/>
                <w:color w:val="auto"/>
              </w:rPr>
            </w:pPr>
            <w:r>
              <w:rPr>
                <w:rFonts w:ascii="Arial" w:cs="Arial" w:eastAsia="Arial" w:hAnsi="Arial"/>
                <w:sz w:val="18"/>
                <w:szCs w:val="18"/>
                <w:color w:val="auto"/>
              </w:rPr>
              <w:t>Huskisson Dock No.1</w:t>
            </w:r>
          </w:p>
        </w:tc>
        <w:tc>
          <w:tcPr>
            <w:tcW w:w="5920" w:type="dxa"/>
            <w:vAlign w:val="bottom"/>
          </w:tcPr>
          <w:p>
            <w:pPr>
              <w:ind w:left="780"/>
              <w:spacing w:after="0"/>
              <w:rPr>
                <w:sz w:val="20"/>
                <w:szCs w:val="20"/>
                <w:color w:val="auto"/>
              </w:rPr>
            </w:pPr>
            <w:r>
              <w:rPr>
                <w:rFonts w:ascii="Arial" w:cs="Arial" w:eastAsia="Arial" w:hAnsi="Arial"/>
                <w:sz w:val="18"/>
                <w:szCs w:val="18"/>
                <w:color w:val="auto"/>
              </w:rPr>
              <w:t>Administrative, operations and sales office for marine segment</w:t>
            </w:r>
          </w:p>
        </w:tc>
        <w:tc>
          <w:tcPr>
            <w:tcW w:w="1280" w:type="dxa"/>
            <w:vAlign w:val="bottom"/>
          </w:tcPr>
          <w:p>
            <w:pPr>
              <w:ind w:left="100"/>
              <w:spacing w:after="0"/>
              <w:rPr>
                <w:sz w:val="20"/>
                <w:szCs w:val="20"/>
                <w:color w:val="auto"/>
              </w:rPr>
            </w:pPr>
            <w:r>
              <w:rPr>
                <w:rFonts w:ascii="Arial" w:cs="Arial" w:eastAsia="Arial" w:hAnsi="Arial"/>
                <w:sz w:val="18"/>
                <w:szCs w:val="18"/>
                <w:color w:val="auto"/>
                <w:w w:val="99"/>
              </w:rPr>
              <w:t>February 2029</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Regent Road</w:t>
            </w:r>
          </w:p>
        </w:tc>
        <w:tc>
          <w:tcPr>
            <w:tcW w:w="5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80" w:type="dxa"/>
            <w:vAlign w:val="bottom"/>
          </w:tcPr>
          <w:p>
            <w:pPr>
              <w:spacing w:after="0"/>
              <w:rPr>
                <w:sz w:val="20"/>
                <w:szCs w:val="20"/>
                <w:color w:val="auto"/>
              </w:rPr>
            </w:pPr>
            <w:r>
              <w:rPr>
                <w:rFonts w:ascii="Arial" w:cs="Arial" w:eastAsia="Arial" w:hAnsi="Arial"/>
                <w:sz w:val="18"/>
                <w:szCs w:val="18"/>
                <w:color w:val="auto"/>
              </w:rPr>
              <w:t>Liverpool, United Kingdom</w:t>
            </w:r>
          </w:p>
        </w:tc>
        <w:tc>
          <w:tcPr>
            <w:tcW w:w="5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3680" w:type="dxa"/>
            <w:vAlign w:val="bottom"/>
          </w:tcPr>
          <w:p>
            <w:pPr>
              <w:spacing w:after="0"/>
              <w:rPr>
                <w:sz w:val="24"/>
                <w:szCs w:val="24"/>
                <w:color w:val="auto"/>
              </w:rPr>
            </w:pPr>
          </w:p>
        </w:tc>
        <w:tc>
          <w:tcPr>
            <w:tcW w:w="5920" w:type="dxa"/>
            <w:vAlign w:val="bottom"/>
          </w:tcPr>
          <w:p>
            <w:pPr>
              <w:ind w:left="1920"/>
              <w:spacing w:after="0"/>
              <w:rPr>
                <w:sz w:val="20"/>
                <w:szCs w:val="20"/>
                <w:color w:val="auto"/>
              </w:rPr>
            </w:pPr>
            <w:r>
              <w:rPr>
                <w:rFonts w:ascii="Arial" w:cs="Arial" w:eastAsia="Arial" w:hAnsi="Arial"/>
                <w:sz w:val="14"/>
                <w:szCs w:val="14"/>
                <w:color w:val="auto"/>
              </w:rPr>
              <w:t>21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240" w:top="125" w:right="7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July 20, 2016, the Company was informed that the U.S. Department of Justice (the "DOJ") is conducting an investigation into the aviation fuel supply industry, including certain activities of the Company and other industry participants at an airport in Central America. In connection therewith, the Company was served with formal requests by the DOJ about its activities at that airport and its aviation fuel supply business more broadly. The Company is cooperating with the investigation.</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we are under review by the Internal Revenue Service and various other domestic and foreign tax authorities with regards to income tax and indirect tax matters and are involved in various challenges and litigation in a number of countries, including, in particular, US, Brazil and South Korea, where the amounts under controversy may be significant. See notes 8 and 10 of the accompanying consolidated financial statements for additional details regarding certain tax matters.</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300"/>
          </w:cols>
          <w:pgMar w:left="24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auto"/>
        </w:rPr>
        <w:t>Item 5. Market for Registrant’s Common Equity, Related Shareholder Matters and Issuer Purchases of Equity Securities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common stock is traded on the New York Stock Exchange (“NYSE”) under the symbol INT. As of December 30, 2016, the closing price of our stock on the NYSE was $45.91. The following table sets forth, for each quarter in 2016 and 2015, the high and low sales prices of our common stock as reported by the NYSE.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tcBorders>
              <w:bottom w:val="single" w:sz="8" w:color="auto"/>
            </w:tcBorders>
          </w:tcPr>
          <w:p>
            <w:pPr>
              <w:spacing w:after="0"/>
              <w:rPr>
                <w:sz w:val="17"/>
                <w:szCs w:val="17"/>
                <w:color w:val="auto"/>
              </w:rPr>
            </w:pPr>
          </w:p>
        </w:tc>
      </w:tr>
      <w:tr>
        <w:trPr>
          <w:trHeight w:val="264"/>
        </w:trPr>
        <w:tc>
          <w:tcPr>
            <w:tcW w:w="8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8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49.50</w:t>
            </w:r>
          </w:p>
        </w:tc>
        <w:tc>
          <w:tcPr>
            <w:tcW w:w="80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35.13</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8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42.95</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49.38</w:t>
            </w:r>
          </w:p>
        </w:tc>
        <w:tc>
          <w:tcPr>
            <w:tcW w:w="80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44.14</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8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38.79</w:t>
            </w:r>
          </w:p>
        </w:tc>
      </w:tr>
      <w:tr>
        <w:trPr>
          <w:trHeight w:val="297"/>
        </w:trPr>
        <w:tc>
          <w:tcPr>
            <w:tcW w:w="8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58.28</w:t>
            </w:r>
          </w:p>
        </w:tc>
        <w:tc>
          <w:tcPr>
            <w:tcW w:w="80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45.66</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8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47.95</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49.29</w:t>
            </w:r>
          </w:p>
        </w:tc>
        <w:tc>
          <w:tcPr>
            <w:tcW w:w="80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34.44</w:t>
            </w:r>
          </w:p>
        </w:tc>
      </w:tr>
      <w:tr>
        <w:trPr>
          <w:trHeight w:val="270"/>
        </w:trPr>
        <w:tc>
          <w:tcPr>
            <w:tcW w:w="8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8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35.96</w:t>
            </w: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3, 2017, there were 363 shareholders of record of our common stock.</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the amount, the declaration date, record date and payment date for each quarterly cash dividend declared in 2016 and 2015.</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Per Share Amount</w:t>
            </w:r>
          </w:p>
        </w:tc>
        <w:tc>
          <w:tcPr>
            <w:tcW w:w="2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Declaration Date</w:t>
            </w:r>
          </w:p>
        </w:tc>
        <w:tc>
          <w:tcPr>
            <w:tcW w:w="2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Record Date</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Payment Date</w:t>
            </w: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Pr>
          <w:p>
            <w:pPr>
              <w:jc w:val="right"/>
              <w:ind w:right="232"/>
              <w:spacing w:after="0"/>
              <w:rPr>
                <w:sz w:val="20"/>
                <w:szCs w:val="20"/>
                <w:color w:val="auto"/>
              </w:rPr>
            </w:pPr>
            <w:r>
              <w:rPr>
                <w:rFonts w:ascii="Arial" w:cs="Arial" w:eastAsia="Arial" w:hAnsi="Arial"/>
                <w:sz w:val="18"/>
                <w:szCs w:val="18"/>
                <w:color w:val="auto"/>
              </w:rPr>
              <w:t>March 3, 2016</w:t>
            </w:r>
          </w:p>
        </w:tc>
        <w:tc>
          <w:tcPr>
            <w:tcW w:w="2380" w:type="dxa"/>
            <w:vAlign w:val="bottom"/>
          </w:tcPr>
          <w:p>
            <w:pPr>
              <w:jc w:val="right"/>
              <w:ind w:right="352"/>
              <w:spacing w:after="0"/>
              <w:rPr>
                <w:sz w:val="20"/>
                <w:szCs w:val="20"/>
                <w:color w:val="auto"/>
              </w:rPr>
            </w:pPr>
            <w:r>
              <w:rPr>
                <w:rFonts w:ascii="Arial" w:cs="Arial" w:eastAsia="Arial" w:hAnsi="Arial"/>
                <w:sz w:val="18"/>
                <w:szCs w:val="18"/>
                <w:color w:val="auto"/>
              </w:rPr>
              <w:t>March 18, 2016</w:t>
            </w:r>
          </w:p>
        </w:tc>
        <w:tc>
          <w:tcPr>
            <w:tcW w:w="1860" w:type="dxa"/>
            <w:vAlign w:val="bottom"/>
          </w:tcPr>
          <w:p>
            <w:pPr>
              <w:jc w:val="right"/>
              <w:spacing w:after="0"/>
              <w:rPr>
                <w:sz w:val="20"/>
                <w:szCs w:val="20"/>
                <w:color w:val="auto"/>
              </w:rPr>
            </w:pPr>
            <w:r>
              <w:rPr>
                <w:rFonts w:ascii="Arial" w:cs="Arial" w:eastAsia="Arial" w:hAnsi="Arial"/>
                <w:sz w:val="18"/>
                <w:szCs w:val="18"/>
                <w:color w:val="auto"/>
              </w:rPr>
              <w:t>April 8, 2016</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0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May 26, 2016</w:t>
            </w:r>
          </w:p>
        </w:tc>
        <w:tc>
          <w:tcPr>
            <w:tcW w:w="23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June 10, 2016</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 2016</w:t>
            </w: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040" w:type="dxa"/>
            <w:vAlign w:val="bottom"/>
          </w:tcPr>
          <w:p>
            <w:pPr>
              <w:spacing w:after="0"/>
              <w:rPr>
                <w:sz w:val="22"/>
                <w:szCs w:val="22"/>
                <w:color w:val="auto"/>
              </w:rPr>
            </w:pPr>
          </w:p>
        </w:tc>
        <w:tc>
          <w:tcPr>
            <w:tcW w:w="1740" w:type="dxa"/>
            <w:vAlign w:val="bottom"/>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Pr>
          <w:p>
            <w:pPr>
              <w:jc w:val="right"/>
              <w:ind w:right="232"/>
              <w:spacing w:after="0"/>
              <w:rPr>
                <w:sz w:val="20"/>
                <w:szCs w:val="20"/>
                <w:color w:val="auto"/>
              </w:rPr>
            </w:pPr>
            <w:r>
              <w:rPr>
                <w:rFonts w:ascii="Arial" w:cs="Arial" w:eastAsia="Arial" w:hAnsi="Arial"/>
                <w:sz w:val="18"/>
                <w:szCs w:val="18"/>
                <w:color w:val="auto"/>
              </w:rPr>
              <w:t>September 12, 2016</w:t>
            </w:r>
          </w:p>
        </w:tc>
        <w:tc>
          <w:tcPr>
            <w:tcW w:w="2380" w:type="dxa"/>
            <w:vAlign w:val="bottom"/>
          </w:tcPr>
          <w:p>
            <w:pPr>
              <w:jc w:val="right"/>
              <w:ind w:right="352"/>
              <w:spacing w:after="0"/>
              <w:rPr>
                <w:sz w:val="20"/>
                <w:szCs w:val="20"/>
                <w:color w:val="auto"/>
              </w:rPr>
            </w:pPr>
            <w:r>
              <w:rPr>
                <w:rFonts w:ascii="Arial" w:cs="Arial" w:eastAsia="Arial" w:hAnsi="Arial"/>
                <w:sz w:val="18"/>
                <w:szCs w:val="18"/>
                <w:color w:val="auto"/>
              </w:rPr>
              <w:t>September 23, 2016</w:t>
            </w:r>
          </w:p>
        </w:tc>
        <w:tc>
          <w:tcPr>
            <w:tcW w:w="1860" w:type="dxa"/>
            <w:vAlign w:val="bottom"/>
          </w:tcPr>
          <w:p>
            <w:pPr>
              <w:jc w:val="right"/>
              <w:spacing w:after="0"/>
              <w:rPr>
                <w:sz w:val="20"/>
                <w:szCs w:val="20"/>
                <w:color w:val="auto"/>
              </w:rPr>
            </w:pPr>
            <w:r>
              <w:rPr>
                <w:rFonts w:ascii="Arial" w:cs="Arial" w:eastAsia="Arial" w:hAnsi="Arial"/>
                <w:sz w:val="18"/>
                <w:szCs w:val="18"/>
                <w:color w:val="auto"/>
              </w:rPr>
              <w:t>October 12, 2016</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0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November 30, 2016</w:t>
            </w:r>
          </w:p>
        </w:tc>
        <w:tc>
          <w:tcPr>
            <w:tcW w:w="23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December 16, 2016</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6, 2017</w:t>
            </w:r>
          </w:p>
        </w:tc>
      </w:tr>
      <w:tr>
        <w:trPr>
          <w:trHeight w:val="324"/>
        </w:trPr>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0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Pr>
          <w:p>
            <w:pPr>
              <w:jc w:val="right"/>
              <w:ind w:right="232"/>
              <w:spacing w:after="0"/>
              <w:rPr>
                <w:sz w:val="20"/>
                <w:szCs w:val="20"/>
                <w:color w:val="auto"/>
              </w:rPr>
            </w:pPr>
            <w:r>
              <w:rPr>
                <w:rFonts w:ascii="Arial" w:cs="Arial" w:eastAsia="Arial" w:hAnsi="Arial"/>
                <w:sz w:val="18"/>
                <w:szCs w:val="18"/>
                <w:color w:val="auto"/>
              </w:rPr>
              <w:t>March 3, 2015</w:t>
            </w:r>
          </w:p>
        </w:tc>
        <w:tc>
          <w:tcPr>
            <w:tcW w:w="2380" w:type="dxa"/>
            <w:vAlign w:val="bottom"/>
          </w:tcPr>
          <w:p>
            <w:pPr>
              <w:jc w:val="right"/>
              <w:ind w:right="352"/>
              <w:spacing w:after="0"/>
              <w:rPr>
                <w:sz w:val="20"/>
                <w:szCs w:val="20"/>
                <w:color w:val="auto"/>
              </w:rPr>
            </w:pPr>
            <w:r>
              <w:rPr>
                <w:rFonts w:ascii="Arial" w:cs="Arial" w:eastAsia="Arial" w:hAnsi="Arial"/>
                <w:sz w:val="18"/>
                <w:szCs w:val="18"/>
                <w:color w:val="auto"/>
              </w:rPr>
              <w:t>March 20, 2015</w:t>
            </w:r>
          </w:p>
        </w:tc>
        <w:tc>
          <w:tcPr>
            <w:tcW w:w="1860" w:type="dxa"/>
            <w:vAlign w:val="bottom"/>
          </w:tcPr>
          <w:p>
            <w:pPr>
              <w:jc w:val="right"/>
              <w:spacing w:after="0"/>
              <w:rPr>
                <w:sz w:val="20"/>
                <w:szCs w:val="20"/>
                <w:color w:val="auto"/>
              </w:rPr>
            </w:pPr>
            <w:r>
              <w:rPr>
                <w:rFonts w:ascii="Arial" w:cs="Arial" w:eastAsia="Arial" w:hAnsi="Arial"/>
                <w:sz w:val="18"/>
                <w:szCs w:val="18"/>
                <w:color w:val="auto"/>
              </w:rPr>
              <w:t>April 10, 2015</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0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June 1, 2015</w:t>
            </w:r>
          </w:p>
        </w:tc>
        <w:tc>
          <w:tcPr>
            <w:tcW w:w="23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June 19, 2015</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10, 2015</w:t>
            </w: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040" w:type="dxa"/>
            <w:vAlign w:val="bottom"/>
          </w:tcPr>
          <w:p>
            <w:pPr>
              <w:spacing w:after="0"/>
              <w:rPr>
                <w:sz w:val="22"/>
                <w:szCs w:val="22"/>
                <w:color w:val="auto"/>
              </w:rPr>
            </w:pPr>
          </w:p>
        </w:tc>
        <w:tc>
          <w:tcPr>
            <w:tcW w:w="1740" w:type="dxa"/>
            <w:vAlign w:val="bottom"/>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Pr>
          <w:p>
            <w:pPr>
              <w:jc w:val="right"/>
              <w:ind w:right="232"/>
              <w:spacing w:after="0"/>
              <w:rPr>
                <w:sz w:val="20"/>
                <w:szCs w:val="20"/>
                <w:color w:val="auto"/>
              </w:rPr>
            </w:pPr>
            <w:r>
              <w:rPr>
                <w:rFonts w:ascii="Arial" w:cs="Arial" w:eastAsia="Arial" w:hAnsi="Arial"/>
                <w:sz w:val="18"/>
                <w:szCs w:val="18"/>
                <w:color w:val="auto"/>
              </w:rPr>
              <w:t>September 9, 2015</w:t>
            </w:r>
          </w:p>
        </w:tc>
        <w:tc>
          <w:tcPr>
            <w:tcW w:w="2380" w:type="dxa"/>
            <w:vAlign w:val="bottom"/>
          </w:tcPr>
          <w:p>
            <w:pPr>
              <w:jc w:val="right"/>
              <w:ind w:right="352"/>
              <w:spacing w:after="0"/>
              <w:rPr>
                <w:sz w:val="20"/>
                <w:szCs w:val="20"/>
                <w:color w:val="auto"/>
              </w:rPr>
            </w:pPr>
            <w:r>
              <w:rPr>
                <w:rFonts w:ascii="Arial" w:cs="Arial" w:eastAsia="Arial" w:hAnsi="Arial"/>
                <w:sz w:val="18"/>
                <w:szCs w:val="18"/>
                <w:color w:val="auto"/>
              </w:rPr>
              <w:t>September 21, 2015</w:t>
            </w:r>
          </w:p>
        </w:tc>
        <w:tc>
          <w:tcPr>
            <w:tcW w:w="1860" w:type="dxa"/>
            <w:vAlign w:val="bottom"/>
          </w:tcPr>
          <w:p>
            <w:pPr>
              <w:jc w:val="right"/>
              <w:spacing w:after="0"/>
              <w:rPr>
                <w:sz w:val="20"/>
                <w:szCs w:val="20"/>
                <w:color w:val="auto"/>
              </w:rPr>
            </w:pPr>
            <w:r>
              <w:rPr>
                <w:rFonts w:ascii="Arial" w:cs="Arial" w:eastAsia="Arial" w:hAnsi="Arial"/>
                <w:sz w:val="18"/>
                <w:szCs w:val="18"/>
                <w:color w:val="auto"/>
              </w:rPr>
              <w:t>October 13, 2015</w:t>
            </w:r>
          </w:p>
        </w:tc>
      </w:tr>
      <w:tr>
        <w:trPr>
          <w:trHeight w:val="270"/>
        </w:trPr>
        <w:tc>
          <w:tcPr>
            <w:tcW w:w="2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04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November 24, 2015</w:t>
            </w:r>
          </w:p>
        </w:tc>
        <w:tc>
          <w:tcPr>
            <w:tcW w:w="23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December 18, 2015</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January 8, 2016</w:t>
            </w: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Facility and Term Loans restrict the payment of cash dividends to a maximum of the sum of (i) $100.0 million plus (ii) 50% of the cumulative consolidated net income for each fiscal quarter beginning with the fiscal quarter ended March 31, 2016, plus (iii) 100% of the net proceeds of all equity issuances made after October 2013. For additional information regarding our Credit Facility and Term Loans, see Note 7 to the accompanying consolidated financial statements, included herein, and “Liquidity and Capital Resources” in “Item 7 – Management’s Discussion and Analysis of Financial Condition and Results of Operations.”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This graph compares the total shareholder return on our common stock with the total return on the Russell 2000 Index and the S&amp;P Energy Index for the five</w:t>
      </w:r>
      <w:r>
        <w:rPr>
          <w:rFonts w:ascii="MS PGothic" w:cs="MS PGothic" w:eastAsia="MS PGothic" w:hAnsi="MS PGothic"/>
          <w:sz w:val="18"/>
          <w:szCs w:val="18"/>
          <w:color w:val="auto"/>
        </w:rPr>
        <w:t>‑</w:t>
      </w:r>
      <w:r>
        <w:rPr>
          <w:rFonts w:ascii="Arial" w:cs="Arial" w:eastAsia="Arial" w:hAnsi="Arial"/>
          <w:sz w:val="18"/>
          <w:szCs w:val="18"/>
          <w:color w:val="auto"/>
        </w:rPr>
        <w:t>year period from December 31, 2011 through December 31, 2016. The cumulative return includes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137160</wp:posOffset>
            </wp:positionV>
            <wp:extent cx="5162550" cy="4296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2550" cy="429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table summarizes securities authorized for issuance related to outstanding restricted stock units (“RSUs”) and stock</w:t>
      </w:r>
      <w:r>
        <w:rPr>
          <w:rFonts w:ascii="MS PGothic" w:cs="MS PGothic" w:eastAsia="MS PGothic" w:hAnsi="MS PGothic"/>
          <w:sz w:val="18"/>
          <w:szCs w:val="18"/>
          <w:color w:val="auto"/>
        </w:rPr>
        <w:t>‑</w:t>
      </w:r>
      <w:r>
        <w:rPr>
          <w:rFonts w:ascii="Arial" w:cs="Arial" w:eastAsia="Arial" w:hAnsi="Arial"/>
          <w:sz w:val="18"/>
          <w:szCs w:val="18"/>
          <w:color w:val="auto"/>
        </w:rPr>
        <w:t>settled stock appreciation rights ("SSAR Awards") under our 2016 equity compensation plan (which was approved by our shareholders in May 2016) (the "2016 Plan") and available for future issuance under our 2016 Plan as of December 31, 2016 (in millions, except weighted average price data), as well as the 2006 equity compensation plan (the "2006 Plan"):</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80" w:type="dxa"/>
            <w:vAlign w:val="bottom"/>
          </w:tcPr>
          <w:p>
            <w:pPr>
              <w:jc w:val="right"/>
              <w:ind w:right="25"/>
              <w:spacing w:after="0"/>
              <w:rPr>
                <w:sz w:val="20"/>
                <w:szCs w:val="20"/>
                <w:color w:val="auto"/>
              </w:rPr>
            </w:pPr>
            <w:r>
              <w:rPr>
                <w:rFonts w:ascii="Arial" w:cs="Arial" w:eastAsia="Arial" w:hAnsi="Arial"/>
                <w:sz w:val="14"/>
                <w:szCs w:val="14"/>
                <w:b w:val="1"/>
                <w:bCs w:val="1"/>
                <w:color w:val="auto"/>
              </w:rPr>
              <w:t>(c) Number</w:t>
            </w:r>
          </w:p>
        </w:tc>
      </w:tr>
      <w:tr>
        <w:trPr>
          <w:trHeight w:val="162"/>
        </w:trPr>
        <w:tc>
          <w:tcPr>
            <w:tcW w:w="46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80" w:type="dxa"/>
            <w:vAlign w:val="bottom"/>
          </w:tcPr>
          <w:p>
            <w:pPr>
              <w:jc w:val="right"/>
              <w:ind w:right="25"/>
              <w:spacing w:after="0"/>
              <w:rPr>
                <w:sz w:val="20"/>
                <w:szCs w:val="20"/>
                <w:color w:val="auto"/>
              </w:rPr>
            </w:pPr>
            <w:r>
              <w:rPr>
                <w:rFonts w:ascii="Arial" w:cs="Arial" w:eastAsia="Arial" w:hAnsi="Arial"/>
                <w:sz w:val="14"/>
                <w:szCs w:val="14"/>
                <w:b w:val="1"/>
                <w:bCs w:val="1"/>
                <w:color w:val="auto"/>
              </w:rPr>
              <w:t>of securities</w:t>
            </w:r>
          </w:p>
        </w:tc>
      </w:tr>
      <w:tr>
        <w:trPr>
          <w:trHeight w:val="162"/>
        </w:trPr>
        <w:tc>
          <w:tcPr>
            <w:tcW w:w="46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80" w:type="dxa"/>
            <w:vAlign w:val="bottom"/>
          </w:tcPr>
          <w:p>
            <w:pPr>
              <w:jc w:val="right"/>
              <w:ind w:right="25"/>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4620" w:type="dxa"/>
            <w:vAlign w:val="bottom"/>
          </w:tcPr>
          <w:p>
            <w:pPr>
              <w:spacing w:after="0"/>
              <w:rPr>
                <w:sz w:val="14"/>
                <w:szCs w:val="14"/>
                <w:color w:val="auto"/>
              </w:rPr>
            </w:pPr>
          </w:p>
        </w:tc>
        <w:tc>
          <w:tcPr>
            <w:tcW w:w="3180" w:type="dxa"/>
            <w:vAlign w:val="bottom"/>
          </w:tcPr>
          <w:p>
            <w:pPr>
              <w:jc w:val="right"/>
              <w:ind w:right="184"/>
              <w:spacing w:after="0"/>
              <w:rPr>
                <w:sz w:val="20"/>
                <w:szCs w:val="20"/>
                <w:color w:val="auto"/>
              </w:rPr>
            </w:pPr>
            <w:r>
              <w:rPr>
                <w:rFonts w:ascii="Arial" w:cs="Arial" w:eastAsia="Arial" w:hAnsi="Arial"/>
                <w:sz w:val="14"/>
                <w:szCs w:val="14"/>
                <w:b w:val="1"/>
                <w:bCs w:val="1"/>
                <w:color w:val="auto"/>
              </w:rPr>
              <w:t>(a) Maximum number</w:t>
            </w:r>
          </w:p>
        </w:tc>
        <w:tc>
          <w:tcPr>
            <w:tcW w:w="340" w:type="dxa"/>
            <w:vAlign w:val="bottom"/>
          </w:tcPr>
          <w:p>
            <w:pPr>
              <w:spacing w:after="0"/>
              <w:rPr>
                <w:sz w:val="14"/>
                <w:szCs w:val="14"/>
                <w:color w:val="auto"/>
              </w:rPr>
            </w:pPr>
          </w:p>
        </w:tc>
        <w:tc>
          <w:tcPr>
            <w:tcW w:w="1500" w:type="dxa"/>
            <w:vAlign w:val="bottom"/>
          </w:tcPr>
          <w:p>
            <w:pPr>
              <w:jc w:val="right"/>
              <w:ind w:right="164"/>
              <w:spacing w:after="0"/>
              <w:rPr>
                <w:sz w:val="20"/>
                <w:szCs w:val="20"/>
                <w:color w:val="auto"/>
              </w:rPr>
            </w:pPr>
            <w:r>
              <w:rPr>
                <w:rFonts w:ascii="Arial" w:cs="Arial" w:eastAsia="Arial" w:hAnsi="Arial"/>
                <w:sz w:val="14"/>
                <w:szCs w:val="14"/>
                <w:b w:val="1"/>
                <w:bCs w:val="1"/>
                <w:color w:val="auto"/>
              </w:rPr>
              <w:t>(b) Weighted</w:t>
            </w:r>
          </w:p>
        </w:tc>
        <w:tc>
          <w:tcPr>
            <w:tcW w:w="1780" w:type="dxa"/>
            <w:vAlign w:val="bottom"/>
          </w:tcPr>
          <w:p>
            <w:pPr>
              <w:jc w:val="right"/>
              <w:ind w:right="25"/>
              <w:spacing w:after="0"/>
              <w:rPr>
                <w:sz w:val="20"/>
                <w:szCs w:val="20"/>
                <w:color w:val="auto"/>
              </w:rPr>
            </w:pPr>
            <w:r>
              <w:rPr>
                <w:rFonts w:ascii="Arial" w:cs="Arial" w:eastAsia="Arial" w:hAnsi="Arial"/>
                <w:sz w:val="14"/>
                <w:szCs w:val="14"/>
                <w:b w:val="1"/>
                <w:bCs w:val="1"/>
                <w:color w:val="auto"/>
              </w:rPr>
              <w:t>for future issuance</w:t>
            </w:r>
          </w:p>
        </w:tc>
      </w:tr>
      <w:tr>
        <w:trPr>
          <w:trHeight w:val="162"/>
        </w:trPr>
        <w:tc>
          <w:tcPr>
            <w:tcW w:w="4620" w:type="dxa"/>
            <w:vAlign w:val="bottom"/>
          </w:tcPr>
          <w:p>
            <w:pPr>
              <w:spacing w:after="0"/>
              <w:rPr>
                <w:sz w:val="14"/>
                <w:szCs w:val="14"/>
                <w:color w:val="auto"/>
              </w:rPr>
            </w:pPr>
          </w:p>
        </w:tc>
        <w:tc>
          <w:tcPr>
            <w:tcW w:w="3180" w:type="dxa"/>
            <w:vAlign w:val="bottom"/>
          </w:tcPr>
          <w:p>
            <w:pPr>
              <w:jc w:val="right"/>
              <w:ind w:right="184"/>
              <w:spacing w:after="0"/>
              <w:rPr>
                <w:sz w:val="20"/>
                <w:szCs w:val="20"/>
                <w:color w:val="auto"/>
              </w:rPr>
            </w:pPr>
            <w:r>
              <w:rPr>
                <w:rFonts w:ascii="Arial" w:cs="Arial" w:eastAsia="Arial" w:hAnsi="Arial"/>
                <w:sz w:val="14"/>
                <w:szCs w:val="14"/>
                <w:b w:val="1"/>
                <w:bCs w:val="1"/>
                <w:color w:val="auto"/>
              </w:rPr>
              <w:t>of securities to be</w:t>
            </w:r>
          </w:p>
        </w:tc>
        <w:tc>
          <w:tcPr>
            <w:tcW w:w="340" w:type="dxa"/>
            <w:vAlign w:val="bottom"/>
          </w:tcPr>
          <w:p>
            <w:pPr>
              <w:spacing w:after="0"/>
              <w:rPr>
                <w:sz w:val="14"/>
                <w:szCs w:val="14"/>
                <w:color w:val="auto"/>
              </w:rPr>
            </w:pPr>
          </w:p>
        </w:tc>
        <w:tc>
          <w:tcPr>
            <w:tcW w:w="1500" w:type="dxa"/>
            <w:vAlign w:val="bottom"/>
          </w:tcPr>
          <w:p>
            <w:pPr>
              <w:jc w:val="right"/>
              <w:ind w:right="164"/>
              <w:spacing w:after="0"/>
              <w:rPr>
                <w:sz w:val="20"/>
                <w:szCs w:val="20"/>
                <w:color w:val="auto"/>
              </w:rPr>
            </w:pPr>
            <w:r>
              <w:rPr>
                <w:rFonts w:ascii="Arial" w:cs="Arial" w:eastAsia="Arial" w:hAnsi="Arial"/>
                <w:sz w:val="14"/>
                <w:szCs w:val="14"/>
                <w:b w:val="1"/>
                <w:bCs w:val="1"/>
                <w:color w:val="auto"/>
              </w:rPr>
              <w:t>average exercise</w:t>
            </w:r>
          </w:p>
        </w:tc>
        <w:tc>
          <w:tcPr>
            <w:tcW w:w="1780" w:type="dxa"/>
            <w:vAlign w:val="bottom"/>
          </w:tcPr>
          <w:p>
            <w:pPr>
              <w:jc w:val="right"/>
              <w:ind w:right="25"/>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4620" w:type="dxa"/>
            <w:vAlign w:val="bottom"/>
          </w:tcPr>
          <w:p>
            <w:pPr>
              <w:spacing w:after="0"/>
              <w:rPr>
                <w:sz w:val="14"/>
                <w:szCs w:val="14"/>
                <w:color w:val="auto"/>
              </w:rPr>
            </w:pPr>
          </w:p>
        </w:tc>
        <w:tc>
          <w:tcPr>
            <w:tcW w:w="3180" w:type="dxa"/>
            <w:vAlign w:val="bottom"/>
          </w:tcPr>
          <w:p>
            <w:pPr>
              <w:jc w:val="right"/>
              <w:ind w:right="184"/>
              <w:spacing w:after="0"/>
              <w:rPr>
                <w:sz w:val="20"/>
                <w:szCs w:val="20"/>
                <w:color w:val="auto"/>
              </w:rPr>
            </w:pPr>
            <w:r>
              <w:rPr>
                <w:rFonts w:ascii="Arial" w:cs="Arial" w:eastAsia="Arial" w:hAnsi="Arial"/>
                <w:sz w:val="14"/>
                <w:szCs w:val="14"/>
                <w:b w:val="1"/>
                <w:bCs w:val="1"/>
                <w:color w:val="auto"/>
              </w:rPr>
              <w:t>issued upon</w:t>
            </w:r>
          </w:p>
        </w:tc>
        <w:tc>
          <w:tcPr>
            <w:tcW w:w="340" w:type="dxa"/>
            <w:vAlign w:val="bottom"/>
          </w:tcPr>
          <w:p>
            <w:pPr>
              <w:spacing w:after="0"/>
              <w:rPr>
                <w:sz w:val="14"/>
                <w:szCs w:val="14"/>
                <w:color w:val="auto"/>
              </w:rPr>
            </w:pPr>
          </w:p>
        </w:tc>
        <w:tc>
          <w:tcPr>
            <w:tcW w:w="1500" w:type="dxa"/>
            <w:vAlign w:val="bottom"/>
          </w:tcPr>
          <w:p>
            <w:pPr>
              <w:jc w:val="right"/>
              <w:ind w:right="164"/>
              <w:spacing w:after="0"/>
              <w:rPr>
                <w:sz w:val="20"/>
                <w:szCs w:val="20"/>
                <w:color w:val="auto"/>
              </w:rPr>
            </w:pPr>
            <w:r>
              <w:rPr>
                <w:rFonts w:ascii="Arial" w:cs="Arial" w:eastAsia="Arial" w:hAnsi="Arial"/>
                <w:sz w:val="14"/>
                <w:szCs w:val="14"/>
                <w:b w:val="1"/>
                <w:bCs w:val="1"/>
                <w:color w:val="auto"/>
              </w:rPr>
              <w:t>price of</w:t>
            </w:r>
          </w:p>
        </w:tc>
        <w:tc>
          <w:tcPr>
            <w:tcW w:w="1780" w:type="dxa"/>
            <w:vAlign w:val="bottom"/>
          </w:tcPr>
          <w:p>
            <w:pPr>
              <w:jc w:val="right"/>
              <w:ind w:right="25"/>
              <w:spacing w:after="0"/>
              <w:rPr>
                <w:sz w:val="20"/>
                <w:szCs w:val="20"/>
                <w:color w:val="auto"/>
              </w:rPr>
            </w:pPr>
            <w:r>
              <w:rPr>
                <w:rFonts w:ascii="Arial" w:cs="Arial" w:eastAsia="Arial" w:hAnsi="Arial"/>
                <w:sz w:val="14"/>
                <w:szCs w:val="14"/>
                <w:b w:val="1"/>
                <w:bCs w:val="1"/>
                <w:color w:val="auto"/>
              </w:rPr>
              <w:t>compensation plan</w:t>
            </w:r>
          </w:p>
        </w:tc>
      </w:tr>
      <w:tr>
        <w:trPr>
          <w:trHeight w:val="162"/>
        </w:trPr>
        <w:tc>
          <w:tcPr>
            <w:tcW w:w="4620" w:type="dxa"/>
            <w:vAlign w:val="bottom"/>
          </w:tcPr>
          <w:p>
            <w:pPr>
              <w:spacing w:after="0"/>
              <w:rPr>
                <w:sz w:val="14"/>
                <w:szCs w:val="14"/>
                <w:color w:val="auto"/>
              </w:rPr>
            </w:pPr>
          </w:p>
        </w:tc>
        <w:tc>
          <w:tcPr>
            <w:tcW w:w="3180" w:type="dxa"/>
            <w:vAlign w:val="bottom"/>
          </w:tcPr>
          <w:p>
            <w:pPr>
              <w:jc w:val="right"/>
              <w:ind w:right="184"/>
              <w:spacing w:after="0"/>
              <w:rPr>
                <w:sz w:val="20"/>
                <w:szCs w:val="20"/>
                <w:color w:val="auto"/>
              </w:rPr>
            </w:pPr>
            <w:r>
              <w:rPr>
                <w:rFonts w:ascii="Arial" w:cs="Arial" w:eastAsia="Arial" w:hAnsi="Arial"/>
                <w:sz w:val="14"/>
                <w:szCs w:val="14"/>
                <w:b w:val="1"/>
                <w:bCs w:val="1"/>
                <w:color w:val="auto"/>
              </w:rPr>
              <w:t>exercise of</w:t>
            </w:r>
          </w:p>
        </w:tc>
        <w:tc>
          <w:tcPr>
            <w:tcW w:w="340" w:type="dxa"/>
            <w:vAlign w:val="bottom"/>
          </w:tcPr>
          <w:p>
            <w:pPr>
              <w:spacing w:after="0"/>
              <w:rPr>
                <w:sz w:val="14"/>
                <w:szCs w:val="14"/>
                <w:color w:val="auto"/>
              </w:rPr>
            </w:pPr>
          </w:p>
        </w:tc>
        <w:tc>
          <w:tcPr>
            <w:tcW w:w="1500" w:type="dxa"/>
            <w:vAlign w:val="bottom"/>
          </w:tcPr>
          <w:p>
            <w:pPr>
              <w:jc w:val="right"/>
              <w:ind w:right="164"/>
              <w:spacing w:after="0"/>
              <w:rPr>
                <w:sz w:val="20"/>
                <w:szCs w:val="20"/>
                <w:color w:val="auto"/>
              </w:rPr>
            </w:pPr>
            <w:r>
              <w:rPr>
                <w:rFonts w:ascii="Arial" w:cs="Arial" w:eastAsia="Arial" w:hAnsi="Arial"/>
                <w:sz w:val="14"/>
                <w:szCs w:val="14"/>
                <w:b w:val="1"/>
                <w:bCs w:val="1"/>
                <w:color w:val="auto"/>
              </w:rPr>
              <w:t>outstanding RSUs</w:t>
            </w:r>
          </w:p>
        </w:tc>
        <w:tc>
          <w:tcPr>
            <w:tcW w:w="1780" w:type="dxa"/>
            <w:vAlign w:val="bottom"/>
          </w:tcPr>
          <w:p>
            <w:pPr>
              <w:jc w:val="right"/>
              <w:ind w:right="25"/>
              <w:spacing w:after="0"/>
              <w:rPr>
                <w:sz w:val="20"/>
                <w:szCs w:val="20"/>
                <w:color w:val="auto"/>
              </w:rPr>
            </w:pPr>
            <w:r>
              <w:rPr>
                <w:rFonts w:ascii="Arial" w:cs="Arial" w:eastAsia="Arial" w:hAnsi="Arial"/>
                <w:sz w:val="14"/>
                <w:szCs w:val="14"/>
                <w:b w:val="1"/>
                <w:bCs w:val="1"/>
                <w:color w:val="auto"/>
              </w:rPr>
              <w:t>(excluding securities</w:t>
            </w:r>
          </w:p>
        </w:tc>
      </w:tr>
      <w:tr>
        <w:trPr>
          <w:trHeight w:val="162"/>
        </w:trPr>
        <w:tc>
          <w:tcPr>
            <w:tcW w:w="4620" w:type="dxa"/>
            <w:vAlign w:val="bottom"/>
          </w:tcPr>
          <w:p>
            <w:pPr>
              <w:spacing w:after="0"/>
              <w:rPr>
                <w:sz w:val="14"/>
                <w:szCs w:val="14"/>
                <w:color w:val="auto"/>
              </w:rPr>
            </w:pPr>
          </w:p>
        </w:tc>
        <w:tc>
          <w:tcPr>
            <w:tcW w:w="3180" w:type="dxa"/>
            <w:vAlign w:val="bottom"/>
          </w:tcPr>
          <w:p>
            <w:pPr>
              <w:jc w:val="right"/>
              <w:ind w:right="184"/>
              <w:spacing w:after="0"/>
              <w:rPr>
                <w:sz w:val="20"/>
                <w:szCs w:val="20"/>
                <w:color w:val="auto"/>
              </w:rPr>
            </w:pPr>
            <w:r>
              <w:rPr>
                <w:rFonts w:ascii="Arial" w:cs="Arial" w:eastAsia="Arial" w:hAnsi="Arial"/>
                <w:sz w:val="14"/>
                <w:szCs w:val="14"/>
                <w:b w:val="1"/>
                <w:bCs w:val="1"/>
                <w:color w:val="auto"/>
              </w:rPr>
              <w:t>outstanding RSUs</w:t>
            </w:r>
          </w:p>
        </w:tc>
        <w:tc>
          <w:tcPr>
            <w:tcW w:w="340" w:type="dxa"/>
            <w:vAlign w:val="bottom"/>
          </w:tcPr>
          <w:p>
            <w:pPr>
              <w:spacing w:after="0"/>
              <w:rPr>
                <w:sz w:val="14"/>
                <w:szCs w:val="14"/>
                <w:color w:val="auto"/>
              </w:rPr>
            </w:pPr>
          </w:p>
        </w:tc>
        <w:tc>
          <w:tcPr>
            <w:tcW w:w="1500" w:type="dxa"/>
            <w:vAlign w:val="bottom"/>
          </w:tcPr>
          <w:p>
            <w:pPr>
              <w:jc w:val="right"/>
              <w:ind w:right="164"/>
              <w:spacing w:after="0"/>
              <w:rPr>
                <w:sz w:val="20"/>
                <w:szCs w:val="20"/>
                <w:color w:val="auto"/>
              </w:rPr>
            </w:pPr>
            <w:r>
              <w:rPr>
                <w:rFonts w:ascii="Arial" w:cs="Arial" w:eastAsia="Arial" w:hAnsi="Arial"/>
                <w:sz w:val="14"/>
                <w:szCs w:val="14"/>
                <w:b w:val="1"/>
                <w:bCs w:val="1"/>
                <w:color w:val="auto"/>
              </w:rPr>
              <w:t>and SSAR</w:t>
            </w:r>
          </w:p>
        </w:tc>
        <w:tc>
          <w:tcPr>
            <w:tcW w:w="1780" w:type="dxa"/>
            <w:vAlign w:val="bottom"/>
          </w:tcPr>
          <w:p>
            <w:pPr>
              <w:jc w:val="right"/>
              <w:ind w:right="25"/>
              <w:spacing w:after="0"/>
              <w:rPr>
                <w:sz w:val="20"/>
                <w:szCs w:val="20"/>
                <w:color w:val="auto"/>
              </w:rPr>
            </w:pPr>
            <w:r>
              <w:rPr>
                <w:rFonts w:ascii="Arial" w:cs="Arial" w:eastAsia="Arial" w:hAnsi="Arial"/>
                <w:sz w:val="14"/>
                <w:szCs w:val="14"/>
                <w:b w:val="1"/>
                <w:bCs w:val="1"/>
                <w:color w:val="auto"/>
              </w:rPr>
              <w:t>reflected in column</w:t>
            </w:r>
          </w:p>
        </w:tc>
      </w:tr>
      <w:tr>
        <w:trPr>
          <w:trHeight w:val="20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name or description</w:t>
            </w:r>
          </w:p>
        </w:tc>
        <w:tc>
          <w:tcPr>
            <w:tcW w:w="31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and SSAR Awards</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7"/>
                <w:szCs w:val="17"/>
                <w:b w:val="1"/>
                <w:bCs w:val="1"/>
                <w:color w:val="auto"/>
                <w:vertAlign w:val="superscript"/>
              </w:rPr>
              <w:t>(1)</w:t>
            </w:r>
          </w:p>
        </w:tc>
        <w:tc>
          <w:tcPr>
            <w:tcW w:w="17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(a))</w:t>
            </w:r>
          </w:p>
        </w:tc>
      </w:tr>
      <w:tr>
        <w:trPr>
          <w:trHeight w:val="257"/>
        </w:trPr>
        <w:tc>
          <w:tcPr>
            <w:tcW w:w="4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2016 Omnibus Plan</w:t>
            </w:r>
          </w:p>
        </w:tc>
        <w:tc>
          <w:tcPr>
            <w:tcW w:w="318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4.3</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51"/>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2006 Omnibus Plan (amended and restated)</w:t>
            </w:r>
          </w:p>
        </w:tc>
        <w:tc>
          <w:tcPr>
            <w:tcW w:w="318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color w:val="auto"/>
              </w:rPr>
              <w:t>44.97</w:t>
            </w:r>
          </w:p>
        </w:tc>
        <w:tc>
          <w:tcPr>
            <w:tcW w:w="178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623"/>
        </w:trPr>
        <w:tc>
          <w:tcPr>
            <w:tcW w:w="4620" w:type="dxa"/>
            <w:vAlign w:val="bottom"/>
          </w:tcPr>
          <w:p>
            <w:pPr>
              <w:spacing w:after="0"/>
              <w:rPr>
                <w:sz w:val="24"/>
                <w:szCs w:val="24"/>
                <w:color w:val="auto"/>
              </w:rPr>
            </w:pPr>
          </w:p>
        </w:tc>
        <w:tc>
          <w:tcPr>
            <w:tcW w:w="3180" w:type="dxa"/>
            <w:vAlign w:val="bottom"/>
          </w:tcPr>
          <w:p>
            <w:pPr>
              <w:jc w:val="right"/>
              <w:ind w:right="1924"/>
              <w:spacing w:after="0"/>
              <w:rPr>
                <w:sz w:val="20"/>
                <w:szCs w:val="20"/>
                <w:color w:val="auto"/>
              </w:rPr>
            </w:pPr>
            <w:r>
              <w:rPr>
                <w:rFonts w:ascii="Arial" w:cs="Arial" w:eastAsia="Arial" w:hAnsi="Arial"/>
                <w:sz w:val="14"/>
                <w:szCs w:val="14"/>
                <w:color w:val="auto"/>
              </w:rPr>
              <w:t>24</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left="340" w:hanging="332"/>
        <w:spacing w:after="0" w:line="262"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Calculated without taking into account shares of common stock subject to the RSUs reported in column (a) and that will become issuable following vesting of such RSUs without any cash consideration or other payment required.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thousands, except average price per share):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0" w:type="dxa"/>
            <w:vAlign w:val="bottom"/>
          </w:tcPr>
          <w:p>
            <w:pPr>
              <w:jc w:val="right"/>
              <w:ind w:right="19"/>
              <w:spacing w:after="0"/>
              <w:rPr>
                <w:sz w:val="20"/>
                <w:szCs w:val="20"/>
                <w:color w:val="auto"/>
              </w:rPr>
            </w:pPr>
            <w:r>
              <w:rPr>
                <w:rFonts w:ascii="Arial" w:cs="Arial" w:eastAsia="Arial" w:hAnsi="Arial"/>
                <w:sz w:val="14"/>
                <w:szCs w:val="14"/>
                <w:b w:val="1"/>
                <w:bCs w:val="1"/>
                <w:color w:val="auto"/>
              </w:rPr>
              <w:t>Total Number of Shares</w:t>
            </w:r>
          </w:p>
        </w:tc>
        <w:tc>
          <w:tcPr>
            <w:tcW w:w="280" w:type="dxa"/>
            <w:vAlign w:val="bottom"/>
          </w:tcPr>
          <w:p>
            <w:pPr>
              <w:spacing w:after="0"/>
              <w:rPr>
                <w:sz w:val="14"/>
                <w:szCs w:val="14"/>
                <w:color w:val="auto"/>
              </w:rPr>
            </w:pPr>
          </w:p>
        </w:tc>
        <w:tc>
          <w:tcPr>
            <w:tcW w:w="1900" w:type="dxa"/>
            <w:vAlign w:val="bottom"/>
          </w:tcPr>
          <w:p>
            <w:pPr>
              <w:jc w:val="right"/>
              <w:ind w:right="18"/>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4460" w:type="dxa"/>
            <w:vAlign w:val="bottom"/>
          </w:tcPr>
          <w:p>
            <w:pPr>
              <w:spacing w:after="0"/>
              <w:rPr>
                <w:sz w:val="14"/>
                <w:szCs w:val="14"/>
                <w:color w:val="auto"/>
              </w:rPr>
            </w:pPr>
          </w:p>
        </w:tc>
        <w:tc>
          <w:tcPr>
            <w:tcW w:w="1380" w:type="dxa"/>
            <w:vAlign w:val="bottom"/>
          </w:tcPr>
          <w:p>
            <w:pPr>
              <w:jc w:val="right"/>
              <w:ind w:right="38"/>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0" w:type="dxa"/>
            <w:vAlign w:val="bottom"/>
          </w:tcPr>
          <w:p>
            <w:pPr>
              <w:jc w:val="right"/>
              <w:ind w:right="19"/>
              <w:spacing w:after="0"/>
              <w:rPr>
                <w:sz w:val="20"/>
                <w:szCs w:val="20"/>
                <w:color w:val="auto"/>
              </w:rPr>
            </w:pPr>
            <w:r>
              <w:rPr>
                <w:rFonts w:ascii="Arial" w:cs="Arial" w:eastAsia="Arial" w:hAnsi="Arial"/>
                <w:sz w:val="14"/>
                <w:szCs w:val="14"/>
                <w:b w:val="1"/>
                <w:bCs w:val="1"/>
                <w:color w:val="auto"/>
              </w:rPr>
              <w:t>Purchased as Part of</w:t>
            </w:r>
          </w:p>
        </w:tc>
        <w:tc>
          <w:tcPr>
            <w:tcW w:w="280" w:type="dxa"/>
            <w:vAlign w:val="bottom"/>
          </w:tcPr>
          <w:p>
            <w:pPr>
              <w:spacing w:after="0"/>
              <w:rPr>
                <w:sz w:val="14"/>
                <w:szCs w:val="14"/>
                <w:color w:val="auto"/>
              </w:rPr>
            </w:pPr>
          </w:p>
        </w:tc>
        <w:tc>
          <w:tcPr>
            <w:tcW w:w="1900" w:type="dxa"/>
            <w:vAlign w:val="bottom"/>
          </w:tcPr>
          <w:p>
            <w:pPr>
              <w:jc w:val="right"/>
              <w:ind w:right="18"/>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4460" w:type="dxa"/>
            <w:vAlign w:val="bottom"/>
          </w:tcPr>
          <w:p>
            <w:pPr>
              <w:spacing w:after="0"/>
              <w:rPr>
                <w:sz w:val="14"/>
                <w:szCs w:val="14"/>
                <w:color w:val="auto"/>
              </w:rPr>
            </w:pPr>
          </w:p>
        </w:tc>
        <w:tc>
          <w:tcPr>
            <w:tcW w:w="1380" w:type="dxa"/>
            <w:vAlign w:val="bottom"/>
          </w:tcPr>
          <w:p>
            <w:pPr>
              <w:jc w:val="right"/>
              <w:ind w:right="38"/>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300" w:type="dxa"/>
            <w:vAlign w:val="bottom"/>
          </w:tcPr>
          <w:p>
            <w:pPr>
              <w:jc w:val="right"/>
              <w:ind w:right="136"/>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tcPr>
          <w:p>
            <w:pPr>
              <w:jc w:val="right"/>
              <w:ind w:right="19"/>
              <w:spacing w:after="0"/>
              <w:rPr>
                <w:sz w:val="20"/>
                <w:szCs w:val="20"/>
                <w:color w:val="auto"/>
              </w:rPr>
            </w:pPr>
            <w:r>
              <w:rPr>
                <w:rFonts w:ascii="Arial" w:cs="Arial" w:eastAsia="Arial" w:hAnsi="Arial"/>
                <w:sz w:val="14"/>
                <w:szCs w:val="14"/>
                <w:b w:val="1"/>
                <w:bCs w:val="1"/>
                <w:color w:val="auto"/>
              </w:rPr>
              <w:t>Publicly Announced</w:t>
            </w:r>
          </w:p>
        </w:tc>
        <w:tc>
          <w:tcPr>
            <w:tcW w:w="218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rPr>
              <w:t>Purchased Under the Plans</w:t>
            </w:r>
          </w:p>
        </w:tc>
      </w:tr>
      <w:tr>
        <w:trPr>
          <w:trHeight w:val="20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Paid Per Share</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Plans or Programs</w:t>
            </w: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17"/>
                <w:szCs w:val="17"/>
                <w:b w:val="1"/>
                <w:bCs w:val="1"/>
                <w:color w:val="auto"/>
                <w:vertAlign w:val="superscript"/>
              </w:rPr>
              <w:t>(2)</w:t>
            </w:r>
          </w:p>
        </w:tc>
      </w:tr>
      <w:tr>
        <w:trPr>
          <w:trHeight w:val="264"/>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10/1/16-10/31/16</w:t>
            </w: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100,000</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11/1/16-11/30/16</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562</w:t>
            </w:r>
          </w:p>
        </w:tc>
        <w:tc>
          <w:tcPr>
            <w:tcW w:w="30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8"/>
                <w:szCs w:val="18"/>
                <w:color w:val="auto"/>
              </w:rPr>
              <w:t>40.91</w:t>
            </w: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556</w:t>
            </w:r>
          </w:p>
        </w:tc>
        <w:tc>
          <w:tcPr>
            <w:tcW w:w="280" w:type="dxa"/>
            <w:vAlign w:val="bottom"/>
          </w:tcPr>
          <w:p>
            <w:pPr>
              <w:spacing w:after="0"/>
              <w:rPr>
                <w:sz w:val="22"/>
                <w:szCs w:val="22"/>
                <w:color w:val="auto"/>
              </w:rPr>
            </w:pPr>
          </w:p>
        </w:tc>
        <w:tc>
          <w:tcPr>
            <w:tcW w:w="1900" w:type="dxa"/>
            <w:vAlign w:val="bottom"/>
          </w:tcPr>
          <w:p>
            <w:pPr>
              <w:jc w:val="right"/>
              <w:ind w:right="18"/>
              <w:spacing w:after="0"/>
              <w:rPr>
                <w:sz w:val="20"/>
                <w:szCs w:val="20"/>
                <w:color w:val="auto"/>
              </w:rPr>
            </w:pPr>
            <w:r>
              <w:rPr>
                <w:rFonts w:ascii="Arial" w:cs="Arial" w:eastAsia="Arial" w:hAnsi="Arial"/>
                <w:sz w:val="18"/>
                <w:szCs w:val="18"/>
                <w:color w:val="auto"/>
              </w:rPr>
              <w:t>77,243</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12/1/16-12/31/16</w:t>
            </w:r>
          </w:p>
        </w:tc>
        <w:tc>
          <w:tcPr>
            <w:tcW w:w="13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77,243</w:t>
            </w:r>
          </w:p>
        </w:tc>
      </w:tr>
      <w:tr>
        <w:trPr>
          <w:trHeight w:val="250"/>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562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40.91</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556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77,243</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340" w:right="20" w:hanging="332"/>
        <w:spacing w:after="0" w:line="25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201" w:lineRule="exact"/>
        <w:rPr>
          <w:rFonts w:ascii="Arial" w:cs="Arial" w:eastAsia="Arial" w:hAnsi="Arial"/>
          <w:sz w:val="18"/>
          <w:szCs w:val="18"/>
          <w:color w:val="auto"/>
        </w:rPr>
      </w:pPr>
    </w:p>
    <w:p>
      <w:pPr>
        <w:jc w:val="both"/>
        <w:ind w:left="340" w:hanging="332"/>
        <w:spacing w:after="0" w:line="252"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September 2016, our Board of Directors approved a common stock repurchase program which replaced the remainder of the existing program and authorized the purchase of up to $100.0 million in common stock (the “Repurchase Program”). The Repurchase Program does not require a minimum number of shares of common stock to be purchased, has no expiration date and may be suspended or discontinued at any time. As of December 31, 2016, $77.2 million remains available for purchase under the Repurchase Program. The timing and amount of shares of common stock to be repurchased under the program will depend on market conditions, share price, securities laws and other legal requirements and factors.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repurchases of common stock for the first three quarters of 2016, see the corresponding Quarterly Report on Form 10-Q.</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selected consolidated financial data should be read in conjunction with the consolidated financial statements and related notes thereto and Part II, Item 7 of this report appearing under the caption, “Management’s Discussion and Analysis of Financial Condition and Results of Operations” and other financial data and “Risk Factors” included elsewhere in this 2016 10</w:t>
      </w:r>
      <w:r>
        <w:rPr>
          <w:rFonts w:ascii="MS PGothic" w:cs="MS PGothic" w:eastAsia="MS PGothic" w:hAnsi="MS PGothic"/>
          <w:sz w:val="18"/>
          <w:szCs w:val="18"/>
          <w:color w:val="auto"/>
        </w:rPr>
        <w:t>‑</w:t>
      </w:r>
      <w:r>
        <w:rPr>
          <w:rFonts w:ascii="Arial" w:cs="Arial" w:eastAsia="Arial" w:hAnsi="Arial"/>
          <w:sz w:val="18"/>
          <w:szCs w:val="18"/>
          <w:color w:val="auto"/>
        </w:rPr>
        <w:t>K Report. The historical results are not necessarily indicative of the operating results to be expected in the future. All financial information presented has been prepared in U.S. dollars and in accordance with accounting principles generally accepted in the United States ("U.S. GAAP").</w:t>
      </w:r>
    </w:p>
    <w:p>
      <w:pPr>
        <w:spacing w:after="0" w:line="200" w:lineRule="exact"/>
        <w:rPr>
          <w:sz w:val="20"/>
          <w:szCs w:val="20"/>
          <w:color w:val="auto"/>
        </w:rPr>
      </w:pPr>
    </w:p>
    <w:p>
      <w:pPr>
        <w:ind w:right="5040"/>
        <w:spacing w:after="0" w:line="264" w:lineRule="auto"/>
        <w:rPr>
          <w:sz w:val="20"/>
          <w:szCs w:val="20"/>
          <w:color w:val="auto"/>
        </w:rPr>
      </w:pPr>
      <w:r>
        <w:rPr>
          <w:rFonts w:ascii="Arial" w:cs="Arial" w:eastAsia="Arial" w:hAnsi="Arial"/>
          <w:sz w:val="21"/>
          <w:szCs w:val="21"/>
          <w:b w:val="1"/>
          <w:bCs w:val="1"/>
          <w:color w:val="auto"/>
        </w:rPr>
        <w:t>WORLD FUEL SERVICES CORPORATION AND SUBSIDIARIES SELECTED CONSOLIDATED FINANCIAL DATA</w:t>
      </w:r>
    </w:p>
    <w:p>
      <w:pPr>
        <w:spacing w:after="0"/>
        <w:rPr>
          <w:sz w:val="20"/>
          <w:szCs w:val="20"/>
          <w:color w:val="auto"/>
        </w:rPr>
      </w:pPr>
      <w:r>
        <w:rPr>
          <w:rFonts w:ascii="Arial" w:cs="Arial" w:eastAsia="Arial" w:hAnsi="Arial"/>
          <w:sz w:val="18"/>
          <w:szCs w:val="18"/>
          <w:color w:val="auto"/>
        </w:rPr>
        <w:t>(In millions, except earnings and dividends per share data)</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26035</wp:posOffset>
            </wp:positionV>
            <wp:extent cx="5068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color w:val="auto"/>
              </w:rPr>
              <w:t>(1)</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(2)(3)</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(2)(4)</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w w:val="99"/>
              </w:rPr>
              <w:t>(2)(5)</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jc w:val="right"/>
              <w:ind w:right="155"/>
              <w:spacing w:after="0"/>
              <w:rPr>
                <w:sz w:val="20"/>
                <w:szCs w:val="20"/>
                <w:color w:val="auto"/>
              </w:rPr>
            </w:pPr>
            <w:r>
              <w:rPr>
                <w:rFonts w:ascii="Arial" w:cs="Arial" w:eastAsia="Arial" w:hAnsi="Arial"/>
                <w:sz w:val="9"/>
                <w:szCs w:val="9"/>
                <w:color w:val="auto"/>
              </w:rPr>
              <w:t>(2)(6)</w:t>
            </w: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27,015.8</w:t>
            </w:r>
          </w:p>
        </w:tc>
        <w:tc>
          <w:tcPr>
            <w:tcW w:w="3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30,381.4</w:t>
            </w:r>
          </w:p>
        </w:tc>
        <w:tc>
          <w:tcPr>
            <w:tcW w:w="3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43,391.8</w:t>
            </w: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41,559.9</w:t>
            </w:r>
          </w:p>
        </w:tc>
        <w:tc>
          <w:tcPr>
            <w:tcW w:w="360" w:type="dxa"/>
            <w:vAlign w:val="bottom"/>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38,947.2</w:t>
            </w:r>
          </w:p>
        </w:tc>
        <w:tc>
          <w:tcPr>
            <w:tcW w:w="460" w:type="dxa"/>
            <w:vAlign w:val="bottom"/>
            <w:shd w:val="clear" w:color="auto" w:fill="CCEEFF"/>
          </w:tcPr>
          <w:p>
            <w:pPr>
              <w:spacing w:after="0"/>
              <w:rPr>
                <w:sz w:val="23"/>
                <w:szCs w:val="23"/>
                <w:color w:val="auto"/>
              </w:rPr>
            </w:pP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26,116.8</w:t>
            </w:r>
          </w:p>
        </w:tc>
        <w:tc>
          <w:tcPr>
            <w:tcW w:w="3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29,520.4</w:t>
            </w:r>
          </w:p>
        </w:tc>
        <w:tc>
          <w:tcPr>
            <w:tcW w:w="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42,572.7</w:t>
            </w: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40,807.8</w:t>
            </w:r>
          </w:p>
        </w:tc>
        <w:tc>
          <w:tcPr>
            <w:tcW w:w="3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38,277.4</w:t>
            </w:r>
          </w:p>
        </w:tc>
        <w:tc>
          <w:tcPr>
            <w:tcW w:w="460" w:type="dxa"/>
            <w:vAlign w:val="bottom"/>
            <w:tcBorders>
              <w:bottom w:val="single" w:sz="8" w:color="auto"/>
            </w:tcBorders>
          </w:tcPr>
          <w:p>
            <w:pPr>
              <w:spacing w:after="0"/>
              <w:rPr>
                <w:sz w:val="22"/>
                <w:szCs w:val="2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w:t>
            </w:r>
          </w:p>
        </w:tc>
        <w:tc>
          <w:tcPr>
            <w:tcW w:w="3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861.0</w:t>
            </w:r>
          </w:p>
        </w:tc>
        <w:tc>
          <w:tcPr>
            <w:tcW w:w="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819.1</w:t>
            </w: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752.2</w:t>
            </w:r>
          </w:p>
        </w:tc>
        <w:tc>
          <w:tcPr>
            <w:tcW w:w="3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669.8</w:t>
            </w:r>
          </w:p>
        </w:tc>
        <w:tc>
          <w:tcPr>
            <w:tcW w:w="460" w:type="dxa"/>
            <w:vAlign w:val="bottom"/>
            <w:shd w:val="clear" w:color="auto" w:fill="CCEEFF"/>
          </w:tcPr>
          <w:p>
            <w:pPr>
              <w:spacing w:after="0"/>
              <w:rPr>
                <w:sz w:val="23"/>
                <w:szCs w:val="23"/>
                <w:color w:val="auto"/>
              </w:rPr>
            </w:pPr>
          </w:p>
        </w:tc>
      </w:tr>
      <w:tr>
        <w:trPr>
          <w:trHeight w:val="270"/>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8"/>
                <w:szCs w:val="18"/>
                <w:color w:val="auto"/>
                <w:vertAlign w:val="superscript"/>
              </w:rPr>
              <w:t>(7)</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710.1</w:t>
            </w:r>
          </w:p>
        </w:tc>
        <w:tc>
          <w:tcPr>
            <w:tcW w:w="3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615.3</w:t>
            </w:r>
          </w:p>
        </w:tc>
        <w:tc>
          <w:tcPr>
            <w:tcW w:w="3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542.4</w:t>
            </w:r>
          </w:p>
        </w:tc>
        <w:tc>
          <w:tcPr>
            <w:tcW w:w="3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488.5</w:t>
            </w:r>
          </w:p>
        </w:tc>
        <w:tc>
          <w:tcPr>
            <w:tcW w:w="3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416.4</w:t>
            </w:r>
          </w:p>
        </w:tc>
        <w:tc>
          <w:tcPr>
            <w:tcW w:w="460" w:type="dxa"/>
            <w:vAlign w:val="bottom"/>
            <w:tcBorders>
              <w:bottom w:val="single" w:sz="8" w:color="auto"/>
            </w:tcBorders>
          </w:tcPr>
          <w:p>
            <w:pPr>
              <w:spacing w:after="0"/>
              <w:rPr>
                <w:sz w:val="23"/>
                <w:szCs w:val="23"/>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3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245.7</w:t>
            </w:r>
          </w:p>
        </w:tc>
        <w:tc>
          <w:tcPr>
            <w:tcW w:w="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276.7</w:t>
            </w: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263.7</w:t>
            </w: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253.4</w:t>
            </w:r>
          </w:p>
        </w:tc>
        <w:tc>
          <w:tcPr>
            <w:tcW w:w="460" w:type="dxa"/>
            <w:vAlign w:val="bottom"/>
            <w:shd w:val="clear" w:color="auto" w:fill="CCEEFF"/>
          </w:tcPr>
          <w:p>
            <w:pPr>
              <w:spacing w:after="0"/>
              <w:rPr>
                <w:sz w:val="22"/>
                <w:szCs w:val="22"/>
                <w:color w:val="auto"/>
              </w:rPr>
            </w:pPr>
          </w:p>
        </w:tc>
      </w:tr>
      <w:tr>
        <w:trPr>
          <w:trHeight w:val="270"/>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Non-operating income (expenses), net </w:t>
            </w:r>
            <w:r>
              <w:rPr>
                <w:rFonts w:ascii="Arial" w:cs="Arial" w:eastAsia="Arial" w:hAnsi="Arial"/>
                <w:sz w:val="18"/>
                <w:szCs w:val="18"/>
                <w:color w:val="auto"/>
                <w:vertAlign w:val="superscript"/>
              </w:rPr>
              <w:t>(8)</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3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460" w:type="dxa"/>
            <w:vAlign w:val="bottom"/>
            <w:tcBorders>
              <w:bottom w:val="single" w:sz="8" w:color="auto"/>
            </w:tcBorders>
          </w:tcPr>
          <w:p>
            <w:pPr>
              <w:spacing w:after="0"/>
              <w:rPr>
                <w:sz w:val="23"/>
                <w:szCs w:val="23"/>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3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217.7</w:t>
            </w:r>
          </w:p>
        </w:tc>
        <w:tc>
          <w:tcPr>
            <w:tcW w:w="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274.8</w:t>
            </w: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236.0</w:t>
            </w:r>
          </w:p>
        </w:tc>
        <w:tc>
          <w:tcPr>
            <w:tcW w:w="460" w:type="dxa"/>
            <w:vAlign w:val="bottom"/>
            <w:shd w:val="clear" w:color="auto" w:fill="CCEEFF"/>
          </w:tcPr>
          <w:p>
            <w:pPr>
              <w:spacing w:after="0"/>
              <w:rPr>
                <w:sz w:val="22"/>
                <w:szCs w:val="22"/>
                <w:color w:val="auto"/>
              </w:rPr>
            </w:pP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47.2</w:t>
            </w:r>
          </w:p>
        </w:tc>
        <w:tc>
          <w:tcPr>
            <w:tcW w:w="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53.6</w:t>
            </w: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3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38.0</w:t>
            </w:r>
          </w:p>
        </w:tc>
        <w:tc>
          <w:tcPr>
            <w:tcW w:w="460" w:type="dxa"/>
            <w:vAlign w:val="bottom"/>
            <w:tcBorders>
              <w:bottom w:val="single" w:sz="8" w:color="auto"/>
            </w:tcBorders>
          </w:tcPr>
          <w:p>
            <w:pPr>
              <w:spacing w:after="0"/>
              <w:rPr>
                <w:sz w:val="22"/>
                <w:szCs w:val="22"/>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170.5</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221.1</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198.0</w:t>
            </w:r>
          </w:p>
        </w:tc>
        <w:tc>
          <w:tcPr>
            <w:tcW w:w="460" w:type="dxa"/>
            <w:vAlign w:val="bottom"/>
            <w:shd w:val="clear" w:color="auto" w:fill="CCEEFF"/>
          </w:tcPr>
          <w:p>
            <w:pPr>
              <w:spacing w:after="0"/>
              <w:rPr>
                <w:sz w:val="20"/>
                <w:szCs w:val="20"/>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Net (loss) income attributable to</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11.7</w:t>
            </w:r>
          </w:p>
        </w:tc>
        <w:tc>
          <w:tcPr>
            <w:tcW w:w="460" w:type="dxa"/>
            <w:vAlign w:val="bottom"/>
            <w:tcBorders>
              <w:bottom w:val="single" w:sz="8" w:color="auto"/>
            </w:tcBorders>
          </w:tcPr>
          <w:p>
            <w:pPr>
              <w:spacing w:after="0"/>
              <w:rPr>
                <w:sz w:val="19"/>
                <w:szCs w:val="19"/>
                <w:color w:val="auto"/>
              </w:rPr>
            </w:pPr>
          </w:p>
        </w:tc>
      </w:tr>
      <w:tr>
        <w:trPr>
          <w:trHeight w:val="270"/>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attributable to World Fuel </w:t>
            </w:r>
            <w:r>
              <w:rPr>
                <w:rFonts w:ascii="Arial" w:cs="Arial" w:eastAsia="Arial" w:hAnsi="Arial"/>
                <w:sz w:val="18"/>
                <w:szCs w:val="18"/>
                <w:color w:val="auto"/>
                <w:vertAlign w:val="superscript"/>
              </w:rPr>
              <w:t>(8)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3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174.5</w:t>
            </w:r>
          </w:p>
        </w:tc>
        <w:tc>
          <w:tcPr>
            <w:tcW w:w="3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224.5</w:t>
            </w:r>
          </w:p>
        </w:tc>
        <w:tc>
          <w:tcPr>
            <w:tcW w:w="36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198.0</w:t>
            </w:r>
          </w:p>
        </w:tc>
        <w:tc>
          <w:tcPr>
            <w:tcW w:w="36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186.3</w:t>
            </w:r>
          </w:p>
        </w:tc>
        <w:tc>
          <w:tcPr>
            <w:tcW w:w="460" w:type="dxa"/>
            <w:vAlign w:val="bottom"/>
            <w:tcBorders>
              <w:bottom w:val="single" w:sz="8" w:color="auto"/>
            </w:tcBorders>
            <w:shd w:val="clear" w:color="auto" w:fill="CCEEFF"/>
          </w:tcPr>
          <w:p>
            <w:pPr>
              <w:spacing w:after="0"/>
              <w:rPr>
                <w:sz w:val="23"/>
                <w:szCs w:val="23"/>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9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Basic earnings per common share </w:t>
            </w:r>
            <w:r>
              <w:rPr>
                <w:rFonts w:ascii="Arial" w:cs="Arial" w:eastAsia="Arial" w:hAnsi="Arial"/>
                <w:sz w:val="18"/>
                <w:szCs w:val="18"/>
                <w:color w:val="auto"/>
                <w:vertAlign w:val="superscript"/>
              </w:rPr>
              <w:t>(8)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2.49</w:t>
            </w: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3.17</w:t>
            </w: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2.78</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2.62</w:t>
            </w:r>
          </w:p>
        </w:tc>
        <w:tc>
          <w:tcPr>
            <w:tcW w:w="460" w:type="dxa"/>
            <w:vAlign w:val="bottom"/>
            <w:tcBorders>
              <w:bottom w:val="single" w:sz="8" w:color="auto"/>
            </w:tcBorders>
          </w:tcPr>
          <w:p>
            <w:pPr>
              <w:spacing w:after="0"/>
              <w:rPr>
                <w:sz w:val="24"/>
                <w:szCs w:val="24"/>
                <w:color w:val="auto"/>
              </w:rPr>
            </w:pPr>
          </w:p>
        </w:tc>
      </w:tr>
      <w:tr>
        <w:trPr>
          <w:trHeight w:val="244"/>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70.2</w:t>
            </w:r>
          </w:p>
        </w:tc>
        <w:tc>
          <w:tcPr>
            <w:tcW w:w="3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3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c>
          <w:tcPr>
            <w:tcW w:w="3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71.2</w:t>
            </w:r>
          </w:p>
        </w:tc>
        <w:tc>
          <w:tcPr>
            <w:tcW w:w="460" w:type="dxa"/>
            <w:vAlign w:val="bottom"/>
            <w:tcBorders>
              <w:bottom w:val="single" w:sz="8" w:color="auto"/>
            </w:tcBorders>
            <w:shd w:val="clear" w:color="auto" w:fill="CCEEFF"/>
          </w:tcPr>
          <w:p>
            <w:pPr>
              <w:spacing w:after="0"/>
              <w:rPr>
                <w:sz w:val="21"/>
                <w:szCs w:val="2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97"/>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Diluted earnings per common share </w:t>
            </w:r>
            <w:r>
              <w:rPr>
                <w:rFonts w:ascii="Arial" w:cs="Arial" w:eastAsia="Arial" w:hAnsi="Arial"/>
                <w:sz w:val="18"/>
                <w:szCs w:val="18"/>
                <w:color w:val="auto"/>
                <w:vertAlign w:val="superscript"/>
              </w:rPr>
              <w:t>(8)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2.47</w:t>
            </w: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3.15</w:t>
            </w: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2.76</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460" w:type="dxa"/>
            <w:vAlign w:val="bottom"/>
            <w:tcBorders>
              <w:bottom w:val="single" w:sz="8" w:color="auto"/>
            </w:tcBorders>
          </w:tcPr>
          <w:p>
            <w:pPr>
              <w:spacing w:after="0"/>
              <w:rPr>
                <w:sz w:val="24"/>
                <w:szCs w:val="24"/>
                <w:color w:val="auto"/>
              </w:rPr>
            </w:pPr>
          </w:p>
        </w:tc>
      </w:tr>
      <w:tr>
        <w:trPr>
          <w:trHeight w:val="244"/>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3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c>
          <w:tcPr>
            <w:tcW w:w="3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c>
          <w:tcPr>
            <w:tcW w:w="3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71.8</w:t>
            </w:r>
          </w:p>
        </w:tc>
        <w:tc>
          <w:tcPr>
            <w:tcW w:w="3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71.8</w:t>
            </w:r>
          </w:p>
        </w:tc>
        <w:tc>
          <w:tcPr>
            <w:tcW w:w="460" w:type="dxa"/>
            <w:vAlign w:val="bottom"/>
            <w:tcBorders>
              <w:bottom w:val="single" w:sz="8" w:color="auto"/>
            </w:tcBorders>
            <w:shd w:val="clear" w:color="auto" w:fill="CCEEFF"/>
          </w:tcPr>
          <w:p>
            <w:pPr>
              <w:spacing w:after="0"/>
              <w:rPr>
                <w:sz w:val="21"/>
                <w:szCs w:val="2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16"/>
        </w:trPr>
        <w:tc>
          <w:tcPr>
            <w:tcW w:w="3440" w:type="dxa"/>
            <w:vAlign w:val="bottom"/>
          </w:tcPr>
          <w:p>
            <w:pPr>
              <w:ind w:left="40"/>
              <w:spacing w:after="0"/>
              <w:rPr>
                <w:sz w:val="20"/>
                <w:szCs w:val="20"/>
                <w:color w:val="auto"/>
              </w:rPr>
            </w:pPr>
            <w:r>
              <w:rPr>
                <w:rFonts w:ascii="Arial" w:cs="Arial" w:eastAsia="Arial" w:hAnsi="Arial"/>
                <w:sz w:val="18"/>
                <w:szCs w:val="18"/>
                <w:color w:val="auto"/>
              </w:rPr>
              <w:t>Cash dividends declared per common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0.24</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0.15</w:t>
            </w:r>
          </w:p>
        </w:tc>
        <w:tc>
          <w:tcPr>
            <w:tcW w:w="460" w:type="dxa"/>
            <w:vAlign w:val="bottom"/>
            <w:tcBorders>
              <w:bottom w:val="single" w:sz="8" w:color="auto"/>
            </w:tcBorders>
          </w:tcPr>
          <w:p>
            <w:pPr>
              <w:spacing w:after="0"/>
              <w:rPr>
                <w:sz w:val="19"/>
                <w:szCs w:val="19"/>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r>
      <w:tr>
        <w:trPr>
          <w:trHeight w:val="602"/>
        </w:trPr>
        <w:tc>
          <w:tcPr>
            <w:tcW w:w="3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250"/>
        </w:trPr>
        <w:tc>
          <w:tcPr>
            <w:tcW w:w="3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color w:val="auto"/>
              </w:rPr>
              <w:t>(1)</w:t>
            </w: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(2)(3)</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rPr>
              <w:t>(2)(4)</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w w:val="99"/>
              </w:rPr>
              <w:t>(2)(5)</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jc w:val="right"/>
              <w:ind w:right="155"/>
              <w:spacing w:after="0"/>
              <w:rPr>
                <w:sz w:val="20"/>
                <w:szCs w:val="20"/>
                <w:color w:val="auto"/>
              </w:rPr>
            </w:pPr>
            <w:r>
              <w:rPr>
                <w:rFonts w:ascii="Arial" w:cs="Arial" w:eastAsia="Arial" w:hAnsi="Arial"/>
                <w:sz w:val="9"/>
                <w:szCs w:val="9"/>
                <w:color w:val="auto"/>
              </w:rPr>
              <w:t>(2)(6)</w:t>
            </w:r>
          </w:p>
        </w:tc>
      </w:tr>
      <w:tr>
        <w:trPr>
          <w:trHeight w:val="228"/>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582.5</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302.3</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292.1</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172.7</w:t>
            </w:r>
          </w:p>
        </w:tc>
        <w:tc>
          <w:tcPr>
            <w:tcW w:w="460" w:type="dxa"/>
            <w:vAlign w:val="bottom"/>
            <w:shd w:val="clear" w:color="auto" w:fill="CCEEFF"/>
          </w:tcPr>
          <w:p>
            <w:pPr>
              <w:spacing w:after="0"/>
              <w:rPr>
                <w:sz w:val="20"/>
                <w:szCs w:val="20"/>
                <w:color w:val="auto"/>
              </w:rPr>
            </w:pP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2,344.0</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1,812.6</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2,308.2</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2,538.6</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2,193.9</w:t>
            </w:r>
          </w:p>
        </w:tc>
        <w:tc>
          <w:tcPr>
            <w:tcW w:w="460" w:type="dxa"/>
            <w:vAlign w:val="bottom"/>
          </w:tcPr>
          <w:p>
            <w:pPr>
              <w:spacing w:after="0"/>
              <w:rPr>
                <w:sz w:val="22"/>
                <w:szCs w:val="22"/>
                <w:color w:val="auto"/>
              </w:rPr>
            </w:pPr>
          </w:p>
        </w:tc>
      </w:tr>
      <w:tr>
        <w:trPr>
          <w:trHeight w:val="27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3,836.6</w:t>
            </w: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3,246.0</w:t>
            </w:r>
          </w:p>
        </w:tc>
        <w:tc>
          <w:tcPr>
            <w:tcW w:w="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3,675.2</w:t>
            </w:r>
          </w:p>
        </w:tc>
        <w:tc>
          <w:tcPr>
            <w:tcW w:w="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3,815.5</w:t>
            </w:r>
          </w:p>
        </w:tc>
        <w:tc>
          <w:tcPr>
            <w:tcW w:w="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3,281.4</w:t>
            </w:r>
          </w:p>
        </w:tc>
        <w:tc>
          <w:tcPr>
            <w:tcW w:w="460" w:type="dxa"/>
            <w:vAlign w:val="bottom"/>
            <w:shd w:val="clear" w:color="auto" w:fill="CCEEFF"/>
          </w:tcPr>
          <w:p>
            <w:pPr>
              <w:spacing w:after="0"/>
              <w:rPr>
                <w:sz w:val="24"/>
                <w:szCs w:val="24"/>
                <w:color w:val="auto"/>
              </w:rPr>
            </w:pP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5,412.6</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4,525.3</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4,878.1</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4,735.2</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4,105.4</w:t>
            </w:r>
          </w:p>
        </w:tc>
        <w:tc>
          <w:tcPr>
            <w:tcW w:w="460" w:type="dxa"/>
            <w:vAlign w:val="bottom"/>
          </w:tcPr>
          <w:p>
            <w:pPr>
              <w:spacing w:after="0"/>
              <w:rPr>
                <w:sz w:val="22"/>
                <w:szCs w:val="22"/>
                <w:color w:val="auto"/>
              </w:rPr>
            </w:pPr>
          </w:p>
        </w:tc>
      </w:tr>
      <w:tr>
        <w:trPr>
          <w:trHeight w:val="27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2,182.7</w:t>
            </w: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1,754.2</w:t>
            </w:r>
          </w:p>
        </w:tc>
        <w:tc>
          <w:tcPr>
            <w:tcW w:w="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2,241.9</w:t>
            </w:r>
          </w:p>
        </w:tc>
        <w:tc>
          <w:tcPr>
            <w:tcW w:w="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2,518.9</w:t>
            </w:r>
          </w:p>
        </w:tc>
        <w:tc>
          <w:tcPr>
            <w:tcW w:w="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2,152.0</w:t>
            </w:r>
          </w:p>
        </w:tc>
        <w:tc>
          <w:tcPr>
            <w:tcW w:w="460" w:type="dxa"/>
            <w:vAlign w:val="bottom"/>
            <w:shd w:val="clear" w:color="auto" w:fill="CCEEFF"/>
          </w:tcPr>
          <w:p>
            <w:pPr>
              <w:spacing w:after="0"/>
              <w:rPr>
                <w:sz w:val="24"/>
                <w:szCs w:val="24"/>
                <w:color w:val="auto"/>
              </w:rPr>
            </w:pP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1,290.0</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865.3</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776.8</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545.9</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416.8</w:t>
            </w:r>
          </w:p>
        </w:tc>
        <w:tc>
          <w:tcPr>
            <w:tcW w:w="460" w:type="dxa"/>
            <w:vAlign w:val="bottom"/>
          </w:tcPr>
          <w:p>
            <w:pPr>
              <w:spacing w:after="0"/>
              <w:rPr>
                <w:sz w:val="22"/>
                <w:szCs w:val="22"/>
                <w:color w:val="auto"/>
              </w:rPr>
            </w:pPr>
          </w:p>
        </w:tc>
      </w:tr>
      <w:tr>
        <w:trPr>
          <w:trHeight w:val="277"/>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Total equity </w:t>
            </w:r>
            <w:r>
              <w:rPr>
                <w:rFonts w:ascii="Arial" w:cs="Arial" w:eastAsia="Arial" w:hAnsi="Arial"/>
                <w:sz w:val="18"/>
                <w:szCs w:val="18"/>
                <w:color w:val="auto"/>
                <w:vertAlign w:val="superscript"/>
              </w:rPr>
              <w:t>(9)</w:t>
            </w: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3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1,905.9</w:t>
            </w:r>
          </w:p>
        </w:tc>
        <w:tc>
          <w:tcPr>
            <w:tcW w:w="38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1,859.4</w:t>
            </w:r>
          </w:p>
        </w:tc>
        <w:tc>
          <w:tcPr>
            <w:tcW w:w="3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1,670.5</w:t>
            </w:r>
          </w:p>
        </w:tc>
        <w:tc>
          <w:tcPr>
            <w:tcW w:w="36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1,536.6</w:t>
            </w:r>
          </w:p>
        </w:tc>
        <w:tc>
          <w:tcPr>
            <w:tcW w:w="460" w:type="dxa"/>
            <w:vAlign w:val="bottom"/>
            <w:tcBorders>
              <w:bottom w:val="single" w:sz="8" w:color="auto"/>
            </w:tcBorders>
            <w:shd w:val="clear" w:color="auto" w:fill="CCEEFF"/>
          </w:tcPr>
          <w:p>
            <w:pPr>
              <w:spacing w:after="0"/>
              <w:rPr>
                <w:sz w:val="24"/>
                <w:szCs w:val="24"/>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617"/>
        </w:trPr>
        <w:tc>
          <w:tcPr>
            <w:tcW w:w="3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color w:val="auto"/>
              </w:rPr>
              <w:t>26</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3" w:lineRule="exact"/>
        <w:rPr>
          <w:sz w:val="20"/>
          <w:szCs w:val="20"/>
          <w:color w:val="auto"/>
        </w:rPr>
      </w:pPr>
    </w:p>
    <w:p>
      <w:pPr>
        <w:jc w:val="both"/>
        <w:ind w:left="340" w:hanging="332"/>
        <w:spacing w:after="0" w:line="22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2016, we acquired the assets of certain ExxonMobil affiliates in Canada and two airports in France on November 1</w:t>
      </w:r>
      <w:r>
        <w:rPr>
          <w:rFonts w:ascii="Arial" w:cs="Arial" w:eastAsia="Arial" w:hAnsi="Arial"/>
          <w:sz w:val="21"/>
          <w:szCs w:val="21"/>
          <w:color w:val="auto"/>
          <w:vertAlign w:val="superscript"/>
        </w:rPr>
        <w:t>st</w:t>
      </w:r>
      <w:r>
        <w:rPr>
          <w:rFonts w:ascii="Arial" w:cs="Arial" w:eastAsia="Arial" w:hAnsi="Arial"/>
          <w:sz w:val="18"/>
          <w:szCs w:val="18"/>
          <w:color w:val="auto"/>
        </w:rPr>
        <w:t>, and the U.K. and one airport in France on December 1</w:t>
      </w:r>
      <w:r>
        <w:rPr>
          <w:rFonts w:ascii="Arial" w:cs="Arial" w:eastAsia="Arial" w:hAnsi="Arial"/>
          <w:sz w:val="21"/>
          <w:szCs w:val="21"/>
          <w:color w:val="auto"/>
          <w:vertAlign w:val="superscript"/>
        </w:rPr>
        <w:t>st</w:t>
      </w:r>
      <w:r>
        <w:rPr>
          <w:rFonts w:ascii="Arial" w:cs="Arial" w:eastAsia="Arial" w:hAnsi="Arial"/>
          <w:sz w:val="18"/>
          <w:szCs w:val="18"/>
          <w:color w:val="auto"/>
        </w:rPr>
        <w:t>, as well as all of the outstanding stock of PAPCO, Inc. ("PAPCO") and Associated Petroleum Products, Inc. ("APP") on July 1</w:t>
      </w:r>
      <w:r>
        <w:rPr>
          <w:rFonts w:ascii="Arial" w:cs="Arial" w:eastAsia="Arial" w:hAnsi="Arial"/>
          <w:sz w:val="21"/>
          <w:szCs w:val="21"/>
          <w:color w:val="auto"/>
          <w:vertAlign w:val="superscript"/>
        </w:rPr>
        <w:t>st</w:t>
      </w:r>
      <w:r>
        <w:rPr>
          <w:rFonts w:ascii="Arial" w:cs="Arial" w:eastAsia="Arial" w:hAnsi="Arial"/>
          <w:sz w:val="18"/>
          <w:szCs w:val="18"/>
          <w:color w:val="auto"/>
        </w:rPr>
        <w:t>. We also completed six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17"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prior period amounts have been revised to reflect the impact of adjustments made to the company's provision for income taxes.</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2015, we acquired all the outstanding stock of Pester Marketing Company (“Pester”) on September 1st and completed four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1"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2014, we acquired i) all of the outstanding stock of Watson Petroleum Limited (now known as WFL (UK) Limited) (“Watson Petroleum”) on March 7th, ii) all of the outstanding stock of Colt International, L.L.C. (“Colt”) on July 29th, and iii) completed three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4"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2013, we completed three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196" w:lineRule="exact"/>
        <w:rPr>
          <w:rFonts w:ascii="Arial" w:cs="Arial" w:eastAsia="Arial" w:hAnsi="Arial"/>
          <w:sz w:val="18"/>
          <w:szCs w:val="18"/>
          <w:color w:val="auto"/>
        </w:rPr>
      </w:pPr>
    </w:p>
    <w:p>
      <w:pPr>
        <w:jc w:val="both"/>
        <w:ind w:left="340" w:hanging="332"/>
        <w:spacing w:after="0" w:line="25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2012, we acquired i) certain assets of CarterEnergy Corporation, including the assets comprising its wholesale motor fuel distribution business (the “CarterEnergy business”) on September 1st, ii) certain assets of Multi Service Corporation, including the assets comprising its transaction management business, and all of the outstanding stock of its foreign subsidiaries (the “Multi Service business”) on December 31st and iii) completed three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8" w:lineRule="exact"/>
        <w:rPr>
          <w:rFonts w:ascii="Arial" w:cs="Arial" w:eastAsia="Arial" w:hAnsi="Arial"/>
          <w:sz w:val="18"/>
          <w:szCs w:val="18"/>
          <w:color w:val="auto"/>
        </w:rPr>
      </w:pPr>
    </w:p>
    <w:p>
      <w:pPr>
        <w:jc w:val="both"/>
        <w:ind w:left="340" w:hanging="332"/>
        <w:spacing w:after="0" w:line="216" w:lineRule="exact"/>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in operating expenses are total non</w:t>
      </w:r>
      <w:r>
        <w:rPr>
          <w:rFonts w:ascii="MS PGothic" w:cs="MS PGothic" w:eastAsia="MS PGothic" w:hAnsi="MS PGothic"/>
          <w:sz w:val="18"/>
          <w:szCs w:val="18"/>
          <w:color w:val="auto"/>
        </w:rPr>
        <w:t>‑</w:t>
      </w:r>
      <w:r>
        <w:rPr>
          <w:rFonts w:ascii="Arial" w:cs="Arial" w:eastAsia="Arial" w:hAnsi="Arial"/>
          <w:sz w:val="18"/>
          <w:szCs w:val="18"/>
          <w:color w:val="auto"/>
        </w:rPr>
        <w:t>cash compensation costs associated with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of $19.3 million for 2016, $17.0 million for 2015, $15.8 million for 2014, $16.7 million for 2013, and $14.1 million for 2012 and intangible amortization expense of $39.7 million for 2016, $30.4 million for 2015, $27.0 million for 2014, $22.6 million for 2013, and $18.1 million for 2012.</w:t>
      </w:r>
    </w:p>
    <w:p>
      <w:pPr>
        <w:spacing w:after="0" w:line="217"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in non-operating income (expenses), net for 2014 is a gain of $18.1 million related to the sale of our crude oil joint venture interests. The after-tax gain, net of certain related operating expenses was $9.9 million, or $0.14 per basic and diluted share.</w:t>
      </w:r>
    </w:p>
    <w:p>
      <w:pPr>
        <w:spacing w:after="0" w:line="196"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2016, we repurchased 963,217 shares of common stock for an aggregate value of $41.2 million. In 2015, we repurchased 1,584,000 shares of our common stock for an aggregate value of $70.5 million. In 2014, we repurchased 227,000 shares of our common stock for an aggregate value of $10.0 million. In 2013, we repurchased 926,000 shares of our common stock for an aggregate value of $35.0 million.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discussion should be read in conjunction with “Item 6 – Selected Financial Data,” and with the accompanying consolidated financial statements and related notes thereto appearing elsewhere in this 2016 10</w:t>
      </w:r>
      <w:r>
        <w:rPr>
          <w:rFonts w:ascii="MS PGothic" w:cs="MS PGothic" w:eastAsia="MS PGothic" w:hAnsi="MS PGothic"/>
          <w:sz w:val="18"/>
          <w:szCs w:val="18"/>
          <w:color w:val="auto"/>
        </w:rPr>
        <w:t>‑</w:t>
      </w:r>
      <w:r>
        <w:rPr>
          <w:rFonts w:ascii="Arial" w:cs="Arial" w:eastAsia="Arial" w:hAnsi="Arial"/>
          <w:sz w:val="18"/>
          <w:szCs w:val="18"/>
          <w:color w:val="auto"/>
        </w:rPr>
        <w:t>K Report. The following discussion may contain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and our actual results may differ significantly from the results suggested by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Some factors that may cause our results to differ materially from the results and events anticipated or implied by such forward</w:t>
      </w:r>
      <w:r>
        <w:rPr>
          <w:rFonts w:ascii="MS PGothic" w:cs="MS PGothic" w:eastAsia="MS PGothic" w:hAnsi="MS PGothic"/>
          <w:sz w:val="18"/>
          <w:szCs w:val="18"/>
          <w:color w:val="auto"/>
        </w:rPr>
        <w:t>‑</w:t>
      </w:r>
      <w:r>
        <w:rPr>
          <w:rFonts w:ascii="Arial" w:cs="Arial" w:eastAsia="Arial" w:hAnsi="Arial"/>
          <w:sz w:val="18"/>
          <w:szCs w:val="18"/>
          <w:color w:val="auto"/>
        </w:rPr>
        <w:t xml:space="preserve"> looking statements are described in “Item 1A – Risk Factors” and under “Forward-Looking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are a global energy management company involved in providing energy procurement advisory services, supply fulfillment and transaction and payment management solutions to commercial and industrial customers, principally in the aviation, marine and transportation industries. We compete by providing our customers with value</w:t>
      </w:r>
      <w:r>
        <w:rPr>
          <w:rFonts w:ascii="MS PGothic" w:cs="MS PGothic" w:eastAsia="MS PGothic" w:hAnsi="MS PGothic"/>
          <w:sz w:val="18"/>
          <w:szCs w:val="18"/>
          <w:color w:val="auto"/>
        </w:rPr>
        <w:t>‑</w:t>
      </w:r>
      <w:r>
        <w:rPr>
          <w:rFonts w:ascii="Arial" w:cs="Arial" w:eastAsia="Arial" w:hAnsi="Arial"/>
          <w:sz w:val="18"/>
          <w:szCs w:val="18"/>
          <w:color w:val="auto"/>
        </w:rPr>
        <w:t>added benefits, including single</w:t>
      </w:r>
      <w:r>
        <w:rPr>
          <w:rFonts w:ascii="MS PGothic" w:cs="MS PGothic" w:eastAsia="MS PGothic" w:hAnsi="MS PGothic"/>
          <w:sz w:val="18"/>
          <w:szCs w:val="18"/>
          <w:color w:val="auto"/>
        </w:rPr>
        <w:t>‑</w:t>
      </w:r>
      <w:r>
        <w:rPr>
          <w:rFonts w:ascii="Arial" w:cs="Arial" w:eastAsia="Arial" w:hAnsi="Arial"/>
          <w:sz w:val="18"/>
          <w:szCs w:val="18"/>
          <w:color w:val="auto"/>
        </w:rPr>
        <w:t>supplier convenience, competitive pricing, the availability of trade credit, price risk management, logistical support, fuel quality control and fuel procurement outsourcing. We primarily contract with third parties for the delivery and storage of fuel products, however, we also operate storage facilities and transportation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Marine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Declines in commodity and energy prices, together with slow economic growth globally, continue to impact the shipping and offshore oil exploration markets, adversely affecting our marine segment. These macroeconomic trends are complex and present both opportunities and risks for our business. Sustained low fuel prices as compared to previous years, and limited volatility result in decreased per unit margins, reduced demand for our price risk management products, and lower sales to the offshore specialty market due to the significant reduction in offshore exploration activity. We expect that adverse conditions, specifically those in shipping markets will continue into 2017. Further, as previously communicated, we have substantially completed certain cost reduction activities in our Marine segment, which are designed to lower our marine segment cost structure and drive efficiencies. In connection with these activities, for the year ended December 31, 2016, we recognized a charge of approximately $4.0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Sustained low fuel prices have reduced the working capital cost required to support our aviation segment, thereby improving returns and making such capital available for investment in other areas of our business. A significant portion of our aviation business consists of providing fuel and related products and services to the U.S. and foreign governments. While we still expect military-related activity to decline over time, the related contribution to aviation profitability in 2016 increased compared to the levels we experienced in 2015. Demand for these products and services is driven by global events and military-related activities and can therefore significantly change from period to period.</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aviation segment capabilities will benefit from the previously announced ExxonMobil transaction, where we agreed to acquire aviation fueling operations from certain ExxonMobil affiliates. This transaction once completed will expand our commercial and general aviation network by adding physical supply at more than 80 airports throughout Canada, France, U.K., Germany, Italy, New Zealand, and Australia. During the fourth quarter of 2016, we completed the acquisitions of the Canada, France and U.K. locations. Our integration team remains diligently engaged in completing this transaction and the remaining locations are expected to be completed during the first half of 2017. The transaction is subject to customary regulatory consents and closing conditions, including securing third party consents.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our land segment is well positioned to continue growing market share, both organically and through leveraging the capabilities of our acquisitions, including the recently completed PAPCO, Inc. ("PAPCO") and Associated Petroleum Products, Inc. ("APP") acquisitions. Headquartered in Virginia Beach, VA and Tacoma, WA, respectively, PAPCO and APP are leading distributors of gasoline, diesel, lubricants, propane and related services in the Mid-Atlantic and the Pacific Northwest regions of the United States, respectively. These acquisitions combined with our existing land segment operations, will serve to further enhance our commercial and industrial platforms to deliver value-added solutions to customers across the United States.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However, our land segment can be impacted substantially by weather conditions. In periods where we experience historically extreme weather conditions, demand for our products may be affected. For example, during 2016, we experienced unseasonably warm weather conditions in the U.K., which lowered demand for our fuel products. The continuation of unusual weather conditions in the future could adversely impact our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summary, our aviation segment delivered strong results, but our land and marine segments were both challenged. To address these challenges, in addition to our previously announced cost reduction activities that we effectively completed, we are embarking on additional cost reduction initiatives across the business.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also experience decreases in future sales volumes and margins as a result of further deterioration in the world economy, declines in the transportation industry, natural disasters and continued conflicts and instability in the Middle East, Asia and Latin America, as well as potential future terrorist activities and possible military retaliation.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ExxonMobil Fueling Operations Acquisition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first quarter of 2016, we signed a definitive agreement to acquire from certain ExxonMobil affiliates their aviation fueling operations at more than 80 airport locations in Canada, the U.K, Germany, Italy, France, Australia and New Zealand. The total purchase price is approximately $260.0 million and is expected to be fully funded with cash on hand. On November 1, 2016, we completed the acquisition of the Canada locations and certain France locations. On December 1, 2016, we completed the acquisition of the U.K. locations and the remaining France location. The remaining locations are expected to be completed during the first half of 2017. The transaction is subject to customary regulatory consents and closing conditions, including securing third party consents.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August 31, 2016, Hanjin Shipping Co., Ltd. (“Hanjin”), one of our customers in our marine segment, filed for bankruptcy protection in South Korea and on September 1, 2016, the Korean Rehabilitation Court accepted Hanjin’s application for rehabilitation. On February 2, 2017, the Korean Rehabilitation Court terminated Hanjin’s rehabilitation process. It is expected that Hanjin will declare Bankruptcy on or about February 17, 2017 and commence liquidation proceedings. During the quarter ended December 31, 2016, we wrote off approximately $5.8 million of Hanjin receivables associated with specific vessels against which enforcement of our maritime liens is unlikely to be successful. As of December 31, 2016, we had outstanding receivables of approximately $7.0 million, net of anticipated insurance recoveries. While we believe we will recover all or substantially all of the outstanding receivables, there can be no assurance that we will be able to recover all of the remaining amounts owed or fully mitigate all losses.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December 2016 bankruptcy filing of our former joint venture partner, we wrote off approximately $7.5 million of outstanding amounts owed to us by our former joint venture partner, during the three months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operate in three reportable segments consisting of aviation, marine and land.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 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our aviation and land segments, we primarily purchase and resell fuel and other products, and we do not act as brokers. Profit from our aviation and land segments is primarily determined by the volume and the gross profit achieved on fuel 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Profitability in our segments also depends on our operating expenses, which may be significantly affected to the extent that we are required to provide for potential bad debt.</w:t>
      </w: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revenue and cost of revenue are significantly impacted by fuel prices. Our operating results are subject to seasonal variability. Seasonality results from numerous factors, including traditionally higher demand for natural gas and home heating oil during the winter months and aviation and land fuel during the summer months, as well as other seasonal weather patterns. Additionally, significant movements in fuel prices during any given financial period can have a significant impact on our gross profit, either positively or negatively depending on the direction, volatility and timing of such price movements.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Corporate expenses are allocated to each segment based on usage, where possible, or on other factors according to the nature of the activity.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evaluate and manage our business segments using the performance measurement of income from operations.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results of operations include the results of (i) the fueling operations acquired from certain ExxonMobil affiliates in Canada and France, both commencing on November 1, 2016, (ii) the fueling operations acquired from certain ExxonMobil affiliates in the U.K. and the remaining location in France, both commencing on December 1, 2016, (iii) PAPCO and APP, both commencing on July 1, 2016, (v) Pester commencing on September 1, 2015, however, the Pester retail operations are excluded commencing May 1, 2016, the effective date of the divestment of the retail operations, (vii) Watson Petroleum commencing on March 7, 2014 and (vii) Colt commencing on July 29, 2014; their respective acquisition dates.</w:t>
      </w:r>
    </w:p>
    <w:p>
      <w:pPr>
        <w:spacing w:after="0" w:line="209"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Selected financial information with respect to our business segments is provided in Note 12 to the accompanying consolidated financial statements included in this 2016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our aviation and land segments, we primarily purchase and resell fuel and other products, and we do not act as brokers. Profit from our aviation and land segments is primarily determined by the volume and the gross profit achieved on fuel sales and a percentage of card payment and processing revenue. In our marine segment, we primarily purchase and resell fuel and also act as brokers for others. Profit from our marine segment is determined primarily by the volume and gross profit achieved on fuel sales and by the volume and commission rate of the brokering business. Profitability in our segments also depends on our operating expenses, which may be significantly affected to the extent that we are required to provide for potential bad debt.</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revenue and cost of revenue are significantly impacted by fuel prices. Our operating results are subject to seasonal variability. Seasonality results from various factors, including traditionally higher demand for natural gas and home heating oil during the winter months, and aviation and land fuel during the summer months, as well as other seasonal weather patterns. Additionally, significant movements in fuel prices during any given financial period can have a significant impact on our gross profit, either positively or negatively depending on the direction, volatility and timing of such price movements.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compared to 2015</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2016 was $27.0 billion, a decrease of $3.4 billion, or 11.1%, as compared to 2015. Our revenue during these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was attributable to the following segments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10,914.4</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11,739.8</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Marine segment</w:t>
            </w:r>
          </w:p>
        </w:tc>
        <w:tc>
          <w:tcPr>
            <w:tcW w:w="284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7,182.5</w:t>
            </w:r>
          </w:p>
        </w:tc>
        <w:tc>
          <w:tcPr>
            <w:tcW w:w="620" w:type="dxa"/>
            <w:vAlign w:val="bottom"/>
          </w:tcPr>
          <w:p>
            <w:pPr>
              <w:spacing w:after="0"/>
              <w:rPr>
                <w:sz w:val="22"/>
                <w:szCs w:val="22"/>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9,367.2</w:t>
            </w:r>
          </w:p>
        </w:tc>
        <w:tc>
          <w:tcPr>
            <w:tcW w:w="6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(2,184.7)</w:t>
            </w:r>
          </w:p>
        </w:tc>
      </w:tr>
      <w:tr>
        <w:trPr>
          <w:trHeight w:val="270"/>
        </w:trPr>
        <w:tc>
          <w:tcPr>
            <w:tcW w:w="3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28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8,918.8</w:t>
            </w:r>
          </w:p>
        </w:tc>
        <w:tc>
          <w:tcPr>
            <w:tcW w:w="6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9,274.3</w:t>
            </w:r>
          </w:p>
        </w:tc>
        <w:tc>
          <w:tcPr>
            <w:tcW w:w="6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27,015.8</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30,381.4</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(3,365.6)</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 our aviation segment were $10.9 billion for the year ended 2016, a decrease of $0.8 billion, or 7.0% as compared to 2015. The decline in aviation revenues was driven by lower average jet fuel prices per gallon sold during the year ended 2016, where the average price per gallon sold was $1.53, as compared to $1.85 in 2015. The overall decline attributable to jet fuel prices was partially offset by increased volume, where volumes for the year ended 2016 were 7.1 billion gallons, an increase of 12.4%, as compared to 2015.</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 our marine segment were $7.2 billion for the year ended 2016, a decrease of $2.2 billion, or 23.3%, as compared to 2015. The decrease was driven primarily by a 20.1% decline in the average price per metric ton sold, to $229.17 for the year ended 2016, as compared to $286.9 in 2015. Volumes in our marine segment for the year ended 2016 were 31.4 million metric tons, a decrease of 1.3 million metric tons or 4.0%, as compared to 2015.</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our land segment were $8.9 billion for the year ended 2016, a decrease of $0.4 billion, or 3.8%, as compared to 2015. The decline in land revenues primarily resulted from a lower average fuel price per gallon sold during the year ended 2016, where the average price per gallon sold was $1.66, as compared to $1.88 in 2015. The overall decline was partially offset by an increase in volumes, from new customers and acquired businesses, where volumes for the year ended 2016 were 5.4 billion gallons, an increase of $433.2 million, or 8.8%, as compared to 2015.</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2016 was $899.0 million, an increase of $38.0 million, or 4.4%, as compared to 2015. Our gross profit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these periods was attributable to the following segments (in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401.0</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361.9</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39.1</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Marine segment</w:t>
            </w:r>
          </w:p>
        </w:tc>
        <w:tc>
          <w:tcPr>
            <w:tcW w:w="2960" w:type="dxa"/>
            <w:vAlign w:val="bottom"/>
          </w:tcPr>
          <w:p>
            <w:pPr>
              <w:spacing w:after="0"/>
              <w:rPr>
                <w:sz w:val="22"/>
                <w:szCs w:val="22"/>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149.5</w:t>
            </w:r>
          </w:p>
        </w:tc>
        <w:tc>
          <w:tcPr>
            <w:tcW w:w="740" w:type="dxa"/>
            <w:vAlign w:val="bottom"/>
          </w:tcPr>
          <w:p>
            <w:pPr>
              <w:spacing w:after="0"/>
              <w:rPr>
                <w:sz w:val="22"/>
                <w:szCs w:val="22"/>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189.6</w:t>
            </w:r>
          </w:p>
        </w:tc>
        <w:tc>
          <w:tcPr>
            <w:tcW w:w="6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70"/>
        </w:trPr>
        <w:tc>
          <w:tcPr>
            <w:tcW w:w="3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29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348.5</w:t>
            </w:r>
          </w:p>
        </w:tc>
        <w:tc>
          <w:tcPr>
            <w:tcW w:w="7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309.5</w:t>
            </w:r>
          </w:p>
        </w:tc>
        <w:tc>
          <w:tcPr>
            <w:tcW w:w="6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39.0</w:t>
            </w: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899.0</w:t>
            </w:r>
          </w:p>
        </w:tc>
        <w:tc>
          <w:tcPr>
            <w:tcW w:w="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861.0</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38.0</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aviation segment gross profit for the year ended 2016 was $401.0 million, an increase of $39.1 million, or 10.8%, as compared to 2015. The increase in aviation gross profit was due to increased volume attributable to the core resale business in North America and Europe, as well as increased activity in our U.S. and foreign military-related businesses.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marine segment gross profit for the year ended 2016 was $ 149.5 million, a decrease of $40.1 million, or 21.1%, as compared to 2015. The marine segment continued to be adversely impacted by the prolonged weakness in the overall maritime industry. The lower fuel price environment combined with lower price volatility, led to decreased demand for our price risk management offerings, which contributed to lower overall unit margins.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land segment gross profit for the year ended 2016 was $348.5 million, an increase of $ 39.0 million, or 12.6%, as compared to 2015. The increase in land segment gross profit was primarily driven by recently acquired businesses, including PAPCO, APP and acquisitions in Kinect, our global energy management services business. Increases in our land segment were partially offset by lower demand in the U.K. due to unseasonably warm weather conditions.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2016 were $710.1 million, an increase of $94.8 million, or 15.4%, as compared to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sets forth our expense categories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413.3</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365.8</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47.5</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Provision for bad debt</w:t>
            </w:r>
          </w:p>
        </w:tc>
        <w:tc>
          <w:tcPr>
            <w:tcW w:w="2120" w:type="dxa"/>
            <w:vAlign w:val="bottom"/>
          </w:tcPr>
          <w:p>
            <w:pPr>
              <w:spacing w:after="0"/>
              <w:rPr>
                <w:sz w:val="22"/>
                <w:szCs w:val="22"/>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15.4</w:t>
            </w:r>
          </w:p>
        </w:tc>
        <w:tc>
          <w:tcPr>
            <w:tcW w:w="740" w:type="dxa"/>
            <w:vAlign w:val="bottom"/>
          </w:tcPr>
          <w:p>
            <w:pPr>
              <w:spacing w:after="0"/>
              <w:rPr>
                <w:sz w:val="22"/>
                <w:szCs w:val="22"/>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8.0</w:t>
            </w:r>
          </w:p>
        </w:tc>
      </w:tr>
      <w:tr>
        <w:trPr>
          <w:trHeight w:val="270"/>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281.4</w:t>
            </w:r>
          </w:p>
        </w:tc>
        <w:tc>
          <w:tcPr>
            <w:tcW w:w="7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242.1</w:t>
            </w:r>
          </w:p>
        </w:tc>
        <w:tc>
          <w:tcPr>
            <w:tcW w:w="6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39.3</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710.1</w:t>
            </w:r>
          </w:p>
        </w:tc>
        <w:tc>
          <w:tcPr>
            <w:tcW w:w="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615.3</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94.8</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the $47.5 million increase in compensation and employee benefits, $29.4 million was due to expenses related to acquired businesses and $18.1 million was due to compensation for new hires to support our growing global business. The $39.3 million increase in general and administrative expenses was principally due to expenses related to acquired businesses.</w:t>
      </w:r>
    </w:p>
    <w:p>
      <w:pPr>
        <w:spacing w:after="0" w:line="18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for 2016 was $188.9 million, a decrease of $56.8 million, or 23.1%,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2015. Income from operations during these periods was attributable to the following segments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 Change</w:t>
            </w: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160.5</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132.2</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r>
      <w:tr>
        <w:trPr>
          <w:trHeight w:val="263"/>
        </w:trPr>
        <w:tc>
          <w:tcPr>
            <w:tcW w:w="4400" w:type="dxa"/>
            <w:vAlign w:val="bottom"/>
          </w:tcPr>
          <w:p>
            <w:pPr>
              <w:ind w:left="40"/>
              <w:spacing w:after="0"/>
              <w:rPr>
                <w:sz w:val="20"/>
                <w:szCs w:val="20"/>
                <w:color w:val="auto"/>
              </w:rPr>
            </w:pPr>
            <w:r>
              <w:rPr>
                <w:rFonts w:ascii="Arial" w:cs="Arial" w:eastAsia="Arial" w:hAnsi="Arial"/>
                <w:sz w:val="18"/>
                <w:szCs w:val="18"/>
                <w:color w:val="auto"/>
              </w:rPr>
              <w:t>Marine segment</w:t>
            </w:r>
          </w:p>
        </w:tc>
        <w:tc>
          <w:tcPr>
            <w:tcW w:w="230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30.2</w:t>
            </w:r>
          </w:p>
        </w:tc>
        <w:tc>
          <w:tcPr>
            <w:tcW w:w="740" w:type="dxa"/>
            <w:vAlign w:val="bottom"/>
          </w:tcPr>
          <w:p>
            <w:pPr>
              <w:spacing w:after="0"/>
              <w:rPr>
                <w:sz w:val="22"/>
                <w:szCs w:val="22"/>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73.0</w:t>
            </w:r>
          </w:p>
        </w:tc>
        <w:tc>
          <w:tcPr>
            <w:tcW w:w="6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2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70.8</w:t>
            </w:r>
          </w:p>
        </w:tc>
        <w:tc>
          <w:tcPr>
            <w:tcW w:w="7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101.4</w:t>
            </w:r>
          </w:p>
        </w:tc>
        <w:tc>
          <w:tcPr>
            <w:tcW w:w="6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63"/>
        </w:trPr>
        <w:tc>
          <w:tcPr>
            <w:tcW w:w="44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261.5</w:t>
            </w:r>
          </w:p>
        </w:tc>
        <w:tc>
          <w:tcPr>
            <w:tcW w:w="740" w:type="dxa"/>
            <w:vAlign w:val="bottom"/>
          </w:tcPr>
          <w:p>
            <w:pPr>
              <w:spacing w:after="0"/>
              <w:rPr>
                <w:sz w:val="22"/>
                <w:szCs w:val="22"/>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306.5</w:t>
            </w:r>
          </w:p>
        </w:tc>
        <w:tc>
          <w:tcPr>
            <w:tcW w:w="6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Corporate overhead - unallocated</w:t>
            </w:r>
          </w:p>
        </w:tc>
        <w:tc>
          <w:tcPr>
            <w:tcW w:w="2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72.7</w:t>
            </w:r>
          </w:p>
        </w:tc>
        <w:tc>
          <w:tcPr>
            <w:tcW w:w="7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60.9</w:t>
            </w:r>
          </w:p>
        </w:tc>
        <w:tc>
          <w:tcPr>
            <w:tcW w:w="6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r>
      <w:tr>
        <w:trPr>
          <w:trHeight w:val="26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188.9</w:t>
            </w:r>
          </w:p>
        </w:tc>
        <w:tc>
          <w:tcPr>
            <w:tcW w:w="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245.7</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income from operations, including unallocated corporate overhead, for the year ended 2016 was $188.9 million, a decrease of $56.8 million, or 23.1%, as compared to 2015. The decline was attributable to our marine segment and our land segment. In our marine segment, income from operations for the year ended 2016 was $30.2 million, a decrease of $42.7 million, or 58.6%, as compared to 2015. Our marine segment continued to be adversely impacted by the prolonged weakness in the overall maritime industry. The lower fuel price environment, combined with lower price volatility and to a lesser extent, increased competition, led to decreased demand for our price risk management offerings and lower overall unit margins in 2016 as compared to 2015. In addition, certain large marine customers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experienced financial challenges, which created disruption and resulted in lower sales to such customers. In our land segment, income from operations for the year ended 2016 was $70.8 million, a decrease of $30.6 million, or 30.1% as compared to 2015 due to the higher compensation expenses and increased amortization expenses related to acquired businesses. The declines in our income from operations in our marine and land segments were partially offset by increases in our aviation segment of $28.3 million, or 21.4%, where our aviation segment benefited from increased volume attributable to our core resale business in North America and Europe, and increased activity in our U.S. and foreign military-related businesses.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Corporate overhead costs not charged to the business segments for the year ended 2016 were $72.7 million, an increase of $ 11.8 million, or 19.4%, as compared to 2015, principally driven by additional costs related to overall corporate enterprise activities that are not charged to the business segments and are designed to support our growing global business.</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Non-Operating Expenses, net</w:t>
      </w:r>
      <w:r>
        <w:rPr>
          <w:rFonts w:ascii="Arial" w:cs="Arial" w:eastAsia="Arial" w:hAnsi="Arial"/>
          <w:sz w:val="18"/>
          <w:szCs w:val="18"/>
          <w:color w:val="auto"/>
        </w:rPr>
        <w:t>. We had non-operating expenses, net of $46.7 million and $27.9 million, for the year ended 2016 and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Increased debt costs of $8.8 million resulted from higher average borrowings in 2016 as compared to 2015. Also, in connection with the December 2016 bankruptcy filing of our former joint venture partner, we wrote off approximately $7.5 million of outstanding amounts owed to us by our former joint venture partner, during the three months ended December 31, 2016. These expenses were offset by a $4.4 million million positive change related to foreign currency exchange during 2016 as compared to 2015.</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year ended 2016, our effective income tax rate was 11.0% and our income tax provision was $15.7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an effective income tax rate of 21.7% and an income tax provision of $47.2 million in 2015. The lower effective income tax rate for 2016, as compared to 2015, resulted principally from differences in the results of our subsidiaries in tax jurisdictions with different income tax rates.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Net Income and Diluted Earnings per Common Share</w:t>
      </w:r>
      <w:r>
        <w:rPr>
          <w:rFonts w:ascii="Arial" w:cs="Arial" w:eastAsia="Arial" w:hAnsi="Arial"/>
          <w:sz w:val="18"/>
          <w:szCs w:val="18"/>
          <w:color w:val="auto"/>
        </w:rPr>
        <w:t>. Our net income for the year ended 2016 was $126.5 million, a decrease of $48.0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27.5%, as compared to 2015. Diluted earnings per common share for the year ended 2016 was $1.81 per common share, a decrease of $0.66 per common share, or 26.7%, as compared to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compared to 2014</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2015 was $ 30.4 billion, a decrease of $13.0 billion, or 30.0%, as compared to 2014. Our revenue during these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was attributable to the following segments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11,739.8</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17,268.8</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(5,529.0)</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Marine segment</w:t>
            </w:r>
          </w:p>
        </w:tc>
        <w:tc>
          <w:tcPr>
            <w:tcW w:w="284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9,367.2</w:t>
            </w:r>
          </w:p>
        </w:tc>
        <w:tc>
          <w:tcPr>
            <w:tcW w:w="620" w:type="dxa"/>
            <w:vAlign w:val="bottom"/>
          </w:tcPr>
          <w:p>
            <w:pPr>
              <w:spacing w:after="0"/>
              <w:rPr>
                <w:sz w:val="22"/>
                <w:szCs w:val="22"/>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13,843.3</w:t>
            </w:r>
          </w:p>
        </w:tc>
        <w:tc>
          <w:tcPr>
            <w:tcW w:w="5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(4,476.1)</w:t>
            </w:r>
          </w:p>
        </w:tc>
      </w:tr>
      <w:tr>
        <w:trPr>
          <w:trHeight w:val="270"/>
        </w:trPr>
        <w:tc>
          <w:tcPr>
            <w:tcW w:w="3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28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9,274.3</w:t>
            </w:r>
          </w:p>
        </w:tc>
        <w:tc>
          <w:tcPr>
            <w:tcW w:w="6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12,279.6</w:t>
            </w:r>
          </w:p>
        </w:tc>
        <w:tc>
          <w:tcPr>
            <w:tcW w:w="5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(3,005.3)</w:t>
            </w: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30,381.4</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43,391.8</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(13,010.4)</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aviation segment revenue for 2015 was $11.7 billion, a decrease of $5.5 billion, or 32.0% as compared to 2014. Of the decrease in aviation segment revenue, $7.4 billion was due to a decrease in the average price per gallon sold as a result of lower average jet fuel prices in 2015 as compared to 2014, which was partially offset by $1.9 billion principally due to increased volume attributable to new and existing customers.</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marine segment revenue for 2015 was $9.4 billion, a decrease of $4.5 billion, or 32.3% as compared to 2014. Of the decrease in marine segment revenue, $8.2 billion was due to a decrease in the average price per metric ton sold as a result of lower average marine fuel prices in 2015 as compared to 2014, which was partially offset by $3.7 billion due to increased volume attributable to new and existing customers.</w:t>
      </w:r>
    </w:p>
    <w:p>
      <w:pPr>
        <w:spacing w:after="0" w:line="20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land segment revenue for 2015 was $9.3 billion, a decrease of $3.0 billion, or 24.5%, as compared to 2014. Of the decrease in land segment revenue, $5.0 billion was due to a decrease in the average price per gallon sold as a result of lower average land fuel prices in 2015 as compared to 2014, which was partially offset by $1.6 billion due to increased volume attributable to new and existing customers and $0.4 billion due to revenue from acquired businesses.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gross profit for 2015 was $861.0 million, an increase of $41.9 million, or 5.1%, as compared to 2014. Our gross profit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these periods was attributable to the following segments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361.9</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323.4</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38.5</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Marine segment</w:t>
            </w:r>
          </w:p>
        </w:tc>
        <w:tc>
          <w:tcPr>
            <w:tcW w:w="2960" w:type="dxa"/>
            <w:vAlign w:val="bottom"/>
          </w:tcPr>
          <w:p>
            <w:pPr>
              <w:spacing w:after="0"/>
              <w:rPr>
                <w:sz w:val="22"/>
                <w:szCs w:val="22"/>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189.6</w:t>
            </w:r>
          </w:p>
        </w:tc>
        <w:tc>
          <w:tcPr>
            <w:tcW w:w="740" w:type="dxa"/>
            <w:vAlign w:val="bottom"/>
          </w:tcPr>
          <w:p>
            <w:pPr>
              <w:spacing w:after="0"/>
              <w:rPr>
                <w:sz w:val="22"/>
                <w:szCs w:val="22"/>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207.8</w:t>
            </w:r>
          </w:p>
        </w:tc>
        <w:tc>
          <w:tcPr>
            <w:tcW w:w="6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0"/>
        </w:trPr>
        <w:tc>
          <w:tcPr>
            <w:tcW w:w="3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29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309.5</w:t>
            </w:r>
          </w:p>
        </w:tc>
        <w:tc>
          <w:tcPr>
            <w:tcW w:w="7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287.9</w:t>
            </w:r>
          </w:p>
        </w:tc>
        <w:tc>
          <w:tcPr>
            <w:tcW w:w="6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21.6</w:t>
            </w: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861.0</w:t>
            </w:r>
          </w:p>
        </w:tc>
        <w:tc>
          <w:tcPr>
            <w:tcW w:w="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819.1</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41.9</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aviation segment gross profit for 2015 was $361.9 million, an increase of $38.5 million, or 11.9%, as compared to 2014. Of the increase in aviation segment gross profit, $31.0 million was due to increased volume attributable to new and existing customers and $27.4 million was due to gross profit from acquired businesses. These increases were partially offset by $19.9 million in lower gross profit per gallon sold due to fluctuations in customer mix.</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marine segment gross profit for 2015 was $189.6 million, a decrease of $18.2 million, or 8.8%, as compared to 2014. Of the decrease in marine segment gross profit, $71.2 million was due to lower gross profit per metric ton sold in 2015 as compared to 2014 due to fluctuations in customer mix, which was partially offset by $53.0 million in increased volume attributable to new and existing customers.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land segment gross profit for 2015 was $309.5 million, an increase of $21.6 million, or 7.5%, as compared to 2014. Of the increase in land segment gross profit, $37.5 million was due to increased volume attributable to new and existing customers and $26.7 million was due to gross profit from acquired businesses. These increases were partially offset by $42.6 million in lower gross profit per gallon sold due to fluctuations in customer mix.</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2015 were $615.3 million, an increase of $72.9 million, or 13.5%, as compared to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sets forth our expense categories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365.8</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319.8</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46.0</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Provision for bad debt</w:t>
            </w:r>
          </w:p>
        </w:tc>
        <w:tc>
          <w:tcPr>
            <w:tcW w:w="2120" w:type="dxa"/>
            <w:vAlign w:val="bottom"/>
          </w:tcPr>
          <w:p>
            <w:pPr>
              <w:spacing w:after="0"/>
              <w:rPr>
                <w:sz w:val="22"/>
                <w:szCs w:val="22"/>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7.5</w:t>
            </w:r>
          </w:p>
        </w:tc>
        <w:tc>
          <w:tcPr>
            <w:tcW w:w="740" w:type="dxa"/>
            <w:vAlign w:val="bottom"/>
          </w:tcPr>
          <w:p>
            <w:pPr>
              <w:spacing w:after="0"/>
              <w:rPr>
                <w:sz w:val="22"/>
                <w:szCs w:val="22"/>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3.7</w:t>
            </w:r>
          </w:p>
        </w:tc>
      </w:tr>
      <w:tr>
        <w:trPr>
          <w:trHeight w:val="270"/>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242.1</w:t>
            </w:r>
          </w:p>
        </w:tc>
        <w:tc>
          <w:tcPr>
            <w:tcW w:w="7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218.8</w:t>
            </w:r>
          </w:p>
        </w:tc>
        <w:tc>
          <w:tcPr>
            <w:tcW w:w="6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615.3</w:t>
            </w:r>
          </w:p>
        </w:tc>
        <w:tc>
          <w:tcPr>
            <w:tcW w:w="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542.4</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72.9</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the $46.0 million increase in compensation and employee benefits, $24.4 million was due to the inclusion of expenses from acquired businesses and $21.6 million was principally due to compensation for new hires to support our growing global business. Of the $ 23.3 million increase in general and administrative expenses, $21.4 million was due to the inclusion of expenses from acquired businesses and $1.9 million was due to increased general and administrative expenses to support our growing global business.</w:t>
      </w:r>
    </w:p>
    <w:p>
      <w:pPr>
        <w:spacing w:after="0" w:line="18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for 2015 was $245.7 million, a decrease of $31.0 million, or 11.2%,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2014. Income from operations during these periods was attributable to the following segments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 Change</w:t>
            </w: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132.2</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144.1</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63"/>
        </w:trPr>
        <w:tc>
          <w:tcPr>
            <w:tcW w:w="4400" w:type="dxa"/>
            <w:vAlign w:val="bottom"/>
          </w:tcPr>
          <w:p>
            <w:pPr>
              <w:ind w:left="40"/>
              <w:spacing w:after="0"/>
              <w:rPr>
                <w:sz w:val="20"/>
                <w:szCs w:val="20"/>
                <w:color w:val="auto"/>
              </w:rPr>
            </w:pPr>
            <w:r>
              <w:rPr>
                <w:rFonts w:ascii="Arial" w:cs="Arial" w:eastAsia="Arial" w:hAnsi="Arial"/>
                <w:sz w:val="18"/>
                <w:szCs w:val="18"/>
                <w:color w:val="auto"/>
              </w:rPr>
              <w:t>Marine segment</w:t>
            </w:r>
          </w:p>
        </w:tc>
        <w:tc>
          <w:tcPr>
            <w:tcW w:w="230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73.0</w:t>
            </w:r>
          </w:p>
        </w:tc>
        <w:tc>
          <w:tcPr>
            <w:tcW w:w="740" w:type="dxa"/>
            <w:vAlign w:val="bottom"/>
          </w:tcPr>
          <w:p>
            <w:pPr>
              <w:spacing w:after="0"/>
              <w:rPr>
                <w:sz w:val="22"/>
                <w:szCs w:val="22"/>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92.2</w:t>
            </w:r>
          </w:p>
        </w:tc>
        <w:tc>
          <w:tcPr>
            <w:tcW w:w="6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2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101.4</w:t>
            </w:r>
          </w:p>
        </w:tc>
        <w:tc>
          <w:tcPr>
            <w:tcW w:w="7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93.9</w:t>
            </w:r>
          </w:p>
        </w:tc>
        <w:tc>
          <w:tcPr>
            <w:tcW w:w="6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r>
      <w:tr>
        <w:trPr>
          <w:trHeight w:val="263"/>
        </w:trPr>
        <w:tc>
          <w:tcPr>
            <w:tcW w:w="44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306.5</w:t>
            </w:r>
          </w:p>
        </w:tc>
        <w:tc>
          <w:tcPr>
            <w:tcW w:w="740" w:type="dxa"/>
            <w:vAlign w:val="bottom"/>
          </w:tcPr>
          <w:p>
            <w:pPr>
              <w:spacing w:after="0"/>
              <w:rPr>
                <w:sz w:val="22"/>
                <w:szCs w:val="22"/>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330.2</w:t>
            </w:r>
          </w:p>
        </w:tc>
        <w:tc>
          <w:tcPr>
            <w:tcW w:w="6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Corporate overhead - unallocated</w:t>
            </w:r>
          </w:p>
        </w:tc>
        <w:tc>
          <w:tcPr>
            <w:tcW w:w="2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60.9</w:t>
            </w:r>
          </w:p>
        </w:tc>
        <w:tc>
          <w:tcPr>
            <w:tcW w:w="7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53.5</w:t>
            </w:r>
          </w:p>
        </w:tc>
        <w:tc>
          <w:tcPr>
            <w:tcW w:w="6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r>
      <w:tr>
        <w:trPr>
          <w:trHeight w:val="26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245.7</w:t>
            </w:r>
          </w:p>
        </w:tc>
        <w:tc>
          <w:tcPr>
            <w:tcW w:w="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276.7</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aviation segment income from operations for 2015 was $132.2 million, a decrease of $11.9 million, or 8.3%, as compared to 2014. This decrease resulted from a $50.4 million increase in operating expenses, which was partially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offset by $38.5 million in higher gross profit. Of the increase in operating expenses, $28.2 million was related to the inclusion of acquired businesses, $3.8 million was related to the termination of the employment agreement of our former Aviation Segment President and $18.4 million was due to increased operating expenses to support our growing global business.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marine segment income from operations for 2015 was $73.0 million, a decrease of $19.2 million, or 20.9%, as compared to 2014. This decrease resulted from $18.2 million in lower gross profit and a $1.0 million increase in operating expenses.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land segment income from operations for 2015 was $101.4 million, an increase of $7.5 million, or 8.0%, as compared to 2014. This increase resulted from $21.6 million in higher gross profit, which was partially offset by a $14.2 million increase in operating expenses. The increase in operating expenses was principally due to expenses related to acquired businesses.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Corporate overhead costs not charged to the business segments for 2015 were $60.9 million, an increase of $7.3 million, or 13.7%, as compared to 2014. This increase was principally due to increased expenses to support our growing global business.</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Non-Operating (Expenses) Income, net. </w:t>
      </w:r>
      <w:r>
        <w:rPr>
          <w:rFonts w:ascii="Arial" w:cs="Arial" w:eastAsia="Arial" w:hAnsi="Arial"/>
          <w:sz w:val="18"/>
          <w:szCs w:val="18"/>
          <w:color w:val="auto"/>
        </w:rPr>
        <w:t>For 2015, we had non-operating expenses, net of $ 27.9 million, as compared to non-operating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net of $1.9 million in 2014. This $26.0 million change was principally due to an $18.1 million gain on the sale of our crude oil joint venture interests in 2014, a $6.7 million reduction of equity earnings in 2015 as compared to 2014 and a $ 4.7 million increase in interest expense and other financing costs, net, as a result of higher average borrowings in 2015 as compared to 2014. The decrease in earnings from our equity investments is principally related to the sale of our crude oil transloading joint venture in December 2014.</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2015, our effective income tax rate was 21.7% and our income tax provision was $47.2 million, as compared to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rate of 19.5% and an income tax provision of $53.6 million for 2014. The higher effective income tax rate for 2015 resulted primarily from differences in the results of our subsidiaries in tax jurisdictions with different income tax rates.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Net Loss Attributable to Noncontrolling Interest. </w:t>
      </w:r>
      <w:r>
        <w:rPr>
          <w:rFonts w:ascii="Arial" w:cs="Arial" w:eastAsia="Arial" w:hAnsi="Arial"/>
          <w:sz w:val="18"/>
          <w:szCs w:val="18"/>
          <w:color w:val="auto"/>
        </w:rPr>
        <w:t>For 2015, net loss attributable to noncontrolling interest was $3.9 million as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loss attributable to noncontrolling interest of $3.3 million for 2014.</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Net Income and Diluted Earnings per Common Share. </w:t>
      </w:r>
      <w:r>
        <w:rPr>
          <w:rFonts w:ascii="Arial" w:cs="Arial" w:eastAsia="Arial" w:hAnsi="Arial"/>
          <w:sz w:val="18"/>
          <w:szCs w:val="18"/>
          <w:color w:val="auto"/>
        </w:rPr>
        <w:t>Our net income for 2015 was $174.5 million, a decrease of $50.0 million, or 22.3%,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2014. Diluted earnings per common share for 2015 was $2.47 per common share, a decrease of $0.68 per common share, or 21.6% as compared to 2014.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reflects the major categories of cash flows for 2016, 2015 and 2014. For additional details, please see the consolidated statements of cash flows in the consolidated financial statements.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2014</w:t>
            </w:r>
          </w:p>
        </w:tc>
      </w:tr>
      <w:tr>
        <w:trPr>
          <w:trHeight w:val="270"/>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205.2</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447.5</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141.1</w:t>
            </w:r>
          </w:p>
        </w:tc>
      </w:tr>
      <w:tr>
        <w:trPr>
          <w:trHeight w:val="263"/>
        </w:trPr>
        <w:tc>
          <w:tcPr>
            <w:tcW w:w="46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(428.5)</w:t>
            </w:r>
          </w:p>
        </w:tc>
        <w:tc>
          <w:tcPr>
            <w:tcW w:w="68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(144.8)</w:t>
            </w:r>
          </w:p>
        </w:tc>
        <w:tc>
          <w:tcPr>
            <w:tcW w:w="6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(297.1)</w:t>
            </w:r>
          </w:p>
        </w:tc>
      </w:tr>
      <w:tr>
        <w:trPr>
          <w:trHeight w:val="270"/>
        </w:trPr>
        <w:tc>
          <w:tcPr>
            <w:tcW w:w="4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0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340.9</w:t>
            </w:r>
          </w:p>
        </w:tc>
        <w:tc>
          <w:tcPr>
            <w:tcW w:w="6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6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169.5</w:t>
            </w: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to 2015</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2016, net cash provided by operating activities was $ 205.2 million as compared to $447.5 million for 2015. The $ 242.2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decrease in operating cash flows was primarily due to year-over-year changes in assets and liabilities, net of acquisitions. Cash flows from changes in inventory, resulted in a cash use of $130.9 million in 2016 as compared to 2015, primarily as a result of additional inventory in support of overall volume increases, specifically in our aviation and land segments. Additionally, cash flows from net accounts receivable and accounts payable balances, decreased $86.9 million primarily to fund the working capital needs of the aviation fueling business acquired. In 2016, changes in short-term derivative assets provided cash of 163.7 million as compared to $81.5 million in 2015. This $82.3 million positive cash flow change was offset by a $43.3 million negative cash flow change in short-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term derivative liabilities, reported within accrued expenses and other current liabilities, both of which primarily related to a decline in fuel prices.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2016, net cash used in investing activities was $428.5 million as compared to $144.8 million for 2015. The $283.7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increase in cash used in investing activities was principally due to an increase in the cash used for the acquisition of businesses in 2016 as compared to 2015.</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2016, net cash provided by financing activities was $340.9 million as compared to $17.0 million provided by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for 2015. The $357.9 million increase in cash provided by financing activities was primarily due to a $328.4 million increase in net borrowing under our credit facility in 2016 as compared to 2015.</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2015, net cash provided by operating activities was $447.5 million as compared to $141.1 million for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$306.3 million increase in operating cash flows was primarily due to year-over-year changes in assets and liabilities, net of acquisitions. Specifically, in 2015 changes in cash collateral with financial counterparties provided cash of $ 133.3 million as compared to cash used of $288.0 million in 2014. This $ 421.4 million positive cash flow change was due to the sharp decline in fuel prices in the latter part of 2014, which directly impacted the amount of collateral we were required to post with our financial counterparties in connection with our commodity contracts during 2014, and the subsequent maturation of these contracts in 2015. Additionally, in 2015 changes in short-term derivative assets provided cash of $81.5 million as compared to cash used of $265.8 million in 2014. This $347.2 million positive cash flow change was offset by a $373.3 million negative cash flow change in short-term derivative liabilities, reported within accrued expenses and other current liabilities, both of which primarily related to the decline in fuel prices and, to a lesser extent, an increase in the volume of commodity contracts executed with counterparties. The net positive cash flow changes noted above were partially offset by a $150.9 million cash flow change in inventories due to the continued decline in fuel prices.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2015, net cash used in investing activities was $144.8 million as compared to $297.1 million for 2014. The $152.3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decrease in cash used in investing activities was principally due to a decrease in the cash used for the acquisition of businesses in 2015 as compared to 2014.</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2015, net cash used in financing activities was $17.0 million as compared to $169.5 million provided by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for 2014. The $186.6 million decrease in cash provided by financing activities was principally due to a $126.5 million decrease in net borrowing in 2015 as compared to 2014 and $60.5 million increase of common stock repurchases in 2015 as compared to 2014.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Measures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December 31, 2016 and 2015, we had cash and cash equivalents of $698.6 million and $582.5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primary uses of cash and cash equivalents are to make strategic investments, primarily acquisitions, and to purchase inventory. We are extended unsecured trade credit from nearly all of our suppliers for our fuel purchases; however, a small number of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Credit Facility and Term Loans</w:t>
      </w:r>
      <w:r>
        <w:rPr>
          <w:rFonts w:ascii="Arial" w:cs="Arial" w:eastAsia="Arial" w:hAnsi="Arial"/>
          <w:sz w:val="18"/>
          <w:szCs w:val="18"/>
          <w:color w:val="auto"/>
        </w:rPr>
        <w:t>. On October 26, 2016, we amended our Credit Facility which added a new $520.0 million Term Loan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thereby increasing the aggregate outstanding Term Loans to approximately $840.0 million, and expanded our right to request increases in available borrowings up to an additional $200.0 million, subject to the satisfaction of certain conditions. The amended Credit Facility matures in October 2021. We had outstanding borrowings under our Credit Facility totaling $325.2 million and $416.0 million as of December 31, 2016 and December 31, 2015, respectively. Our issued letters of credit under the Credit Facility totaled $8.3 million and $5.5 million as of December 31, 2016 and December 31, 2015, respectively. We also had $840.0 million and $333.2 million in Term Loans outstanding as of December 31, 2016 and December 31, 2015, respectively. As of December 31, 2016 and December 31, 2015, the unused portion of our Credit Facility was $926.5 million and $838.5 million, respectively.</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commodity prices. Availability under our Credit Facility is also limited by, among other things our financial leverage ratio, which limits the total amount of indebtedness we may incur, and may therefore fluctuate from period to period.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2016, we were in compliance with all financial and other covenants contained in our Credit Facility and our Term Loans.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Credit Lines and Receivables Purchase Agreements. </w:t>
      </w:r>
      <w:r>
        <w:rPr>
          <w:rFonts w:ascii="Arial" w:cs="Arial" w:eastAsia="Arial" w:hAnsi="Arial"/>
          <w:sz w:val="18"/>
          <w:szCs w:val="18"/>
          <w:color w:val="auto"/>
        </w:rPr>
        <w:t>Additionally, we have other uncommitted credit lines primarily for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letters of credit, bank guarantees and bankers’ acceptances. These credit lines are renewable on an annual basis and are subject to fees at market rates. As of December 31, 2016 and December 31, 2015, our outstanding letters of credit and bank guarantees under these credit lines totaled $176.5 million and $208.4 million, respectively. We also have Receivables Purchase Agreements (“RPAs”) that allow for the sale of up to an aggregate of $600.0 million of our accounts receivable. As of December 31, 2016, we had sold accounts receivable of $235.5 million under the RPAs.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December 31, 2016, our short-term debt of $15.4 million primarily represents the current maturities (within the next</w:t>
      </w:r>
      <w:r>
        <w:rPr>
          <w:rFonts w:ascii="Arial" w:cs="Arial" w:eastAsia="Arial" w:hAnsi="Arial"/>
          <w:sz w:val="18"/>
          <w:szCs w:val="18"/>
          <w:i w:val="1"/>
          <w:iCs w:val="1"/>
          <w:color w:val="auto"/>
        </w:rPr>
        <w:t xml:space="preserve"> </w:t>
      </w:r>
      <w:r>
        <w:rPr>
          <w:rFonts w:ascii="Arial" w:cs="Arial" w:eastAsia="Arial" w:hAnsi="Arial"/>
          <w:sz w:val="18"/>
          <w:szCs w:val="18"/>
          <w:color w:val="auto"/>
        </w:rPr>
        <w:t>twelve months) of Term Loan borrowings, certain promissory notes related to acquisitions and capital lease obligations.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previously committed to undertake a multi-year project designed to drive greater improvement in operating efficiencies and optimize scalability designed to incorporate acquisitions that we may undertake in the future. We will accomplish this in part by a global design and deployment of an upgrade to our existing ERP platform. We are currently in the design phase and the cost incurred during 2016 was not considered significant. We expect the total cost of the project over the next three years to range between $30.0 million and $40.0 million.</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that our cash and cash equivalents as of December 31, 2016 (of which $176.4 million was available for use by our U.S. subsidiaries without incurring additional costs)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9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Contractual Obligations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significant contractual obligations and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are set forth below. For additional information on any of the following and other contractual obligations and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see Notes 7 and 8 in the notes to the consolidated financial statements in Item 15 of this 2016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i w:val="1"/>
          <w:iCs w:val="1"/>
          <w:color w:val="auto"/>
        </w:rPr>
        <w:t xml:space="preserve">Debt and Interest Obligations. </w:t>
      </w:r>
      <w:r>
        <w:rPr>
          <w:rFonts w:ascii="Arial" w:cs="Arial" w:eastAsia="Arial" w:hAnsi="Arial"/>
          <w:sz w:val="18"/>
          <w:szCs w:val="18"/>
          <w:color w:val="auto"/>
        </w:rPr>
        <w:t>These obligations include principal and interest payments on fixed</w:t>
      </w:r>
      <w:r>
        <w:rPr>
          <w:rFonts w:ascii="MS PGothic" w:cs="MS PGothic" w:eastAsia="MS PGothic" w:hAnsi="MS PGothic"/>
          <w:sz w:val="18"/>
          <w:szCs w:val="18"/>
          <w:color w:val="auto"/>
        </w:rPr>
        <w:t>‑</w:t>
      </w:r>
      <w:r>
        <w:rPr>
          <w:rFonts w:ascii="Arial" w:cs="Arial" w:eastAsia="Arial" w:hAnsi="Arial"/>
          <w:sz w:val="18"/>
          <w:szCs w:val="18"/>
          <w:color w:val="auto"/>
        </w:rPr>
        <w:t>rate and variable</w:t>
      </w:r>
      <w:r>
        <w:rPr>
          <w:rFonts w:ascii="MS PGothic" w:cs="MS PGothic" w:eastAsia="MS PGothic" w:hAnsi="MS PGothic"/>
          <w:sz w:val="18"/>
          <w:szCs w:val="18"/>
          <w:color w:val="auto"/>
        </w:rPr>
        <w:t>‑</w:t>
      </w:r>
      <w:r>
        <w:rPr>
          <w:rFonts w:ascii="Arial" w:cs="Arial" w:eastAsia="Arial" w:hAnsi="Arial"/>
          <w:sz w:val="18"/>
          <w:szCs w:val="18"/>
          <w:color w:val="auto"/>
        </w:rPr>
        <w:t>rate, fixed</w:t>
      </w:r>
      <w:r>
        <w:rPr>
          <w:rFonts w:ascii="MS PGothic" w:cs="MS PGothic" w:eastAsia="MS PGothic" w:hAnsi="MS PGothic"/>
          <w:sz w:val="18"/>
          <w:szCs w:val="18"/>
          <w:color w:val="auto"/>
        </w:rPr>
        <w:t>‑</w:t>
      </w:r>
      <w:r>
        <w:rPr>
          <w:rFonts w:ascii="Arial" w:cs="Arial" w:eastAsia="Arial" w:hAnsi="Arial"/>
          <w:sz w:val="18"/>
          <w:szCs w:val="18"/>
          <w:color w:val="auto"/>
        </w:rPr>
        <w:t>term debt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expected payment 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Obligations. </w:t>
      </w:r>
      <w:r>
        <w:rPr>
          <w:rFonts w:ascii="Arial" w:cs="Arial" w:eastAsia="Arial" w:hAnsi="Arial"/>
          <w:sz w:val="18"/>
          <w:szCs w:val="18"/>
          <w:color w:val="auto"/>
        </w:rPr>
        <w:t>These obligations primarily consist of deferred compensation arrangements.</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Unrecognized Income Tax Liabilities. </w:t>
      </w:r>
      <w:r>
        <w:rPr>
          <w:rFonts w:ascii="Arial" w:cs="Arial" w:eastAsia="Arial" w:hAnsi="Arial"/>
          <w:sz w:val="18"/>
          <w:szCs w:val="18"/>
          <w:color w:val="auto"/>
        </w:rPr>
        <w:t>As of December 31, 2016, our gross liabilities for unrecognized income tax benefits (“Unrecognized Tax</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including penalties and interest, were $68.6 million. The timing of any settlement of our Unrecognized Tax Liabilities with the respective taxing authority cannot be reasonably estimated.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our contractual obligations were as follows (in millions):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&lt; 1 year</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1-3 years</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3-5 years</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&gt; 5 years</w:t>
            </w:r>
          </w:p>
        </w:tc>
      </w:tr>
      <w:tr>
        <w:trPr>
          <w:trHeight w:val="27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and interest obligations</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1,353.5</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132.0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1,169.0</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63"/>
        </w:trPr>
        <w:tc>
          <w:tcPr>
            <w:tcW w:w="35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100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149.8</w:t>
            </w:r>
          </w:p>
        </w:tc>
        <w:tc>
          <w:tcPr>
            <w:tcW w:w="52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38.4</w:t>
            </w:r>
          </w:p>
        </w:tc>
        <w:tc>
          <w:tcPr>
            <w:tcW w:w="48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46.8</w:t>
            </w:r>
          </w:p>
        </w:tc>
        <w:tc>
          <w:tcPr>
            <w:tcW w:w="48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29.8</w:t>
            </w: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34.7</w:t>
            </w:r>
          </w:p>
        </w:tc>
      </w:tr>
      <w:tr>
        <w:trPr>
          <w:trHeight w:val="277"/>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Employment agreement obligations</w:t>
            </w:r>
          </w:p>
        </w:tc>
        <w:tc>
          <w:tcPr>
            <w:tcW w:w="10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3500" w:type="dxa"/>
            <w:vAlign w:val="bottom"/>
          </w:tcPr>
          <w:p>
            <w:pPr>
              <w:ind w:left="40"/>
              <w:spacing w:after="0"/>
              <w:rPr>
                <w:sz w:val="20"/>
                <w:szCs w:val="20"/>
                <w:color w:val="auto"/>
              </w:rPr>
            </w:pPr>
            <w:r>
              <w:rPr>
                <w:rFonts w:ascii="Arial" w:cs="Arial" w:eastAsia="Arial" w:hAnsi="Arial"/>
                <w:sz w:val="18"/>
                <w:szCs w:val="18"/>
                <w:color w:val="auto"/>
              </w:rPr>
              <w:t>Derivatives obligations</w:t>
            </w:r>
          </w:p>
        </w:tc>
        <w:tc>
          <w:tcPr>
            <w:tcW w:w="100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369.6</w:t>
            </w:r>
          </w:p>
        </w:tc>
        <w:tc>
          <w:tcPr>
            <w:tcW w:w="52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323.2</w:t>
            </w:r>
          </w:p>
        </w:tc>
        <w:tc>
          <w:tcPr>
            <w:tcW w:w="48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46.4</w:t>
            </w:r>
          </w:p>
        </w:tc>
        <w:tc>
          <w:tcPr>
            <w:tcW w:w="48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commitment obligations</w:t>
            </w:r>
          </w:p>
        </w:tc>
        <w:tc>
          <w:tcPr>
            <w:tcW w:w="10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143.5</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137.8</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obligations</w:t>
            </w:r>
          </w:p>
        </w:tc>
        <w:tc>
          <w:tcPr>
            <w:tcW w:w="10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13.5</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r>
      <w:tr>
        <w:trPr>
          <w:trHeight w:val="264"/>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2,031.2</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559.6</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235.1</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1,199.5</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37.0</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in connection with the ExxonMobil transaction, we have certain purchase contracts, under which we agreed to purchase between 1.69 million barrels and 2.02 million barrels of aviation fuel at future market prices. The term of those agreement are for 10 years and have a 5 year renewal option, exercisable by mutual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these letters of credit expire within one year from their issuance, and expired letters of credit are renewed as needed.</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2016, we had issued letters of credit and bank guarantees totaling $184.8 million under our Credit Facility and other uncommitted credit lines. For additional information on our Credit Facility and other credit lines, see the discussion in “Liquidity and Capital Resources” above.</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garnishment bonds, primarily in our aviation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 segments. As of December 31, 2016, we had $52.8 million in outstanding bonds that were arranged in order to satisfy various security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included elsewhere in this 2016 10</w:t>
      </w:r>
      <w:r>
        <w:rPr>
          <w:rFonts w:ascii="MS PGothic" w:cs="MS PGothic" w:eastAsia="MS PGothic" w:hAnsi="MS PGothic"/>
          <w:sz w:val="18"/>
          <w:szCs w:val="18"/>
          <w:color w:val="auto"/>
        </w:rPr>
        <w:t>‑</w:t>
      </w:r>
      <w:r>
        <w:rPr>
          <w:rFonts w:ascii="Arial" w:cs="Arial" w:eastAsia="Arial" w:hAnsi="Arial"/>
          <w:sz w:val="18"/>
          <w:szCs w:val="18"/>
          <w:color w:val="auto"/>
        </w:rPr>
        <w:t>K Report, which have been prepared in accordance with U.S. GAAP.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related costs of sales, bad debt,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derivatives, goodwill and identifiable intangible assets and certain accrued liabilities.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For a detailed discussion on the application of these and other significant accounting policies, see Note 1 to the accompanying consolidated financial statements included in this 2016 10-K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Bad Debt</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Credit extension, monitoring and collection are performed for each of our business segments. Each segment has a credit committee that is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creditworthiness, as determined by our review of our customer’s credit information. We extend credit on an unsecured basis to most of our customers. Accounts receivable are deemed past due based on contractual terms agreed to with our customers. Although we analyze customers’ payment history and creditworthiness, we cannot predict with certainty that the customers to whom we extend credit will be able to remit payments on a timely basis, or at all. Because we extend credit on an unsecured basis to most of our customers, there is a possibility that any accounts receivable not collected will ultimately need to be written off. Write-offs for the year ended December 31, 2016 did not have a significant impact on our consolidated statement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continuously monitor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Historical payment trends may not, however, be an accurate indicator of current or future credit worthiness of our customers, particularly in difficult economic and financial markets. As a result of the limited predictability inherent in estimating which customers are less likely or unlikely to remit amounts owed to us, our provision for estimated credit losses may not be sufficient. Any write-off of accounts receivable in excess of our provision for estimated credit losses would have an adverse effect on our results of operations.</w:t>
      </w:r>
    </w:p>
    <w:p>
      <w:pPr>
        <w:spacing w:after="0" w:line="209"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If credit losses exceed established allowances, our business, financial condition, results of operations and cash flows may be adversely affected. For additional information on the credit risks inherent in our business, see “Item 1A – Risk Factors” in this 2016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Inventories are valued primarily using average cost, and first-in first-out in certain limited locations, and are stated at the lower of average cost or market. We utilize a variety of fuel indices and other indicators of market value. Sharp negative changes in these indices can result in reduction of our inventory valuation, which could have an adverse impact on our results of operations in the period in which we take the adjustment. Historically these adjustments have not had a significant impact on our consolidated statements of operations. Components of inventory include fuel purchase costs, the related transportation costs and changes in the estimated fair market values for inventories included in a fair value hedge relationship.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financial derivative contracts to mitigate the risk of market price fluctuations in aviation, marine and land fuel, to offer our customers fuel pricing alternatives to meet their needs and to mitigate the risk due to changes in foreign currency exchange rates. While we currently believe that our derivative contracts will be effective in mitigating the associated price risks, it is possible that our derivative instruments will be ineffective at mitigating material changes in prices, which could have an adverse impact on our financial position and results of operations. At the inception and on an ongoing basis, we assess the hedging relationship to determine its effectiveness in offsetting changes in cash flows or fair value attributable to the hedged risk.</w:t>
      </w:r>
    </w:p>
    <w:p>
      <w:pPr>
        <w:spacing w:after="0" w:line="20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fair value of our derivatives is derived using observable and certain unobservable inputs, such as basis differentials, which are based on the difference between the historical prices of our prior transactions and the underlying observable data. Measurement of the fair value of our derivatives also requires the assessment of certain risks related to non-performance, which requires a significant amount of judgment. The effect on our income before income taxes of a 10% change in the model input for non-performance risk would not be significant to our consolidated statements of operations.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enter into proprietary derivative transactions, primarily intended to capitalize on market opportunities related to fuel products we sell. Our limited amounts of proprietary derivative transactions carry a higher degree of risk than our other derivative activities due to the speculative nature of these transactions. For the year ended December 31, 2016, our proprietary derivative transactions did not have a significant impact to our consolidated statement of operations.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recognized as an asset or liability on the consolidated balance sheets and the changes in the the fair value of the contract is immediately recognized through earnings.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derivative contracts are subject to the accounting guidance for derivative instruments and recognized at their estimated fair market value in accordance with the accounting guidance for fair value measurements. If the derivative instrument is not designated as a hedge, changes in the estimated fair market value are recognized as a component of revenue, cost of revenue or other income (expense), net (based on the underlying transaction type) in the consolidated statements of income and comprehensive income. Derivatives which qualify for hedge accounting may be designated as either a fair value or cash flow hedge. For our fair value hedges, changes in the estimated fair market value of the hedging instrument and the hedged item are recognized in the same line item as a component of either revenue or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cost of revenue (based on the underlying transaction type) in the consolidated statements of income and comprehensive income. For our cash flow hedges, the effective portion of the changes in the fair market value of the hedging instrument is initially recognized as a component of other comprehensive income in the shareholders’ equity section of the consolidated balance sheets and subsequently reclassified into the same line item as the underlying forecasted transaction when both are settled or deemed probable of not occurring. The ineffective portion of the changes in the estimated fair market value of the hedging instrument is recognized in the same line item as a component of either revenue or cost of revenue (based on the underlying transaction type) in the consolidated statements of income and comprehensive income. Cash flows for our hedging instruments used in our hedges are classified in the same category as the cash flow from the hedged items. If for any reason hedge accounting is discontinued, then any cash flows subsequent to the date of discontinuance shall be classified in a manner consistent with the nature of the instrument.</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qualify for hedge accounting, the hedging relationship between the hedging instruments and hedged items must be expected to be highly effective in achieving offsetting changes in the fair values or cash flows attributable to the hedged risk at the inception of the hedge. We use a regression analysis based on historical spot prices in assessing the qualification for our fair value and cash flow hedges. However, our measurement of hedge ineffectiveness for our fair value inventory hedges utilizes spot prices for the hedged item (inventory) and forward or futures prices for the hedging instrument. Hedge ineffectiveness measurement for our cash flow hedges is based on forward or futures prices for the hedged item and hedging instrument. Any excluded component (changes in the difference between the spot price and the forward or futures price), along with ineffectiveness, is included as a component of revenue or cost of revenue in earnings. Adjustments to the carrying amounts of hedged items in a fair value hedge relationship are discontinued in instances where the related hedging instrument is deemed no longer highly effective in achieving offsetting changes in fair value. Therefore, any previously recorded fair market value changes are not adjusted until the fuel is sold.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account for business combinations using the acquisition method of accounting, under which the purchase price of the acquisition is allocated to the assets acquired and liabilities assumed using the fair values determined by management as of the acquisition date. Acquisition-related costs incurred in connection with a business combination are expensed as incurred.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arises because the purchase price paid reflects numerous factors, including the strategic fit and expected synergies these acquisitions bring to our existing operations. Goodwill is recorded at fair value and is reviewed at least annually at year-end (or more frequently under certain circumstances) for impairment.</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is evaluated for impairment during the fourth quarter of each year based on an assessment of qualitative factors to determine whether it is more likely than not that the fair value of any individual reporting unit is less than its carrying amount (Step 0). If we determine that it is more likely than not that the fair value of a reporting unit is greater than its carrying value, then no further testing is required. Otherwise, we would perform the two-step impairment analysis described below.</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Step 1 requires us to compare the fair value of the reporting units to which goodwill was assigned to their respective carrying values. In calculating fair value, we use the income approach as our primary indicator of fair value. Under the income approach, we calculate the fair value of a reporting unit based on the present value of estimated future cash flows. These estimates are based on a number of factors including industry experience, business expectations and the economic environment. If the fair value exceeds the carrying value, no further work is required and no impairment loss is recognized. If the carrying value exceeds the fair value, the goodwill of the reporting unit is potentially impaired and the Company would then complete step 2 in order to measure the impairment loss.</w:t>
      </w:r>
    </w:p>
    <w:p>
      <w:pPr>
        <w:spacing w:after="0" w:line="20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performance of the annual fiscal 2016 impairment analysis did not result in an impairment of the Company's goodwill. The qualitative assessment associated with step 0 and the quantitative assessment associated with step 1 of our goodwill impairment analysis both involve significant management estimates and judgment in order to properly determine that the factors assessed are appropriate and are accurate for each of the Company’s reporting units.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our acquisitions, we record identifiable intangible assets at fair value. The determination of the fair values of our identifiable intangible assets involves a significant amount of forecasting and other assumptions associated with recently acquired businesses for which we may not have as much historical information or trend data</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we would for our existing businesses. Identifiable intangible assets subject to amortization are amortized over their estimated useful lives and are reviewed for impairment whenever events or changes in circumstances indicate that the carrying amount of an asset may not be recoverable. We assess identifiable intangible assets not subject to amortization during the fourth quarter of each year for potential impairment. Our impairment analysis of our intangible assets not subject to amortization (primarily trademarks and/or trade names) generally involves the use of qualitative and quantitative analyses to estimate whether the estimated future cash flows generated as a result of these assets will be greater than or equal to the carrying value assigned to such assets. We have not historically incurred any impairment losses associated with our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Revenue from the sale of fuel is recognized when the sales price is fixed or determinable, collectability is reasonably assured and title passes to the customer, which is when the delivery of fuel is made to our customer directly from us, the supplier or a third</w:t>
      </w:r>
      <w:r>
        <w:rPr>
          <w:rFonts w:ascii="MS PGothic" w:cs="MS PGothic" w:eastAsia="MS PGothic" w:hAnsi="MS PGothic"/>
          <w:sz w:val="18"/>
          <w:szCs w:val="18"/>
          <w:color w:val="auto"/>
        </w:rPr>
        <w:t>‑</w:t>
      </w:r>
      <w:r>
        <w:rPr>
          <w:rFonts w:ascii="Arial" w:cs="Arial" w:eastAsia="Arial" w:hAnsi="Arial"/>
          <w:sz w:val="18"/>
          <w:szCs w:val="18"/>
          <w:color w:val="auto"/>
        </w:rPr>
        <w:t>party subcontractor. Our fuel sales are generated as a fuel reseller as well as from on</w:t>
      </w:r>
      <w:r>
        <w:rPr>
          <w:rFonts w:ascii="MS PGothic" w:cs="MS PGothic" w:eastAsia="MS PGothic" w:hAnsi="MS PGothic"/>
          <w:sz w:val="18"/>
          <w:szCs w:val="18"/>
          <w:color w:val="auto"/>
        </w:rPr>
        <w:t>‑</w:t>
      </w:r>
      <w:r>
        <w:rPr>
          <w:rFonts w:ascii="Arial" w:cs="Arial" w:eastAsia="Arial" w:hAnsi="Arial"/>
          <w:sz w:val="18"/>
          <w:szCs w:val="18"/>
          <w:color w:val="auto"/>
        </w:rPr>
        <w:t>hand inventory supply. When acting as a fuel reseller, we generally purchase fuel from the supplier, and contemporaneously resell the fuel to the customer, normally taking delivery for purchased fuel at the same place and time as the delivery is made to the customer. We record the gross sale of the fuel as we generally take inventory risk, have latitude in establishing the sales price, have discretion in the supplier selection, maintain credit risk and are the primary obligor in the sales arrangement.</w:t>
      </w:r>
    </w:p>
    <w:p>
      <w:pPr>
        <w:spacing w:after="0" w:line="21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Revenue from fuel</w:t>
      </w:r>
      <w:r>
        <w:rPr>
          <w:rFonts w:ascii="MS PGothic" w:cs="MS PGothic" w:eastAsia="MS PGothic" w:hAnsi="MS PGothic"/>
          <w:sz w:val="18"/>
          <w:szCs w:val="18"/>
          <w:color w:val="auto"/>
        </w:rPr>
        <w:t>‑</w:t>
      </w:r>
      <w:r>
        <w:rPr>
          <w:rFonts w:ascii="Arial" w:cs="Arial" w:eastAsia="Arial" w:hAnsi="Arial"/>
          <w:sz w:val="18"/>
          <w:szCs w:val="18"/>
          <w:color w:val="auto"/>
        </w:rPr>
        <w:t>related services is recognized when services are performed, the sales price is fixed or determinable and collectability is reasonably assured. We record the sale of fuel</w:t>
      </w:r>
      <w:r>
        <w:rPr>
          <w:rFonts w:ascii="MS PGothic" w:cs="MS PGothic" w:eastAsia="MS PGothic" w:hAnsi="MS PGothic"/>
          <w:sz w:val="18"/>
          <w:szCs w:val="18"/>
          <w:color w:val="auto"/>
        </w:rPr>
        <w:t>‑</w:t>
      </w:r>
      <w:r>
        <w:rPr>
          <w:rFonts w:ascii="Arial" w:cs="Arial" w:eastAsia="Arial" w:hAnsi="Arial"/>
          <w:sz w:val="18"/>
          <w:szCs w:val="18"/>
          <w:color w:val="auto"/>
        </w:rPr>
        <w:t>related services on a gross basis as we generally have latitude in establishing the sales price, have discretion in supplier selection, maintain credit risk and are the primary obligor in the sales arrangement.</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Commission from fuel broker services is recognized when services are performed and collectability is reasonably assured. When acting as a fuel broker, we are paid a commission by the supplier.</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from card payment and processing transactions is recognized at the time the purchase is made by the customer using the charge card. Revenue from charge card transactions is generated from processing fees.</w:t>
      </w:r>
    </w:p>
    <w:p>
      <w:pPr>
        <w:spacing w:after="0" w:line="19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Whether the services have been performed and when title and risk of loss passes to the customer are the factors we take into consideration in deciding when to recognize revenue. These factors are readily determinable and consistently applied throughout our business. Therefore, we generally have not needed to make significant estimates or assumptions with respect to revenue recognition.</w:t>
      </w:r>
    </w:p>
    <w:p>
      <w:pPr>
        <w:spacing w:after="0" w:line="18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Share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Payment Awards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account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on a fair value basis. Under fair value accounting, the grant</w:t>
      </w:r>
      <w:r>
        <w:rPr>
          <w:rFonts w:ascii="MS PGothic" w:cs="MS PGothic" w:eastAsia="MS PGothic" w:hAnsi="MS PGothic"/>
          <w:sz w:val="18"/>
          <w:szCs w:val="18"/>
          <w:color w:val="auto"/>
        </w:rPr>
        <w:t>‑</w:t>
      </w:r>
      <w:r>
        <w:rPr>
          <w:rFonts w:ascii="Arial" w:cs="Arial" w:eastAsia="Arial" w:hAnsi="Arial"/>
          <w:sz w:val="18"/>
          <w:szCs w:val="18"/>
          <w:color w:val="auto"/>
        </w:rPr>
        <w:t>date fair value of the share</w:t>
      </w:r>
      <w:r>
        <w:rPr>
          <w:rFonts w:ascii="MS PGothic" w:cs="MS PGothic" w:eastAsia="MS PGothic" w:hAnsi="MS PGothic"/>
          <w:sz w:val="18"/>
          <w:szCs w:val="18"/>
          <w:color w:val="auto"/>
        </w:rPr>
        <w:t>‑</w:t>
      </w:r>
      <w:r>
        <w:rPr>
          <w:rFonts w:ascii="Arial" w:cs="Arial" w:eastAsia="Arial" w:hAnsi="Arial"/>
          <w:sz w:val="18"/>
          <w:szCs w:val="18"/>
          <w:color w:val="auto"/>
        </w:rPr>
        <w:t>based payment award is amortized as compensation expense,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 for both graded and cliff vesting awards. Annual compensation expense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is reduced by an expected forfeiture amount on outstanding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We utilize our historical forfeiture rates to calculate future expected forfeitures. These estimates can vary significantly from actual forfeiture rates experienced. Our estimated forfeiture rates have historically approximated actual forfeitures.</w:t>
      </w:r>
    </w:p>
    <w:p>
      <w:pPr>
        <w:spacing w:after="0" w:line="21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estimated fair value of stock awards, such as restricted stock and restricted stock units (“RSUs”) is based on the grant</w:t>
      </w:r>
      <w:r>
        <w:rPr>
          <w:rFonts w:ascii="MS PGothic" w:cs="MS PGothic" w:eastAsia="MS PGothic" w:hAnsi="MS PGothic"/>
          <w:sz w:val="18"/>
          <w:szCs w:val="18"/>
          <w:color w:val="auto"/>
        </w:rPr>
        <w:t>‑</w:t>
      </w:r>
      <w:r>
        <w:rPr>
          <w:rFonts w:ascii="Arial" w:cs="Arial" w:eastAsia="Arial" w:hAnsi="Arial"/>
          <w:sz w:val="18"/>
          <w:szCs w:val="18"/>
          <w:color w:val="auto"/>
        </w:rPr>
        <w:t>date market value of our common stock, as defined in the respective plans under which the awards were granted. To determine the estimated fair value of stock</w:t>
      </w:r>
      <w:r>
        <w:rPr>
          <w:rFonts w:ascii="MS PGothic" w:cs="MS PGothic" w:eastAsia="MS PGothic" w:hAnsi="MS PGothic"/>
          <w:sz w:val="18"/>
          <w:szCs w:val="18"/>
          <w:color w:val="auto"/>
        </w:rPr>
        <w:t>‑</w:t>
      </w:r>
      <w:r>
        <w:rPr>
          <w:rFonts w:ascii="Arial" w:cs="Arial" w:eastAsia="Arial" w:hAnsi="Arial"/>
          <w:sz w:val="18"/>
          <w:szCs w:val="18"/>
          <w:color w:val="auto"/>
        </w:rPr>
        <w:t>settled stock appreciation rights (“SSAR Awards”), we use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estimation of the fair value of SSAR Awards on the date of grant using an option</w:t>
      </w:r>
      <w:r>
        <w:rPr>
          <w:rFonts w:ascii="MS PGothic" w:cs="MS PGothic" w:eastAsia="MS PGothic" w:hAnsi="MS PGothic"/>
          <w:sz w:val="18"/>
          <w:szCs w:val="18"/>
          <w:color w:val="auto"/>
        </w:rPr>
        <w:t>‑</w:t>
      </w:r>
      <w:r>
        <w:rPr>
          <w:rFonts w:ascii="Arial" w:cs="Arial" w:eastAsia="Arial" w:hAnsi="Arial"/>
          <w:sz w:val="18"/>
          <w:szCs w:val="18"/>
          <w:color w:val="auto"/>
        </w:rPr>
        <w:t>pricing model is affected by our stock price as well as assumptions regarding a number of complex and subjective variables. These variables include our expected stock price volatility over the term of the awards, actual and projected employee stock option exercise behaviors, risk</w:t>
      </w:r>
      <w:r>
        <w:rPr>
          <w:rFonts w:ascii="MS PGothic" w:cs="MS PGothic" w:eastAsia="MS PGothic" w:hAnsi="MS PGothic"/>
          <w:sz w:val="18"/>
          <w:szCs w:val="18"/>
          <w:color w:val="auto"/>
        </w:rPr>
        <w:t>‑</w:t>
      </w:r>
      <w:r>
        <w:rPr>
          <w:rFonts w:ascii="Arial" w:cs="Arial" w:eastAsia="Arial" w:hAnsi="Arial"/>
          <w:sz w:val="18"/>
          <w:szCs w:val="18"/>
          <w:color w:val="auto"/>
        </w:rPr>
        <w:t xml:space="preserve"> free interest rates and expected dividends. The expected term of SSAR Awards represents the estimated period of time from grant until exercise or conversion and is based on vesting schedules and expected post</w:t>
      </w:r>
      <w:r>
        <w:rPr>
          <w:rFonts w:ascii="MS PGothic" w:cs="MS PGothic" w:eastAsia="MS PGothic" w:hAnsi="MS PGothic"/>
          <w:sz w:val="18"/>
          <w:szCs w:val="18"/>
          <w:color w:val="auto"/>
        </w:rPr>
        <w:t>‑</w:t>
      </w:r>
      <w:r>
        <w:rPr>
          <w:rFonts w:ascii="Arial" w:cs="Arial" w:eastAsia="Arial" w:hAnsi="Arial"/>
          <w:sz w:val="18"/>
          <w:szCs w:val="18"/>
          <w:color w:val="auto"/>
        </w:rPr>
        <w:t>vesting, exercise and employment termination behavior. Expected volatility is based on the historical volatility of our common stock over the period that is equivalent to the award’s expected life. Any adjustment to the historical volatility as an indicator of future volatility would be based on the impact to historical volatility of significant non</w:t>
      </w:r>
      <w:r>
        <w:rPr>
          <w:rFonts w:ascii="MS PGothic" w:cs="MS PGothic" w:eastAsia="MS PGothic" w:hAnsi="MS PGothic"/>
          <w:sz w:val="18"/>
          <w:szCs w:val="18"/>
          <w:color w:val="auto"/>
        </w:rPr>
        <w:t>‑</w:t>
      </w:r>
      <w:r>
        <w:rPr>
          <w:rFonts w:ascii="Arial" w:cs="Arial" w:eastAsia="Arial" w:hAnsi="Arial"/>
          <w:sz w:val="18"/>
          <w:szCs w:val="18"/>
          <w:color w:val="auto"/>
        </w:rPr>
        <w:t>recurring events that would not be expected in the future. Risk</w:t>
      </w:r>
      <w:r>
        <w:rPr>
          <w:rFonts w:ascii="MS PGothic" w:cs="MS PGothic" w:eastAsia="MS PGothic" w:hAnsi="MS PGothic"/>
          <w:sz w:val="18"/>
          <w:szCs w:val="18"/>
          <w:color w:val="auto"/>
        </w:rPr>
        <w:t>‑</w:t>
      </w:r>
      <w:r>
        <w:rPr>
          <w:rFonts w:ascii="Arial" w:cs="Arial" w:eastAsia="Arial" w:hAnsi="Arial"/>
          <w:sz w:val="18"/>
          <w:szCs w:val="18"/>
          <w:color w:val="auto"/>
        </w:rPr>
        <w:t>free interest rates are based on the U.S. Treasury yield curve at the time of grant for the period that is equivalent to the award’s expected life. Dividend yields are based on the historical dividends of World Fuel over the period that is equivalent to the award’s expected life, as adjusted for stock splits.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Cash flows from income tax benefits resulting from income tax deductions in excess of the compensation cost recognized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(excess income tax benefits) are classified as financing cash flows. These excess income tax benefits are credited to capital in excess of par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Information regarding accounting standards adopted during 2016 is included in Note 1 to the accompanying consolidated financial statements included in this 2016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In January 2017, the Financial Accounting Standards Board (“FASB”) issued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Update (“ASU”) 2017-04. The update simplifies the subsequent measurement of goodwill by eliminating Step 2 from the goodwill impairment test. Under the amendment an entity should recognize an impairment charge for the amount by which the carrying amount exceeds the reporting unit’s fair value; however, the loss recognized should not exceed the total amount of goodwill allocated to that reporting unit. This standard is effective at the beginning of our 2020 fiscal year. We are currently evaluating whether the adoption of this new guidance will have a significant impact on our consolidated financial statements and related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Business Combinations (Topic 805): Clarifying the Definition of a Business. </w:t>
      </w:r>
      <w:r>
        <w:rPr>
          <w:rFonts w:ascii="Arial" w:cs="Arial" w:eastAsia="Arial" w:hAnsi="Arial"/>
          <w:sz w:val="18"/>
          <w:szCs w:val="18"/>
          <w:color w:val="auto"/>
        </w:rPr>
        <w:t>In January 2017, ASU 2017-01 was issued.</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update clarifies the definition of a business with the objective of adding guidance to assist entities with evaluating whether transactions should be accounted for as acquisitions (or disposals) of businesses. This standard is effective at the beginning of our 2018 fiscal year. We are currently evaluating whether the adoption of this new guidance will have a significant impact on our consolidated financial statements and related disclosures.</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Cash Flows: Statement of Cash Flows (Topic 230) - Restricted Cash. </w:t>
      </w:r>
      <w:r>
        <w:rPr>
          <w:rFonts w:ascii="Arial" w:cs="Arial" w:eastAsia="Arial" w:hAnsi="Arial"/>
          <w:sz w:val="18"/>
          <w:szCs w:val="18"/>
          <w:color w:val="auto"/>
        </w:rPr>
        <w:t>In November 2016, ASU 2016-18 was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The update requires that a</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cash flows explains the change during the period in the total of cash, cash equivalents, and amounts generally described as restricted cash or restricted cash equivalents. This standard is effective at the beginning of our 2018 fiscal year. We are currently evaluating whether the adoption of this new guidance will have a significant impact on our consolidated financial statements and related disclosures.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In October 2016, ASU 2016-16 was issued. The update</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the recognition of current and deferred income taxes for an intra-entity asset transfer until the asset has been sold to an outside party. This standard is effective at the beginning of our 2018 fiscal year. We are currently evaluating whether the adoption of this new guidance will have a significant impact on our consolidated financial statements and related disclosures.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Cash Flows</w:t>
      </w:r>
      <w:r>
        <w:rPr>
          <w:rFonts w:ascii="Arial" w:cs="Arial" w:eastAsia="Arial" w:hAnsi="Arial"/>
          <w:sz w:val="18"/>
          <w:szCs w:val="18"/>
          <w:color w:val="auto"/>
        </w:rPr>
        <w:t>:</w:t>
      </w:r>
      <w:r>
        <w:rPr>
          <w:rFonts w:ascii="Arial" w:cs="Arial" w:eastAsia="Arial" w:hAnsi="Arial"/>
          <w:sz w:val="18"/>
          <w:szCs w:val="18"/>
          <w:i w:val="1"/>
          <w:iCs w:val="1"/>
          <w:color w:val="auto"/>
        </w:rPr>
        <w:t xml:space="preserve"> Statement of Cash Flows (Topic 230) - Classification of Certain Cash Receipts and Cash Payments</w:t>
      </w:r>
      <w:r>
        <w:rPr>
          <w:rFonts w:ascii="Arial" w:cs="Arial" w:eastAsia="Arial" w:hAnsi="Arial"/>
          <w:sz w:val="18"/>
          <w:szCs w:val="18"/>
          <w:color w:val="auto"/>
        </w:rPr>
        <w:t>. In August 2016 ASU 2016-15</w:t>
      </w:r>
      <w:r>
        <w:rPr>
          <w:rFonts w:ascii="Arial" w:cs="Arial" w:eastAsia="Arial" w:hAnsi="Arial"/>
          <w:sz w:val="18"/>
          <w:szCs w:val="18"/>
          <w:i w:val="1"/>
          <w:iCs w:val="1"/>
          <w:color w:val="auto"/>
        </w:rPr>
        <w:t xml:space="preserve"> </w:t>
      </w:r>
      <w:r>
        <w:rPr>
          <w:rFonts w:ascii="Arial" w:cs="Arial" w:eastAsia="Arial" w:hAnsi="Arial"/>
          <w:sz w:val="18"/>
          <w:szCs w:val="18"/>
          <w:color w:val="auto"/>
        </w:rPr>
        <w:t>was issued. The ASU provides guidance on classification of eight specific cash flows items. This standard is effective at the beginning of our 2018 fiscal year. We are currently evaluating whether the adoption of this new guidance will have a significant impact on our consolidated financial statements and related disclosures.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Derivatives and Hedging (Topic 815): Contingent Put and Call Options in Debt Instruments</w:t>
      </w:r>
      <w:r>
        <w:rPr>
          <w:rFonts w:ascii="Arial" w:cs="Arial" w:eastAsia="Arial" w:hAnsi="Arial"/>
          <w:sz w:val="18"/>
          <w:szCs w:val="18"/>
          <w:color w:val="auto"/>
        </w:rPr>
        <w:t>. In March 2016, ASU 2016-06 was issued. ASU</w:t>
      </w:r>
      <w:r>
        <w:rPr>
          <w:rFonts w:ascii="Arial" w:cs="Arial" w:eastAsia="Arial" w:hAnsi="Arial"/>
          <w:sz w:val="18"/>
          <w:szCs w:val="18"/>
          <w:i w:val="1"/>
          <w:iCs w:val="1"/>
          <w:color w:val="auto"/>
        </w:rPr>
        <w:t xml:space="preserve"> </w:t>
      </w:r>
      <w:r>
        <w:rPr>
          <w:rFonts w:ascii="Arial" w:cs="Arial" w:eastAsia="Arial" w:hAnsi="Arial"/>
          <w:sz w:val="18"/>
          <w:szCs w:val="18"/>
          <w:color w:val="auto"/>
        </w:rPr>
        <w:t>2016-06 clarifies the steps required to determine bifurcation of an embedded derivative. The update is effective at the beginning of our 2017 fiscal year. We do not believe the adoption of this new guidance will have an impact on our financial statement disclosures.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Derivatives and Hedging (Topic 815): Effect of Derivative Contract Novations on Existing Hedge Accounting Relationships</w:t>
      </w:r>
      <w:r>
        <w:rPr>
          <w:rFonts w:ascii="Arial" w:cs="Arial" w:eastAsia="Arial" w:hAnsi="Arial"/>
          <w:sz w:val="18"/>
          <w:szCs w:val="18"/>
          <w:color w:val="auto"/>
        </w:rPr>
        <w:t>. In March 2016,</w:t>
      </w:r>
      <w:r>
        <w:rPr>
          <w:rFonts w:ascii="Arial" w:cs="Arial" w:eastAsia="Arial" w:hAnsi="Arial"/>
          <w:sz w:val="18"/>
          <w:szCs w:val="18"/>
          <w:i w:val="1"/>
          <w:iCs w:val="1"/>
          <w:color w:val="auto"/>
        </w:rPr>
        <w:t xml:space="preserve"> </w:t>
      </w:r>
      <w:r>
        <w:rPr>
          <w:rFonts w:ascii="Arial" w:cs="Arial" w:eastAsia="Arial" w:hAnsi="Arial"/>
          <w:sz w:val="18"/>
          <w:szCs w:val="18"/>
          <w:color w:val="auto"/>
        </w:rPr>
        <w:t>ASU 2016-05 was issued which clarifies the change in the counterparty to a derivative instrument that has been designated as a hedging instrument does not, in and of itself, require de-designation of that hedging relationship provided that all other hedge accounting criteria continue to be met. The update is effective at the beginning of our 2017 fiscal year. We do not believe the adoption of this new guidance will have an impact on our financial statement disclosures.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Leases (Topic 842). </w:t>
      </w:r>
      <w:r>
        <w:rPr>
          <w:rFonts w:ascii="Arial" w:cs="Arial" w:eastAsia="Arial" w:hAnsi="Arial"/>
          <w:sz w:val="18"/>
          <w:szCs w:val="18"/>
          <w:color w:val="auto"/>
        </w:rPr>
        <w:t>In February 2016, ASU 2016-02, Leases, was issued. This standard will require all lessees to recognize a right of use</w:t>
      </w:r>
      <w:r>
        <w:rPr>
          <w:rFonts w:ascii="Arial" w:cs="Arial" w:eastAsia="Arial" w:hAnsi="Arial"/>
          <w:sz w:val="18"/>
          <w:szCs w:val="18"/>
          <w:i w:val="1"/>
          <w:iCs w:val="1"/>
          <w:color w:val="auto"/>
        </w:rPr>
        <w:t xml:space="preserve"> </w:t>
      </w:r>
      <w:r>
        <w:rPr>
          <w:rFonts w:ascii="Arial" w:cs="Arial" w:eastAsia="Arial" w:hAnsi="Arial"/>
          <w:sz w:val="18"/>
          <w:szCs w:val="18"/>
          <w:color w:val="auto"/>
        </w:rPr>
        <w:t>asset and a lease liability on the balance sheet, except for leases with durations that are less than twelve months. This standard is effective at the beginning of our 2018 fiscal year. We are currently evaluating whether the adoption of this new guidance will have a significant impact on our consolidated financial statements and related disclosures.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Financial Instruments - Overall (Subtopic 825-10): Recognition and Measurement of Financial Assets and Financial Liabilities. </w:t>
      </w:r>
      <w:r>
        <w:rPr>
          <w:rFonts w:ascii="Arial" w:cs="Arial" w:eastAsia="Arial" w:hAnsi="Arial"/>
          <w:sz w:val="18"/>
          <w:szCs w:val="18"/>
          <w:color w:val="auto"/>
        </w:rPr>
        <w:t>In January 2016,</w:t>
      </w:r>
      <w:r>
        <w:rPr>
          <w:rFonts w:ascii="Arial" w:cs="Arial" w:eastAsia="Arial" w:hAnsi="Arial"/>
          <w:sz w:val="18"/>
          <w:szCs w:val="18"/>
          <w:i w:val="1"/>
          <w:iCs w:val="1"/>
          <w:color w:val="auto"/>
        </w:rPr>
        <w:t xml:space="preserve"> </w:t>
      </w:r>
      <w:r>
        <w:rPr>
          <w:rFonts w:ascii="Arial" w:cs="Arial" w:eastAsia="Arial" w:hAnsi="Arial"/>
          <w:sz w:val="18"/>
          <w:szCs w:val="18"/>
          <w:color w:val="auto"/>
        </w:rPr>
        <w:t>ASU 2016-01 was issued to address certain aspects of recognition, measurement, presentation, and disclosure of financial instruments. The ASU supersedes the guidance to classify equity securities with readily determinable fair values into different categories, and requires equity securities (except those that are accounted for under the equity method or those that result in consolidation of the investee) to be measured at fair value with changes in the fair value recognized through net income. It also simplifies the impairment assessment of equity investments without readily determinable fair values by requiring assessment for impairment qualitatively at each reporting period. This update is effective at the beginning of our 2018 fiscal year. We are currently evaluating whether the adoption of this new guidance will have a significant impact on our consolidated financial statements and disclosures.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Inventory (Topic 330): Simplifying the Measurement of Inventory. </w:t>
      </w:r>
      <w:r>
        <w:rPr>
          <w:rFonts w:ascii="Arial" w:cs="Arial" w:eastAsia="Arial" w:hAnsi="Arial"/>
          <w:sz w:val="18"/>
          <w:szCs w:val="18"/>
          <w:color w:val="auto"/>
        </w:rPr>
        <w:t>In July 2015, the FASB issued ASU 2015-11, which simplifies the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inventory. The updated guidance requires that Inventory measured using any method other than LIFO or the retail inventory method (for example, inventory measured using first-in, first-out (FIFO) or average cost) be measured at the lower of cost and net realizable value. This standard is effective at the beginning of our 2017 fiscal year. We do not believe the adoption of this new guidance will have a significant impact on our consolidated financial statements and related disclosures.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 Recognition (Topic 606): Revenue from Contracts with Customers. </w:t>
      </w:r>
      <w:r>
        <w:rPr>
          <w:rFonts w:ascii="Arial" w:cs="Arial" w:eastAsia="Arial" w:hAnsi="Arial"/>
          <w:sz w:val="18"/>
          <w:szCs w:val="18"/>
          <w:color w:val="auto"/>
        </w:rPr>
        <w:t>In May 2014, ASU 2014-09 was issued. Under this ASU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issued amendments, an entity is required to recognize the amount of revenue it expects to be entitled to for the transfer of promised goods or services to customers. The updated standard will replace most existing revenue recognition guidance in U.S. GAAP. This ASU provides alternative methods of transition, a full retrospective and a modified restrospective approach. The modified retrospective approach would result in recognition of the cumulative impact of a retrospective application as of the beginning of the period of initial application, which in our case is the interim period beginning January 1, 2018.</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preparation for adoption of the standard, we developed a cross-functional team and engaged a third-party service provider to assist us throughout our evaluation. In addition, we have factored the adoption into our ongoing ERP platform upgrade, which we previously committed to perform, as our system readiness is a key element towards the determination of the adoption approach we adopt. We continue to perform our assessment, and while those activities are not complete, we expect to identify similar performance obligations under ASC 606 as compared to those previously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and Financial Instruments Market Risk</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commodity-based derivative contracts and financial instruments, when we deem it appropriate, to manage the risks associated with changes in the prices of fuel and fuel-related products, fluctuations in foreign currency exchange rates and interest rates, or to capture market opportunities. We utilize hedge accounting and formally designate certain of our derivative instruments as either cash flow or fair value hedges. Derivative instruments that are not designated are considered non-designated hedges and are designed to achieve an economic offset of the underlying price risk exposure. Financial instruments and positions affecting the financial statements of the company are described below and are held primarily for hedging purposes. As a result, any changes in income associated with our derivatives contracts are substantially offset by corresponding changes in the value of the underlying risk being mitigated.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Risk</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commercial business segments use derivative instruments, primarily futures, forward, swap, and option contracts, in various markets to manage price risk inherent in the purchase and sale of fuel. Certain of these derivative instruments are utilized to mitigate the risk of price volatility in forecasted transactions in a cash flow hedge relationship, and to mitigate the risk of changes in the price of our inventory in a fair value hedge relationship. In addition, we use derivatives as economic hedges or to optimize the value of our fuel inventory by engaging in trading activities to capitalize on anticipated market opportunities. As of December 31, 2016, and December 31, 2015, the notional and fair market values of our commodity-based derivative instruments position were as follows (in millions, except weighted average contract price):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Commodity Contracts (In millions of BBL)</w:t>
            </w:r>
          </w:p>
        </w:tc>
        <w:tc>
          <w:tcPr>
            <w:tcW w:w="1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As of December, 31 2016</w:t>
            </w: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As of December, 31 2015</w:t>
            </w:r>
          </w:p>
        </w:tc>
      </w:tr>
      <w:tr>
        <w:trPr>
          <w:trHeight w:val="175"/>
        </w:trPr>
        <w:tc>
          <w:tcPr>
            <w:tcW w:w="1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jc w:val="right"/>
              <w:ind w:right="242"/>
              <w:spacing w:after="0"/>
              <w:rPr>
                <w:sz w:val="20"/>
                <w:szCs w:val="20"/>
                <w:color w:val="auto"/>
              </w:rPr>
            </w:pPr>
            <w:r>
              <w:rPr>
                <w:rFonts w:ascii="Arial" w:cs="Arial" w:eastAsia="Arial" w:hAnsi="Arial"/>
                <w:sz w:val="14"/>
                <w:szCs w:val="14"/>
                <w:b w:val="1"/>
                <w:bCs w:val="1"/>
                <w:color w:val="auto"/>
              </w:rPr>
              <w:t>Notional</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Weighted</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Arial" w:cs="Arial" w:eastAsia="Arial" w:hAnsi="Arial"/>
                <w:sz w:val="14"/>
                <w:szCs w:val="14"/>
                <w:b w:val="1"/>
                <w:bCs w:val="1"/>
                <w:color w:val="auto"/>
              </w:rPr>
              <w:t>Notional</w:t>
            </w:r>
          </w:p>
        </w:tc>
        <w:tc>
          <w:tcPr>
            <w:tcW w:w="180" w:type="dxa"/>
            <w:vAlign w:val="bottom"/>
          </w:tcPr>
          <w:p>
            <w:pPr>
              <w:spacing w:after="0"/>
              <w:rPr>
                <w:sz w:val="15"/>
                <w:szCs w:val="15"/>
                <w:color w:val="auto"/>
              </w:rPr>
            </w:pPr>
          </w:p>
        </w:tc>
        <w:tc>
          <w:tcPr>
            <w:tcW w:w="860" w:type="dxa"/>
            <w:vAlign w:val="bottom"/>
          </w:tcPr>
          <w:p>
            <w:pPr>
              <w:jc w:val="right"/>
              <w:ind w:right="82"/>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2"/>
        </w:trPr>
        <w:tc>
          <w:tcPr>
            <w:tcW w:w="1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jc w:val="right"/>
              <w:ind w:right="242"/>
              <w:spacing w:after="0"/>
              <w:rPr>
                <w:sz w:val="20"/>
                <w:szCs w:val="20"/>
                <w:color w:val="auto"/>
              </w:rPr>
            </w:pPr>
            <w:r>
              <w:rPr>
                <w:rFonts w:ascii="Arial" w:cs="Arial" w:eastAsia="Arial" w:hAnsi="Arial"/>
                <w:sz w:val="14"/>
                <w:szCs w:val="14"/>
                <w:b w:val="1"/>
                <w:bCs w:val="1"/>
                <w:color w:val="auto"/>
              </w:rPr>
              <w:t>Net</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Average</w:t>
            </w:r>
          </w:p>
        </w:tc>
        <w:tc>
          <w:tcPr>
            <w:tcW w:w="780" w:type="dxa"/>
            <w:vAlign w:val="bottom"/>
          </w:tcPr>
          <w:p>
            <w:pPr>
              <w:jc w:val="right"/>
              <w:ind w:right="21"/>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860" w:type="dxa"/>
            <w:vAlign w:val="bottom"/>
          </w:tcPr>
          <w:p>
            <w:pPr>
              <w:jc w:val="right"/>
              <w:ind w:right="82"/>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780" w:type="dxa"/>
            <w:vAlign w:val="bottom"/>
          </w:tcPr>
          <w:p>
            <w:pPr>
              <w:jc w:val="right"/>
              <w:ind w:right="21"/>
              <w:spacing w:after="0"/>
              <w:rPr>
                <w:sz w:val="20"/>
                <w:szCs w:val="20"/>
                <w:color w:val="auto"/>
              </w:rPr>
            </w:pPr>
            <w:r>
              <w:rPr>
                <w:rFonts w:ascii="Arial" w:cs="Arial" w:eastAsia="Arial" w:hAnsi="Arial"/>
                <w:sz w:val="14"/>
                <w:szCs w:val="14"/>
                <w:b w:val="1"/>
                <w:bCs w:val="1"/>
                <w:color w:val="auto"/>
              </w:rPr>
              <w:t>Fair</w:t>
            </w:r>
          </w:p>
        </w:tc>
      </w:tr>
      <w:tr>
        <w:trPr>
          <w:trHeight w:val="162"/>
        </w:trPr>
        <w:tc>
          <w:tcPr>
            <w:tcW w:w="1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241"/>
              <w:spacing w:after="0"/>
              <w:rPr>
                <w:sz w:val="20"/>
                <w:szCs w:val="20"/>
                <w:color w:val="auto"/>
              </w:rPr>
            </w:pPr>
            <w:r>
              <w:rPr>
                <w:rFonts w:ascii="Arial" w:cs="Arial" w:eastAsia="Arial" w:hAnsi="Arial"/>
                <w:sz w:val="14"/>
                <w:szCs w:val="14"/>
                <w:b w:val="1"/>
                <w:bCs w:val="1"/>
                <w:color w:val="auto"/>
              </w:rPr>
              <w:t>Settlement</w:t>
            </w:r>
          </w:p>
        </w:tc>
        <w:tc>
          <w:tcPr>
            <w:tcW w:w="1180" w:type="dxa"/>
            <w:vAlign w:val="bottom"/>
          </w:tcPr>
          <w:p>
            <w:pPr>
              <w:jc w:val="right"/>
              <w:ind w:right="202"/>
              <w:spacing w:after="0"/>
              <w:rPr>
                <w:sz w:val="20"/>
                <w:szCs w:val="20"/>
                <w:color w:val="auto"/>
              </w:rPr>
            </w:pPr>
            <w:r>
              <w:rPr>
                <w:rFonts w:ascii="Arial" w:cs="Arial" w:eastAsia="Arial" w:hAnsi="Arial"/>
                <w:sz w:val="14"/>
                <w:szCs w:val="14"/>
                <w:b w:val="1"/>
                <w:bCs w:val="1"/>
                <w:color w:val="auto"/>
              </w:rPr>
              <w:t>Long/</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Contract</w:t>
            </w:r>
          </w:p>
        </w:tc>
        <w:tc>
          <w:tcPr>
            <w:tcW w:w="780" w:type="dxa"/>
            <w:vAlign w:val="bottom"/>
          </w:tcPr>
          <w:p>
            <w:pPr>
              <w:jc w:val="right"/>
              <w:ind w:right="21"/>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0" w:type="dxa"/>
            <w:vAlign w:val="bottom"/>
          </w:tcPr>
          <w:p>
            <w:pPr>
              <w:jc w:val="right"/>
              <w:ind w:right="23"/>
              <w:spacing w:after="0"/>
              <w:rPr>
                <w:sz w:val="20"/>
                <w:szCs w:val="20"/>
                <w:color w:val="auto"/>
              </w:rPr>
            </w:pPr>
            <w:r>
              <w:rPr>
                <w:rFonts w:ascii="Arial" w:cs="Arial" w:eastAsia="Arial" w:hAnsi="Arial"/>
                <w:sz w:val="14"/>
                <w:szCs w:val="14"/>
                <w:b w:val="1"/>
                <w:bCs w:val="1"/>
                <w:color w:val="auto"/>
              </w:rPr>
              <w:t>Long/</w:t>
            </w:r>
          </w:p>
        </w:tc>
        <w:tc>
          <w:tcPr>
            <w:tcW w:w="180" w:type="dxa"/>
            <w:vAlign w:val="bottom"/>
          </w:tcPr>
          <w:p>
            <w:pPr>
              <w:spacing w:after="0"/>
              <w:rPr>
                <w:sz w:val="14"/>
                <w:szCs w:val="14"/>
                <w:color w:val="auto"/>
              </w:rPr>
            </w:pPr>
          </w:p>
        </w:tc>
        <w:tc>
          <w:tcPr>
            <w:tcW w:w="860" w:type="dxa"/>
            <w:vAlign w:val="bottom"/>
          </w:tcPr>
          <w:p>
            <w:pPr>
              <w:jc w:val="right"/>
              <w:ind w:right="42"/>
              <w:spacing w:after="0"/>
              <w:rPr>
                <w:sz w:val="20"/>
                <w:szCs w:val="20"/>
                <w:color w:val="auto"/>
              </w:rPr>
            </w:pPr>
            <w:r>
              <w:rPr>
                <w:rFonts w:ascii="Arial" w:cs="Arial" w:eastAsia="Arial" w:hAnsi="Arial"/>
                <w:sz w:val="14"/>
                <w:szCs w:val="14"/>
                <w:b w:val="1"/>
                <w:bCs w:val="1"/>
                <w:color w:val="auto"/>
              </w:rPr>
              <w:t>Contract</w:t>
            </w:r>
          </w:p>
        </w:tc>
        <w:tc>
          <w:tcPr>
            <w:tcW w:w="240" w:type="dxa"/>
            <w:vAlign w:val="bottom"/>
          </w:tcPr>
          <w:p>
            <w:pPr>
              <w:spacing w:after="0"/>
              <w:rPr>
                <w:sz w:val="14"/>
                <w:szCs w:val="14"/>
                <w:color w:val="auto"/>
              </w:rPr>
            </w:pPr>
          </w:p>
        </w:tc>
        <w:tc>
          <w:tcPr>
            <w:tcW w:w="780" w:type="dxa"/>
            <w:vAlign w:val="bottom"/>
          </w:tcPr>
          <w:p>
            <w:pPr>
              <w:jc w:val="right"/>
              <w:ind w:right="21"/>
              <w:spacing w:after="0"/>
              <w:rPr>
                <w:sz w:val="20"/>
                <w:szCs w:val="20"/>
                <w:color w:val="auto"/>
              </w:rPr>
            </w:pPr>
            <w:r>
              <w:rPr>
                <w:rFonts w:ascii="Arial" w:cs="Arial" w:eastAsia="Arial" w:hAnsi="Arial"/>
                <w:sz w:val="14"/>
                <w:szCs w:val="14"/>
                <w:b w:val="1"/>
                <w:bCs w:val="1"/>
                <w:color w:val="auto"/>
              </w:rPr>
              <w:t>Value</w:t>
            </w:r>
          </w:p>
        </w:tc>
      </w:tr>
      <w:tr>
        <w:trPr>
          <w:trHeight w:val="196"/>
        </w:trPr>
        <w:tc>
          <w:tcPr>
            <w:tcW w:w="1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Hedge Strategy</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Derivative Instrument</w:t>
            </w:r>
          </w:p>
        </w:tc>
        <w:tc>
          <w:tcPr>
            <w:tcW w:w="13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Period</w:t>
            </w:r>
          </w:p>
        </w:tc>
        <w:tc>
          <w:tcPr>
            <w:tcW w:w="11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(Short)</w:t>
            </w:r>
          </w:p>
        </w:tc>
        <w:tc>
          <w:tcPr>
            <w:tcW w:w="11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Price</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(Short)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Price</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Amount</w:t>
            </w:r>
          </w:p>
        </w:tc>
      </w:tr>
      <w:tr>
        <w:trPr>
          <w:trHeight w:val="217"/>
        </w:trPr>
        <w:tc>
          <w:tcPr>
            <w:tcW w:w="1780" w:type="dxa"/>
            <w:vAlign w:val="bottom"/>
            <w:shd w:val="clear" w:color="auto" w:fill="CCEEFF"/>
          </w:tcPr>
          <w:p>
            <w:pPr>
              <w:spacing w:after="0"/>
              <w:rPr>
                <w:sz w:val="18"/>
                <w:szCs w:val="18"/>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Commodity contracts</w:t>
            </w:r>
          </w:p>
        </w:tc>
        <w:tc>
          <w:tcPr>
            <w:tcW w:w="1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4"/>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Designated hedge</w:t>
            </w:r>
          </w:p>
        </w:tc>
        <w:tc>
          <w:tcPr>
            <w:tcW w:w="1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hedging inventory</w:t>
            </w:r>
          </w:p>
        </w:tc>
        <w:tc>
          <w:tcPr>
            <w:tcW w:w="13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2016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60.526</w:t>
            </w:r>
          </w:p>
        </w:tc>
        <w:tc>
          <w:tcPr>
            <w:tcW w:w="2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29.0</w:t>
            </w:r>
          </w:p>
        </w:tc>
      </w:tr>
      <w:tr>
        <w:trPr>
          <w:trHeight w:val="260"/>
        </w:trPr>
        <w:tc>
          <w:tcPr>
            <w:tcW w:w="17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360" w:type="dxa"/>
            <w:vAlign w:val="bottom"/>
          </w:tcPr>
          <w:p>
            <w:pPr>
              <w:jc w:val="right"/>
              <w:ind w:right="201"/>
              <w:spacing w:after="0"/>
              <w:rPr>
                <w:sz w:val="20"/>
                <w:szCs w:val="20"/>
                <w:color w:val="auto"/>
              </w:rPr>
            </w:pPr>
            <w:r>
              <w:rPr>
                <w:rFonts w:ascii="Arial" w:cs="Arial" w:eastAsia="Arial" w:hAnsi="Arial"/>
                <w:sz w:val="16"/>
                <w:szCs w:val="16"/>
                <w:color w:val="auto"/>
              </w:rPr>
              <w:t>2017</w:t>
            </w:r>
          </w:p>
        </w:tc>
        <w:tc>
          <w:tcPr>
            <w:tcW w:w="1180" w:type="dxa"/>
            <w:vAlign w:val="bottom"/>
          </w:tcPr>
          <w:p>
            <w:pPr>
              <w:jc w:val="right"/>
              <w:ind w:right="142"/>
              <w:spacing w:after="0"/>
              <w:rPr>
                <w:sz w:val="20"/>
                <w:szCs w:val="20"/>
                <w:color w:val="auto"/>
              </w:rPr>
            </w:pPr>
            <w:r>
              <w:rPr>
                <w:rFonts w:ascii="Arial" w:cs="Arial" w:eastAsia="Arial" w:hAnsi="Arial"/>
                <w:sz w:val="16"/>
                <w:szCs w:val="16"/>
                <w:color w:val="auto"/>
              </w:rPr>
              <w:t>(3.2)</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68.459</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62.180</w:t>
            </w:r>
          </w:p>
        </w:tc>
        <w:tc>
          <w:tcPr>
            <w:tcW w:w="24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7.4</w:t>
            </w:r>
          </w:p>
        </w:tc>
      </w:tr>
      <w:tr>
        <w:trPr>
          <w:trHeight w:val="273"/>
        </w:trPr>
        <w:tc>
          <w:tcPr>
            <w:tcW w:w="178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2018</w:t>
            </w:r>
          </w:p>
        </w:tc>
        <w:tc>
          <w:tcPr>
            <w:tcW w:w="11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(1.0)</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69.559</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7"/>
        </w:trPr>
        <w:tc>
          <w:tcPr>
            <w:tcW w:w="17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(15.7)</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36.4</w:t>
            </w:r>
          </w:p>
        </w:tc>
      </w:tr>
      <w:tr>
        <w:trPr>
          <w:trHeight w:val="334"/>
        </w:trPr>
        <w:tc>
          <w:tcPr>
            <w:tcW w:w="17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0"/>
        </w:trPr>
        <w:tc>
          <w:tcPr>
            <w:tcW w:w="1780" w:type="dxa"/>
            <w:vAlign w:val="bottom"/>
          </w:tcPr>
          <w:p>
            <w:pPr>
              <w:ind w:left="40"/>
              <w:spacing w:after="0"/>
              <w:rPr>
                <w:sz w:val="20"/>
                <w:szCs w:val="20"/>
                <w:color w:val="auto"/>
              </w:rPr>
            </w:pPr>
            <w:r>
              <w:rPr>
                <w:rFonts w:ascii="Arial" w:cs="Arial" w:eastAsia="Arial" w:hAnsi="Arial"/>
                <w:sz w:val="16"/>
                <w:szCs w:val="16"/>
                <w:color w:val="auto"/>
              </w:rPr>
              <w:t>Non-designated hedge</w:t>
            </w:r>
          </w:p>
        </w:tc>
        <w:tc>
          <w:tcPr>
            <w:tcW w:w="1940" w:type="dxa"/>
            <w:vAlign w:val="bottom"/>
          </w:tcPr>
          <w:p>
            <w:pPr>
              <w:ind w:left="100"/>
              <w:spacing w:after="0"/>
              <w:rPr>
                <w:sz w:val="20"/>
                <w:szCs w:val="20"/>
                <w:color w:val="auto"/>
              </w:rPr>
            </w:pPr>
            <w:r>
              <w:rPr>
                <w:rFonts w:ascii="Arial" w:cs="Arial" w:eastAsia="Arial" w:hAnsi="Arial"/>
                <w:sz w:val="16"/>
                <w:szCs w:val="16"/>
                <w:color w:val="auto"/>
              </w:rPr>
              <w:t>Commodity contracts</w:t>
            </w:r>
          </w:p>
        </w:tc>
        <w:tc>
          <w:tcPr>
            <w:tcW w:w="1360" w:type="dxa"/>
            <w:vAlign w:val="bottom"/>
          </w:tcPr>
          <w:p>
            <w:pPr>
              <w:jc w:val="right"/>
              <w:ind w:right="201"/>
              <w:spacing w:after="0"/>
              <w:rPr>
                <w:sz w:val="20"/>
                <w:szCs w:val="20"/>
                <w:color w:val="auto"/>
              </w:rPr>
            </w:pPr>
            <w:r>
              <w:rPr>
                <w:rFonts w:ascii="Arial" w:cs="Arial" w:eastAsia="Arial" w:hAnsi="Arial"/>
                <w:sz w:val="16"/>
                <w:szCs w:val="16"/>
                <w:color w:val="auto"/>
              </w:rPr>
              <w:t>2016</w:t>
            </w:r>
          </w:p>
        </w:tc>
        <w:tc>
          <w:tcPr>
            <w:tcW w:w="11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49.720</w:t>
            </w:r>
          </w:p>
        </w:tc>
        <w:tc>
          <w:tcPr>
            <w:tcW w:w="24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15.4</w:t>
            </w:r>
          </w:p>
        </w:tc>
      </w:tr>
      <w:tr>
        <w:trPr>
          <w:trHeight w:val="280"/>
        </w:trPr>
        <w:tc>
          <w:tcPr>
            <w:tcW w:w="17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2017</w:t>
            </w:r>
          </w:p>
        </w:tc>
        <w:tc>
          <w:tcPr>
            <w:tcW w:w="11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0.1</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54.660</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13.9</w:t>
            </w:r>
          </w:p>
        </w:tc>
        <w:tc>
          <w:tcPr>
            <w:tcW w:w="122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0.3</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26.105</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r>
      <w:tr>
        <w:trPr>
          <w:trHeight w:val="260"/>
        </w:trPr>
        <w:tc>
          <w:tcPr>
            <w:tcW w:w="17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360" w:type="dxa"/>
            <w:vAlign w:val="bottom"/>
          </w:tcPr>
          <w:p>
            <w:pPr>
              <w:jc w:val="right"/>
              <w:ind w:right="201"/>
              <w:spacing w:after="0"/>
              <w:rPr>
                <w:sz w:val="20"/>
                <w:szCs w:val="20"/>
                <w:color w:val="auto"/>
              </w:rPr>
            </w:pPr>
            <w:r>
              <w:rPr>
                <w:rFonts w:ascii="Arial" w:cs="Arial" w:eastAsia="Arial" w:hAnsi="Arial"/>
                <w:sz w:val="16"/>
                <w:szCs w:val="16"/>
                <w:color w:val="auto"/>
              </w:rPr>
              <w:t>2018</w:t>
            </w:r>
          </w:p>
        </w:tc>
        <w:tc>
          <w:tcPr>
            <w:tcW w:w="1180" w:type="dxa"/>
            <w:vAlign w:val="bottom"/>
          </w:tcPr>
          <w:p>
            <w:pPr>
              <w:jc w:val="right"/>
              <w:ind w:right="202"/>
              <w:spacing w:after="0"/>
              <w:rPr>
                <w:sz w:val="20"/>
                <w:szCs w:val="20"/>
                <w:color w:val="auto"/>
              </w:rPr>
            </w:pPr>
            <w:r>
              <w:rPr>
                <w:rFonts w:ascii="Arial" w:cs="Arial" w:eastAsia="Arial" w:hAnsi="Arial"/>
                <w:sz w:val="16"/>
                <w:szCs w:val="16"/>
                <w:color w:val="auto"/>
              </w:rPr>
              <w:t>0.2</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62.461</w:t>
            </w:r>
          </w:p>
        </w:tc>
        <w:tc>
          <w:tcPr>
            <w:tcW w:w="24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5.5</w:t>
            </w:r>
          </w:p>
        </w:tc>
        <w:tc>
          <w:tcPr>
            <w:tcW w:w="1220" w:type="dxa"/>
            <w:vAlign w:val="bottom"/>
            <w:gridSpan w:val="2"/>
          </w:tcPr>
          <w:p>
            <w:pPr>
              <w:jc w:val="right"/>
              <w:ind w:right="23"/>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10.640</w:t>
            </w:r>
          </w:p>
        </w:tc>
        <w:tc>
          <w:tcPr>
            <w:tcW w:w="24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1.4</w:t>
            </w:r>
          </w:p>
        </w:tc>
      </w:tr>
      <w:tr>
        <w:trPr>
          <w:trHeight w:val="280"/>
        </w:trPr>
        <w:tc>
          <w:tcPr>
            <w:tcW w:w="17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2019</w:t>
            </w:r>
          </w:p>
        </w:tc>
        <w:tc>
          <w:tcPr>
            <w:tcW w:w="11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71.250</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0.7</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17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360" w:type="dxa"/>
            <w:vAlign w:val="bottom"/>
          </w:tcPr>
          <w:p>
            <w:pPr>
              <w:jc w:val="right"/>
              <w:ind w:right="201"/>
              <w:spacing w:after="0"/>
              <w:rPr>
                <w:sz w:val="20"/>
                <w:szCs w:val="20"/>
                <w:color w:val="auto"/>
              </w:rPr>
            </w:pPr>
            <w:r>
              <w:rPr>
                <w:rFonts w:ascii="Arial" w:cs="Arial" w:eastAsia="Arial" w:hAnsi="Arial"/>
                <w:sz w:val="16"/>
                <w:szCs w:val="16"/>
                <w:color w:val="auto"/>
              </w:rPr>
              <w:t>2020</w:t>
            </w:r>
          </w:p>
        </w:tc>
        <w:tc>
          <w:tcPr>
            <w:tcW w:w="11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17.080</w:t>
            </w:r>
          </w:p>
        </w:tc>
        <w:tc>
          <w:tcPr>
            <w:tcW w:w="24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22"/>
                <w:szCs w:val="22"/>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20.295</w:t>
            </w:r>
          </w:p>
        </w:tc>
        <w:tc>
          <w:tcPr>
            <w:tcW w:w="24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0.5</w:t>
            </w:r>
          </w:p>
        </w:tc>
      </w:tr>
      <w:tr>
        <w:trPr>
          <w:trHeight w:val="273"/>
        </w:trPr>
        <w:tc>
          <w:tcPr>
            <w:tcW w:w="178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Thereafter</w:t>
            </w:r>
          </w:p>
        </w:tc>
        <w:tc>
          <w:tcPr>
            <w:tcW w:w="11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4.340</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50"/>
        </w:trPr>
        <w:tc>
          <w:tcPr>
            <w:tcW w:w="17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20.8</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17.4</w:t>
            </w:r>
          </w:p>
        </w:tc>
      </w:tr>
      <w:tr>
        <w:trPr>
          <w:trHeight w:val="264"/>
        </w:trPr>
        <w:tc>
          <w:tcPr>
            <w:tcW w:w="37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commodity derivative contracts</w:t>
            </w:r>
          </w:p>
        </w:tc>
        <w:tc>
          <w:tcPr>
            <w:tcW w:w="1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53.8</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Exchange Risk</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hedge our exposure to currency exchange rate changes, such as foreign-currency-denominated trade receivables, payables, or local currency tax payments. The foreign currency exchange rate risk results primarily from our international operations and is economically hedged using forward and swap contracts. The changes in the fair value of these foreign currency exchange derivatives are recorded in earnings. Since the gains or losses on the forward and swap contracts are substantially offset by the gains or losses from remeasuring the hedged foreign-currency-denominated exposure, we do not believe that a hypothetical 10% change in exchange rates at December 31, 2016 would have a material impact on our income from operations.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foreign currency denominated notionals and fair values in U.S. dollars of our exposures from our foreign currency exchange derivatives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were primarily related to the following (in millions, except weighted average contract price):</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December, 31 2016</w:t>
            </w:r>
          </w:p>
        </w:tc>
      </w:tr>
      <w:tr>
        <w:trPr>
          <w:trHeight w:val="175"/>
        </w:trPr>
        <w:tc>
          <w:tcPr>
            <w:tcW w:w="20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600" w:type="dxa"/>
            <w:vAlign w:val="bottom"/>
          </w:tcPr>
          <w:p>
            <w:pPr>
              <w:jc w:val="right"/>
              <w:ind w:right="671"/>
              <w:spacing w:after="0"/>
              <w:rPr>
                <w:sz w:val="20"/>
                <w:szCs w:val="20"/>
                <w:color w:val="auto"/>
              </w:rPr>
            </w:pPr>
            <w:r>
              <w:rPr>
                <w:rFonts w:ascii="Arial" w:cs="Arial" w:eastAsia="Arial" w:hAnsi="Arial"/>
                <w:sz w:val="14"/>
                <w:szCs w:val="14"/>
                <w:b w:val="1"/>
                <w:bCs w:val="1"/>
                <w:color w:val="auto"/>
              </w:rPr>
              <w:t>Notional</w:t>
            </w: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Weighted Average</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6"/>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Settlement Period</w:t>
            </w:r>
          </w:p>
        </w:tc>
        <w:tc>
          <w:tcPr>
            <w:tcW w:w="288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Unit</w:t>
            </w:r>
          </w:p>
        </w:tc>
        <w:tc>
          <w:tcPr>
            <w:tcW w:w="26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Net Long/(Short)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 Price</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Fair Value Amount</w:t>
            </w:r>
          </w:p>
        </w:tc>
      </w:tr>
      <w:tr>
        <w:trPr>
          <w:trHeight w:val="27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AUD</w:t>
            </w:r>
          </w:p>
        </w:tc>
        <w:tc>
          <w:tcPr>
            <w:tcW w:w="26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(5.0)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r>
      <w:tr>
        <w:trPr>
          <w:trHeight w:val="263"/>
        </w:trPr>
        <w:tc>
          <w:tcPr>
            <w:tcW w:w="2000" w:type="dxa"/>
            <w:vAlign w:val="bottom"/>
          </w:tcPr>
          <w:p>
            <w:pPr>
              <w:ind w:left="20"/>
              <w:spacing w:after="0"/>
              <w:rPr>
                <w:sz w:val="20"/>
                <w:szCs w:val="20"/>
                <w:color w:val="auto"/>
              </w:rPr>
            </w:pPr>
            <w:r>
              <w:rPr>
                <w:rFonts w:ascii="Arial" w:cs="Arial" w:eastAsia="Arial" w:hAnsi="Arial"/>
                <w:sz w:val="18"/>
                <w:szCs w:val="18"/>
                <w:color w:val="auto"/>
              </w:rPr>
              <w:t>2017</w:t>
            </w:r>
          </w:p>
        </w:tc>
        <w:tc>
          <w:tcPr>
            <w:tcW w:w="2880" w:type="dxa"/>
            <w:vAlign w:val="bottom"/>
          </w:tcPr>
          <w:p>
            <w:pPr>
              <w:ind w:left="760"/>
              <w:spacing w:after="0"/>
              <w:rPr>
                <w:sz w:val="20"/>
                <w:szCs w:val="20"/>
                <w:color w:val="auto"/>
              </w:rPr>
            </w:pPr>
            <w:r>
              <w:rPr>
                <w:rFonts w:ascii="Arial" w:cs="Arial" w:eastAsia="Arial" w:hAnsi="Arial"/>
                <w:sz w:val="18"/>
                <w:szCs w:val="18"/>
                <w:color w:val="auto"/>
              </w:rPr>
              <w:t>CAD</w:t>
            </w:r>
          </w:p>
        </w:tc>
        <w:tc>
          <w:tcPr>
            <w:tcW w:w="2600" w:type="dxa"/>
            <w:vAlign w:val="bottom"/>
          </w:tcPr>
          <w:p>
            <w:pPr>
              <w:jc w:val="right"/>
              <w:ind w:right="611"/>
              <w:spacing w:after="0"/>
              <w:rPr>
                <w:sz w:val="20"/>
                <w:szCs w:val="20"/>
                <w:color w:val="auto"/>
              </w:rPr>
            </w:pPr>
            <w:r>
              <w:rPr>
                <w:rFonts w:ascii="Arial" w:cs="Arial" w:eastAsia="Arial" w:hAnsi="Arial"/>
                <w:sz w:val="18"/>
                <w:szCs w:val="18"/>
                <w:color w:val="auto"/>
              </w:rPr>
              <w:t>(64.0)</w:t>
            </w:r>
          </w:p>
        </w:tc>
        <w:tc>
          <w:tcPr>
            <w:tcW w:w="2020" w:type="dxa"/>
            <w:vAlign w:val="bottom"/>
          </w:tcPr>
          <w:p>
            <w:pPr>
              <w:jc w:val="right"/>
              <w:spacing w:after="0"/>
              <w:rPr>
                <w:sz w:val="20"/>
                <w:szCs w:val="20"/>
                <w:color w:val="auto"/>
              </w:rPr>
            </w:pPr>
            <w:r>
              <w:rPr>
                <w:rFonts w:ascii="Arial" w:cs="Arial" w:eastAsia="Arial" w:hAnsi="Arial"/>
                <w:sz w:val="18"/>
                <w:szCs w:val="18"/>
                <w:color w:val="auto"/>
              </w:rPr>
              <w:t>1.330</w:t>
            </w:r>
          </w:p>
        </w:tc>
        <w:tc>
          <w:tcPr>
            <w:tcW w:w="320" w:type="dxa"/>
            <w:vAlign w:val="bottom"/>
          </w:tcPr>
          <w:p>
            <w:pPr>
              <w:spacing w:after="0"/>
              <w:rPr>
                <w:sz w:val="22"/>
                <w:szCs w:val="22"/>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w:t>
            </w:r>
          </w:p>
        </w:tc>
      </w:tr>
      <w:tr>
        <w:trPr>
          <w:trHeight w:val="277"/>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CHF</w:t>
            </w:r>
          </w:p>
        </w:tc>
        <w:tc>
          <w:tcPr>
            <w:tcW w:w="26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(0.6)</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0.990</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63"/>
        </w:trPr>
        <w:tc>
          <w:tcPr>
            <w:tcW w:w="2000" w:type="dxa"/>
            <w:vAlign w:val="bottom"/>
          </w:tcPr>
          <w:p>
            <w:pPr>
              <w:ind w:left="20"/>
              <w:spacing w:after="0"/>
              <w:rPr>
                <w:sz w:val="20"/>
                <w:szCs w:val="20"/>
                <w:color w:val="auto"/>
              </w:rPr>
            </w:pPr>
            <w:r>
              <w:rPr>
                <w:rFonts w:ascii="Arial" w:cs="Arial" w:eastAsia="Arial" w:hAnsi="Arial"/>
                <w:sz w:val="18"/>
                <w:szCs w:val="18"/>
                <w:color w:val="auto"/>
              </w:rPr>
              <w:t>2017</w:t>
            </w:r>
          </w:p>
        </w:tc>
        <w:tc>
          <w:tcPr>
            <w:tcW w:w="2880" w:type="dxa"/>
            <w:vAlign w:val="bottom"/>
          </w:tcPr>
          <w:p>
            <w:pPr>
              <w:ind w:left="760"/>
              <w:spacing w:after="0"/>
              <w:rPr>
                <w:sz w:val="20"/>
                <w:szCs w:val="20"/>
                <w:color w:val="auto"/>
              </w:rPr>
            </w:pPr>
            <w:r>
              <w:rPr>
                <w:rFonts w:ascii="Arial" w:cs="Arial" w:eastAsia="Arial" w:hAnsi="Arial"/>
                <w:sz w:val="18"/>
                <w:szCs w:val="18"/>
                <w:color w:val="auto"/>
              </w:rPr>
              <w:t>CLP</w:t>
            </w:r>
          </w:p>
        </w:tc>
        <w:tc>
          <w:tcPr>
            <w:tcW w:w="2600" w:type="dxa"/>
            <w:vAlign w:val="bottom"/>
          </w:tcPr>
          <w:p>
            <w:pPr>
              <w:jc w:val="right"/>
              <w:ind w:right="611"/>
              <w:spacing w:after="0"/>
              <w:rPr>
                <w:sz w:val="20"/>
                <w:szCs w:val="20"/>
                <w:color w:val="auto"/>
              </w:rPr>
            </w:pPr>
            <w:r>
              <w:rPr>
                <w:rFonts w:ascii="Arial" w:cs="Arial" w:eastAsia="Arial" w:hAnsi="Arial"/>
                <w:sz w:val="18"/>
                <w:szCs w:val="18"/>
                <w:color w:val="auto"/>
              </w:rPr>
              <w:t>(245.5)</w:t>
            </w:r>
          </w:p>
        </w:tc>
        <w:tc>
          <w:tcPr>
            <w:tcW w:w="2020" w:type="dxa"/>
            <w:vAlign w:val="bottom"/>
          </w:tcPr>
          <w:p>
            <w:pPr>
              <w:jc w:val="right"/>
              <w:spacing w:after="0"/>
              <w:rPr>
                <w:sz w:val="20"/>
                <w:szCs w:val="20"/>
                <w:color w:val="auto"/>
              </w:rPr>
            </w:pPr>
            <w:r>
              <w:rPr>
                <w:rFonts w:ascii="Arial" w:cs="Arial" w:eastAsia="Arial" w:hAnsi="Arial"/>
                <w:sz w:val="18"/>
                <w:szCs w:val="18"/>
                <w:color w:val="auto"/>
              </w:rPr>
              <w:t>671.730</w:t>
            </w:r>
          </w:p>
        </w:tc>
        <w:tc>
          <w:tcPr>
            <w:tcW w:w="320" w:type="dxa"/>
            <w:vAlign w:val="bottom"/>
          </w:tcPr>
          <w:p>
            <w:pPr>
              <w:spacing w:after="0"/>
              <w:rPr>
                <w:sz w:val="22"/>
                <w:szCs w:val="22"/>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7"/>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COP</w:t>
            </w:r>
          </w:p>
        </w:tc>
        <w:tc>
          <w:tcPr>
            <w:tcW w:w="26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(20,701.7)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3,033.920</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63"/>
        </w:trPr>
        <w:tc>
          <w:tcPr>
            <w:tcW w:w="2000" w:type="dxa"/>
            <w:vAlign w:val="bottom"/>
          </w:tcPr>
          <w:p>
            <w:pPr>
              <w:ind w:left="20"/>
              <w:spacing w:after="0"/>
              <w:rPr>
                <w:sz w:val="20"/>
                <w:szCs w:val="20"/>
                <w:color w:val="auto"/>
              </w:rPr>
            </w:pPr>
            <w:r>
              <w:rPr>
                <w:rFonts w:ascii="Arial" w:cs="Arial" w:eastAsia="Arial" w:hAnsi="Arial"/>
                <w:sz w:val="18"/>
                <w:szCs w:val="18"/>
                <w:color w:val="auto"/>
              </w:rPr>
              <w:t>2017</w:t>
            </w:r>
          </w:p>
        </w:tc>
        <w:tc>
          <w:tcPr>
            <w:tcW w:w="2880" w:type="dxa"/>
            <w:vAlign w:val="bottom"/>
          </w:tcPr>
          <w:p>
            <w:pPr>
              <w:ind w:left="760"/>
              <w:spacing w:after="0"/>
              <w:rPr>
                <w:sz w:val="20"/>
                <w:szCs w:val="20"/>
                <w:color w:val="auto"/>
              </w:rPr>
            </w:pPr>
            <w:r>
              <w:rPr>
                <w:rFonts w:ascii="Arial" w:cs="Arial" w:eastAsia="Arial" w:hAnsi="Arial"/>
                <w:sz w:val="18"/>
                <w:szCs w:val="18"/>
                <w:color w:val="auto"/>
              </w:rPr>
              <w:t>DKK</w:t>
            </w:r>
          </w:p>
        </w:tc>
        <w:tc>
          <w:tcPr>
            <w:tcW w:w="2600" w:type="dxa"/>
            <w:vAlign w:val="bottom"/>
          </w:tcPr>
          <w:p>
            <w:pPr>
              <w:jc w:val="right"/>
              <w:ind w:right="611"/>
              <w:spacing w:after="0"/>
              <w:rPr>
                <w:sz w:val="20"/>
                <w:szCs w:val="20"/>
                <w:color w:val="auto"/>
              </w:rPr>
            </w:pPr>
            <w:r>
              <w:rPr>
                <w:rFonts w:ascii="Arial" w:cs="Arial" w:eastAsia="Arial" w:hAnsi="Arial"/>
                <w:sz w:val="18"/>
                <w:szCs w:val="18"/>
                <w:color w:val="auto"/>
              </w:rPr>
              <w:t>(130.2)</w:t>
            </w:r>
          </w:p>
        </w:tc>
        <w:tc>
          <w:tcPr>
            <w:tcW w:w="2020" w:type="dxa"/>
            <w:vAlign w:val="bottom"/>
          </w:tcPr>
          <w:p>
            <w:pPr>
              <w:jc w:val="right"/>
              <w:spacing w:after="0"/>
              <w:rPr>
                <w:sz w:val="20"/>
                <w:szCs w:val="20"/>
                <w:color w:val="auto"/>
              </w:rPr>
            </w:pPr>
            <w:r>
              <w:rPr>
                <w:rFonts w:ascii="Arial" w:cs="Arial" w:eastAsia="Arial" w:hAnsi="Arial"/>
                <w:sz w:val="18"/>
                <w:szCs w:val="18"/>
                <w:color w:val="auto"/>
              </w:rPr>
              <w:t>6.850</w:t>
            </w:r>
          </w:p>
        </w:tc>
        <w:tc>
          <w:tcPr>
            <w:tcW w:w="320" w:type="dxa"/>
            <w:vAlign w:val="bottom"/>
          </w:tcPr>
          <w:p>
            <w:pPr>
              <w:spacing w:after="0"/>
              <w:rPr>
                <w:sz w:val="22"/>
                <w:szCs w:val="22"/>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0.6</w:t>
            </w:r>
          </w:p>
        </w:tc>
      </w:tr>
      <w:tr>
        <w:trPr>
          <w:trHeight w:val="277"/>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EUR</w:t>
            </w:r>
          </w:p>
        </w:tc>
        <w:tc>
          <w:tcPr>
            <w:tcW w:w="26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(32.0)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r>
      <w:tr>
        <w:trPr>
          <w:trHeight w:val="263"/>
        </w:trPr>
        <w:tc>
          <w:tcPr>
            <w:tcW w:w="2000" w:type="dxa"/>
            <w:vAlign w:val="bottom"/>
          </w:tcPr>
          <w:p>
            <w:pPr>
              <w:ind w:left="20"/>
              <w:spacing w:after="0"/>
              <w:rPr>
                <w:sz w:val="20"/>
                <w:szCs w:val="20"/>
                <w:color w:val="auto"/>
              </w:rPr>
            </w:pPr>
            <w:r>
              <w:rPr>
                <w:rFonts w:ascii="Arial" w:cs="Arial" w:eastAsia="Arial" w:hAnsi="Arial"/>
                <w:sz w:val="18"/>
                <w:szCs w:val="18"/>
                <w:color w:val="auto"/>
              </w:rPr>
              <w:t>2017</w:t>
            </w:r>
          </w:p>
        </w:tc>
        <w:tc>
          <w:tcPr>
            <w:tcW w:w="2880" w:type="dxa"/>
            <w:vAlign w:val="bottom"/>
          </w:tcPr>
          <w:p>
            <w:pPr>
              <w:ind w:left="760"/>
              <w:spacing w:after="0"/>
              <w:rPr>
                <w:sz w:val="20"/>
                <w:szCs w:val="20"/>
                <w:color w:val="auto"/>
              </w:rPr>
            </w:pPr>
            <w:r>
              <w:rPr>
                <w:rFonts w:ascii="Arial" w:cs="Arial" w:eastAsia="Arial" w:hAnsi="Arial"/>
                <w:sz w:val="18"/>
                <w:szCs w:val="18"/>
                <w:color w:val="auto"/>
              </w:rPr>
              <w:t>GBP</w:t>
            </w:r>
          </w:p>
        </w:tc>
        <w:tc>
          <w:tcPr>
            <w:tcW w:w="2600" w:type="dxa"/>
            <w:vAlign w:val="bottom"/>
          </w:tcPr>
          <w:p>
            <w:pPr>
              <w:jc w:val="right"/>
              <w:ind w:right="611"/>
              <w:spacing w:after="0"/>
              <w:rPr>
                <w:sz w:val="20"/>
                <w:szCs w:val="20"/>
                <w:color w:val="auto"/>
              </w:rPr>
            </w:pPr>
            <w:r>
              <w:rPr>
                <w:rFonts w:ascii="Arial" w:cs="Arial" w:eastAsia="Arial" w:hAnsi="Arial"/>
                <w:sz w:val="18"/>
                <w:szCs w:val="18"/>
                <w:color w:val="auto"/>
              </w:rPr>
              <w:t>(7.4)</w:t>
            </w:r>
          </w:p>
        </w:tc>
        <w:tc>
          <w:tcPr>
            <w:tcW w:w="2020" w:type="dxa"/>
            <w:vAlign w:val="bottom"/>
          </w:tcPr>
          <w:p>
            <w:pPr>
              <w:jc w:val="right"/>
              <w:spacing w:after="0"/>
              <w:rPr>
                <w:sz w:val="20"/>
                <w:szCs w:val="20"/>
                <w:color w:val="auto"/>
              </w:rPr>
            </w:pPr>
            <w:r>
              <w:rPr>
                <w:rFonts w:ascii="Arial" w:cs="Arial" w:eastAsia="Arial" w:hAnsi="Arial"/>
                <w:sz w:val="18"/>
                <w:szCs w:val="18"/>
                <w:color w:val="auto"/>
              </w:rPr>
              <w:t>1.280</w:t>
            </w:r>
          </w:p>
        </w:tc>
        <w:tc>
          <w:tcPr>
            <w:tcW w:w="320" w:type="dxa"/>
            <w:vAlign w:val="bottom"/>
          </w:tcPr>
          <w:p>
            <w:pPr>
              <w:spacing w:after="0"/>
              <w:rPr>
                <w:sz w:val="22"/>
                <w:szCs w:val="22"/>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4.3</w:t>
            </w:r>
          </w:p>
        </w:tc>
      </w:tr>
      <w:tr>
        <w:trPr>
          <w:trHeight w:val="277"/>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INR</w:t>
            </w:r>
          </w:p>
        </w:tc>
        <w:tc>
          <w:tcPr>
            <w:tcW w:w="26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(72.4)</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67.660</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63"/>
        </w:trPr>
        <w:tc>
          <w:tcPr>
            <w:tcW w:w="2000" w:type="dxa"/>
            <w:vAlign w:val="bottom"/>
          </w:tcPr>
          <w:p>
            <w:pPr>
              <w:ind w:left="20"/>
              <w:spacing w:after="0"/>
              <w:rPr>
                <w:sz w:val="20"/>
                <w:szCs w:val="20"/>
                <w:color w:val="auto"/>
              </w:rPr>
            </w:pPr>
            <w:r>
              <w:rPr>
                <w:rFonts w:ascii="Arial" w:cs="Arial" w:eastAsia="Arial" w:hAnsi="Arial"/>
                <w:sz w:val="18"/>
                <w:szCs w:val="18"/>
                <w:color w:val="auto"/>
              </w:rPr>
              <w:t>2017</w:t>
            </w:r>
          </w:p>
        </w:tc>
        <w:tc>
          <w:tcPr>
            <w:tcW w:w="2880" w:type="dxa"/>
            <w:vAlign w:val="bottom"/>
          </w:tcPr>
          <w:p>
            <w:pPr>
              <w:ind w:left="760"/>
              <w:spacing w:after="0"/>
              <w:rPr>
                <w:sz w:val="20"/>
                <w:szCs w:val="20"/>
                <w:color w:val="auto"/>
              </w:rPr>
            </w:pPr>
            <w:r>
              <w:rPr>
                <w:rFonts w:ascii="Arial" w:cs="Arial" w:eastAsia="Arial" w:hAnsi="Arial"/>
                <w:sz w:val="18"/>
                <w:szCs w:val="18"/>
                <w:color w:val="auto"/>
              </w:rPr>
              <w:t>JPY</w:t>
            </w:r>
          </w:p>
        </w:tc>
        <w:tc>
          <w:tcPr>
            <w:tcW w:w="2600" w:type="dxa"/>
            <w:vAlign w:val="bottom"/>
          </w:tcPr>
          <w:p>
            <w:pPr>
              <w:jc w:val="right"/>
              <w:ind w:right="611"/>
              <w:spacing w:after="0"/>
              <w:rPr>
                <w:sz w:val="20"/>
                <w:szCs w:val="20"/>
                <w:color w:val="auto"/>
              </w:rPr>
            </w:pPr>
            <w:r>
              <w:rPr>
                <w:rFonts w:ascii="Arial" w:cs="Arial" w:eastAsia="Arial" w:hAnsi="Arial"/>
                <w:sz w:val="18"/>
                <w:szCs w:val="18"/>
                <w:color w:val="auto"/>
              </w:rPr>
              <w:t>(341.4)</w:t>
            </w:r>
          </w:p>
        </w:tc>
        <w:tc>
          <w:tcPr>
            <w:tcW w:w="2020" w:type="dxa"/>
            <w:vAlign w:val="bottom"/>
          </w:tcPr>
          <w:p>
            <w:pPr>
              <w:jc w:val="right"/>
              <w:spacing w:after="0"/>
              <w:rPr>
                <w:sz w:val="20"/>
                <w:szCs w:val="20"/>
                <w:color w:val="auto"/>
              </w:rPr>
            </w:pPr>
            <w:r>
              <w:rPr>
                <w:rFonts w:ascii="Arial" w:cs="Arial" w:eastAsia="Arial" w:hAnsi="Arial"/>
                <w:sz w:val="18"/>
                <w:szCs w:val="18"/>
                <w:color w:val="auto"/>
              </w:rPr>
              <w:t>103.330</w:t>
            </w:r>
          </w:p>
        </w:tc>
        <w:tc>
          <w:tcPr>
            <w:tcW w:w="320" w:type="dxa"/>
            <w:vAlign w:val="bottom"/>
          </w:tcPr>
          <w:p>
            <w:pPr>
              <w:spacing w:after="0"/>
              <w:rPr>
                <w:sz w:val="22"/>
                <w:szCs w:val="22"/>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0.4</w:t>
            </w:r>
          </w:p>
        </w:tc>
      </w:tr>
      <w:tr>
        <w:trPr>
          <w:trHeight w:val="277"/>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KRW</w:t>
            </w:r>
          </w:p>
        </w:tc>
        <w:tc>
          <w:tcPr>
            <w:tcW w:w="26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(11,735.9)</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1,147.470</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r>
      <w:tr>
        <w:trPr>
          <w:trHeight w:val="263"/>
        </w:trPr>
        <w:tc>
          <w:tcPr>
            <w:tcW w:w="2000" w:type="dxa"/>
            <w:vAlign w:val="bottom"/>
          </w:tcPr>
          <w:p>
            <w:pPr>
              <w:ind w:left="20"/>
              <w:spacing w:after="0"/>
              <w:rPr>
                <w:sz w:val="20"/>
                <w:szCs w:val="20"/>
                <w:color w:val="auto"/>
              </w:rPr>
            </w:pPr>
            <w:r>
              <w:rPr>
                <w:rFonts w:ascii="Arial" w:cs="Arial" w:eastAsia="Arial" w:hAnsi="Arial"/>
                <w:sz w:val="18"/>
                <w:szCs w:val="18"/>
                <w:color w:val="auto"/>
              </w:rPr>
              <w:t>2017</w:t>
            </w:r>
          </w:p>
        </w:tc>
        <w:tc>
          <w:tcPr>
            <w:tcW w:w="2880" w:type="dxa"/>
            <w:vAlign w:val="bottom"/>
          </w:tcPr>
          <w:p>
            <w:pPr>
              <w:ind w:left="760"/>
              <w:spacing w:after="0"/>
              <w:rPr>
                <w:sz w:val="20"/>
                <w:szCs w:val="20"/>
                <w:color w:val="auto"/>
              </w:rPr>
            </w:pPr>
            <w:r>
              <w:rPr>
                <w:rFonts w:ascii="Arial" w:cs="Arial" w:eastAsia="Arial" w:hAnsi="Arial"/>
                <w:sz w:val="18"/>
                <w:szCs w:val="18"/>
                <w:color w:val="auto"/>
              </w:rPr>
              <w:t>MXN</w:t>
            </w:r>
          </w:p>
        </w:tc>
        <w:tc>
          <w:tcPr>
            <w:tcW w:w="2600" w:type="dxa"/>
            <w:vAlign w:val="bottom"/>
          </w:tcPr>
          <w:p>
            <w:pPr>
              <w:jc w:val="right"/>
              <w:ind w:right="671"/>
              <w:spacing w:after="0"/>
              <w:rPr>
                <w:sz w:val="20"/>
                <w:szCs w:val="20"/>
                <w:color w:val="auto"/>
              </w:rPr>
            </w:pPr>
            <w:r>
              <w:rPr>
                <w:rFonts w:ascii="Arial" w:cs="Arial" w:eastAsia="Arial" w:hAnsi="Arial"/>
                <w:sz w:val="18"/>
                <w:szCs w:val="18"/>
                <w:color w:val="auto"/>
              </w:rPr>
              <w:t>123.4</w:t>
            </w:r>
          </w:p>
        </w:tc>
        <w:tc>
          <w:tcPr>
            <w:tcW w:w="2020" w:type="dxa"/>
            <w:vAlign w:val="bottom"/>
          </w:tcPr>
          <w:p>
            <w:pPr>
              <w:jc w:val="right"/>
              <w:spacing w:after="0"/>
              <w:rPr>
                <w:sz w:val="20"/>
                <w:szCs w:val="20"/>
                <w:color w:val="auto"/>
              </w:rPr>
            </w:pPr>
            <w:r>
              <w:rPr>
                <w:rFonts w:ascii="Arial" w:cs="Arial" w:eastAsia="Arial" w:hAnsi="Arial"/>
                <w:sz w:val="18"/>
                <w:szCs w:val="18"/>
                <w:color w:val="auto"/>
              </w:rPr>
              <w:t>20.010</w:t>
            </w:r>
          </w:p>
        </w:tc>
        <w:tc>
          <w:tcPr>
            <w:tcW w:w="3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7"/>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NOK</w:t>
            </w:r>
          </w:p>
        </w:tc>
        <w:tc>
          <w:tcPr>
            <w:tcW w:w="26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(34.2)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r>
      <w:tr>
        <w:trPr>
          <w:trHeight w:val="263"/>
        </w:trPr>
        <w:tc>
          <w:tcPr>
            <w:tcW w:w="2000" w:type="dxa"/>
            <w:vAlign w:val="bottom"/>
          </w:tcPr>
          <w:p>
            <w:pPr>
              <w:ind w:left="20"/>
              <w:spacing w:after="0"/>
              <w:rPr>
                <w:sz w:val="20"/>
                <w:szCs w:val="20"/>
                <w:color w:val="auto"/>
              </w:rPr>
            </w:pPr>
            <w:r>
              <w:rPr>
                <w:rFonts w:ascii="Arial" w:cs="Arial" w:eastAsia="Arial" w:hAnsi="Arial"/>
                <w:sz w:val="18"/>
                <w:szCs w:val="18"/>
                <w:color w:val="auto"/>
              </w:rPr>
              <w:t>2017</w:t>
            </w:r>
          </w:p>
        </w:tc>
        <w:tc>
          <w:tcPr>
            <w:tcW w:w="2880" w:type="dxa"/>
            <w:vAlign w:val="bottom"/>
          </w:tcPr>
          <w:p>
            <w:pPr>
              <w:ind w:left="760"/>
              <w:spacing w:after="0"/>
              <w:rPr>
                <w:sz w:val="20"/>
                <w:szCs w:val="20"/>
                <w:color w:val="auto"/>
              </w:rPr>
            </w:pPr>
            <w:r>
              <w:rPr>
                <w:rFonts w:ascii="Arial" w:cs="Arial" w:eastAsia="Arial" w:hAnsi="Arial"/>
                <w:sz w:val="18"/>
                <w:szCs w:val="18"/>
                <w:color w:val="auto"/>
              </w:rPr>
              <w:t>NZD</w:t>
            </w:r>
          </w:p>
        </w:tc>
        <w:tc>
          <w:tcPr>
            <w:tcW w:w="2600" w:type="dxa"/>
            <w:vAlign w:val="bottom"/>
          </w:tcPr>
          <w:p>
            <w:pPr>
              <w:jc w:val="right"/>
              <w:ind w:right="611"/>
              <w:spacing w:after="0"/>
              <w:rPr>
                <w:sz w:val="20"/>
                <w:szCs w:val="20"/>
                <w:color w:val="auto"/>
              </w:rPr>
            </w:pPr>
            <w:r>
              <w:rPr>
                <w:rFonts w:ascii="Arial" w:cs="Arial" w:eastAsia="Arial" w:hAnsi="Arial"/>
                <w:sz w:val="18"/>
                <w:szCs w:val="18"/>
                <w:color w:val="auto"/>
              </w:rPr>
              <w:t>(0.9)</w:t>
            </w:r>
          </w:p>
        </w:tc>
        <w:tc>
          <w:tcPr>
            <w:tcW w:w="2020" w:type="dxa"/>
            <w:vAlign w:val="bottom"/>
          </w:tcPr>
          <w:p>
            <w:pPr>
              <w:jc w:val="right"/>
              <w:spacing w:after="0"/>
              <w:rPr>
                <w:sz w:val="20"/>
                <w:szCs w:val="20"/>
                <w:color w:val="auto"/>
              </w:rPr>
            </w:pPr>
            <w:r>
              <w:rPr>
                <w:rFonts w:ascii="Arial" w:cs="Arial" w:eastAsia="Arial" w:hAnsi="Arial"/>
                <w:sz w:val="18"/>
                <w:szCs w:val="18"/>
                <w:color w:val="auto"/>
              </w:rPr>
              <w:t>0.710</w:t>
            </w:r>
          </w:p>
        </w:tc>
        <w:tc>
          <w:tcPr>
            <w:tcW w:w="320" w:type="dxa"/>
            <w:vAlign w:val="bottom"/>
          </w:tcPr>
          <w:p>
            <w:pPr>
              <w:spacing w:after="0"/>
              <w:rPr>
                <w:sz w:val="22"/>
                <w:szCs w:val="22"/>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7"/>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PHP</w:t>
            </w:r>
          </w:p>
        </w:tc>
        <w:tc>
          <w:tcPr>
            <w:tcW w:w="26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(8.0)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49.410</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63"/>
        </w:trPr>
        <w:tc>
          <w:tcPr>
            <w:tcW w:w="2000" w:type="dxa"/>
            <w:vAlign w:val="bottom"/>
          </w:tcPr>
          <w:p>
            <w:pPr>
              <w:ind w:left="20"/>
              <w:spacing w:after="0"/>
              <w:rPr>
                <w:sz w:val="20"/>
                <w:szCs w:val="20"/>
                <w:color w:val="auto"/>
              </w:rPr>
            </w:pPr>
            <w:r>
              <w:rPr>
                <w:rFonts w:ascii="Arial" w:cs="Arial" w:eastAsia="Arial" w:hAnsi="Arial"/>
                <w:sz w:val="18"/>
                <w:szCs w:val="18"/>
                <w:color w:val="auto"/>
              </w:rPr>
              <w:t>2017</w:t>
            </w:r>
          </w:p>
        </w:tc>
        <w:tc>
          <w:tcPr>
            <w:tcW w:w="2880" w:type="dxa"/>
            <w:vAlign w:val="bottom"/>
          </w:tcPr>
          <w:p>
            <w:pPr>
              <w:ind w:left="760"/>
              <w:spacing w:after="0"/>
              <w:rPr>
                <w:sz w:val="20"/>
                <w:szCs w:val="20"/>
                <w:color w:val="auto"/>
              </w:rPr>
            </w:pPr>
            <w:r>
              <w:rPr>
                <w:rFonts w:ascii="Arial" w:cs="Arial" w:eastAsia="Arial" w:hAnsi="Arial"/>
                <w:sz w:val="18"/>
                <w:szCs w:val="18"/>
                <w:color w:val="auto"/>
              </w:rPr>
              <w:t>PLN</w:t>
            </w:r>
          </w:p>
        </w:tc>
        <w:tc>
          <w:tcPr>
            <w:tcW w:w="2600" w:type="dxa"/>
            <w:vAlign w:val="bottom"/>
          </w:tcPr>
          <w:p>
            <w:pPr>
              <w:jc w:val="right"/>
              <w:ind w:right="611"/>
              <w:spacing w:after="0"/>
              <w:rPr>
                <w:sz w:val="20"/>
                <w:szCs w:val="20"/>
                <w:color w:val="auto"/>
              </w:rPr>
            </w:pPr>
            <w:r>
              <w:rPr>
                <w:rFonts w:ascii="Arial" w:cs="Arial" w:eastAsia="Arial" w:hAnsi="Arial"/>
                <w:sz w:val="18"/>
                <w:szCs w:val="18"/>
                <w:color w:val="auto"/>
              </w:rPr>
              <w:t>(9.7)</w:t>
            </w:r>
          </w:p>
        </w:tc>
        <w:tc>
          <w:tcPr>
            <w:tcW w:w="2020" w:type="dxa"/>
            <w:vAlign w:val="bottom"/>
          </w:tcPr>
          <w:p>
            <w:pPr>
              <w:jc w:val="right"/>
              <w:spacing w:after="0"/>
              <w:rPr>
                <w:sz w:val="20"/>
                <w:szCs w:val="20"/>
                <w:color w:val="auto"/>
              </w:rPr>
            </w:pPr>
            <w:r>
              <w:rPr>
                <w:rFonts w:ascii="Arial" w:cs="Arial" w:eastAsia="Arial" w:hAnsi="Arial"/>
                <w:sz w:val="18"/>
                <w:szCs w:val="18"/>
                <w:color w:val="auto"/>
              </w:rPr>
              <w:t>3.980</w:t>
            </w:r>
          </w:p>
        </w:tc>
        <w:tc>
          <w:tcPr>
            <w:tcW w:w="320" w:type="dxa"/>
            <w:vAlign w:val="bottom"/>
          </w:tcPr>
          <w:p>
            <w:pPr>
              <w:spacing w:after="0"/>
              <w:rPr>
                <w:sz w:val="22"/>
                <w:szCs w:val="22"/>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0.1</w:t>
            </w:r>
          </w:p>
        </w:tc>
      </w:tr>
      <w:tr>
        <w:trPr>
          <w:trHeight w:val="277"/>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RON</w:t>
            </w:r>
          </w:p>
        </w:tc>
        <w:tc>
          <w:tcPr>
            <w:tcW w:w="26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(3.9)</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r>
      <w:tr>
        <w:trPr>
          <w:trHeight w:val="263"/>
        </w:trPr>
        <w:tc>
          <w:tcPr>
            <w:tcW w:w="2000" w:type="dxa"/>
            <w:vAlign w:val="bottom"/>
          </w:tcPr>
          <w:p>
            <w:pPr>
              <w:ind w:left="20"/>
              <w:spacing w:after="0"/>
              <w:rPr>
                <w:sz w:val="20"/>
                <w:szCs w:val="20"/>
                <w:color w:val="auto"/>
              </w:rPr>
            </w:pPr>
            <w:r>
              <w:rPr>
                <w:rFonts w:ascii="Arial" w:cs="Arial" w:eastAsia="Arial" w:hAnsi="Arial"/>
                <w:sz w:val="18"/>
                <w:szCs w:val="18"/>
                <w:color w:val="auto"/>
              </w:rPr>
              <w:t>2017</w:t>
            </w:r>
          </w:p>
        </w:tc>
        <w:tc>
          <w:tcPr>
            <w:tcW w:w="2880" w:type="dxa"/>
            <w:vAlign w:val="bottom"/>
          </w:tcPr>
          <w:p>
            <w:pPr>
              <w:ind w:left="760"/>
              <w:spacing w:after="0"/>
              <w:rPr>
                <w:sz w:val="20"/>
                <w:szCs w:val="20"/>
                <w:color w:val="auto"/>
              </w:rPr>
            </w:pPr>
            <w:r>
              <w:rPr>
                <w:rFonts w:ascii="Arial" w:cs="Arial" w:eastAsia="Arial" w:hAnsi="Arial"/>
                <w:sz w:val="18"/>
                <w:szCs w:val="18"/>
                <w:color w:val="auto"/>
              </w:rPr>
              <w:t>SEK</w:t>
            </w:r>
          </w:p>
        </w:tc>
        <w:tc>
          <w:tcPr>
            <w:tcW w:w="2600" w:type="dxa"/>
            <w:vAlign w:val="bottom"/>
          </w:tcPr>
          <w:p>
            <w:pPr>
              <w:jc w:val="right"/>
              <w:ind w:right="671"/>
              <w:spacing w:after="0"/>
              <w:rPr>
                <w:sz w:val="20"/>
                <w:szCs w:val="20"/>
                <w:color w:val="auto"/>
              </w:rPr>
            </w:pPr>
            <w:r>
              <w:rPr>
                <w:rFonts w:ascii="Arial" w:cs="Arial" w:eastAsia="Arial" w:hAnsi="Arial"/>
                <w:sz w:val="18"/>
                <w:szCs w:val="18"/>
                <w:color w:val="auto"/>
              </w:rPr>
              <w:t>30.3</w:t>
            </w:r>
          </w:p>
        </w:tc>
        <w:tc>
          <w:tcPr>
            <w:tcW w:w="2020" w:type="dxa"/>
            <w:vAlign w:val="bottom"/>
          </w:tcPr>
          <w:p>
            <w:pPr>
              <w:jc w:val="right"/>
              <w:spacing w:after="0"/>
              <w:rPr>
                <w:sz w:val="20"/>
                <w:szCs w:val="20"/>
                <w:color w:val="auto"/>
              </w:rPr>
            </w:pPr>
            <w:r>
              <w:rPr>
                <w:rFonts w:ascii="Arial" w:cs="Arial" w:eastAsia="Arial" w:hAnsi="Arial"/>
                <w:sz w:val="18"/>
                <w:szCs w:val="18"/>
                <w:color w:val="auto"/>
              </w:rPr>
              <w:t>8.630</w:t>
            </w:r>
          </w:p>
        </w:tc>
        <w:tc>
          <w:tcPr>
            <w:tcW w:w="3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7"/>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SGD</w:t>
            </w:r>
          </w:p>
        </w:tc>
        <w:tc>
          <w:tcPr>
            <w:tcW w:w="26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(15.6)</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r>
      <w:tr>
        <w:trPr>
          <w:trHeight w:val="263"/>
        </w:trPr>
        <w:tc>
          <w:tcPr>
            <w:tcW w:w="2000" w:type="dxa"/>
            <w:vAlign w:val="bottom"/>
          </w:tcPr>
          <w:p>
            <w:pPr>
              <w:ind w:left="20"/>
              <w:spacing w:after="0"/>
              <w:rPr>
                <w:sz w:val="20"/>
                <w:szCs w:val="20"/>
                <w:color w:val="auto"/>
              </w:rPr>
            </w:pPr>
            <w:r>
              <w:rPr>
                <w:rFonts w:ascii="Arial" w:cs="Arial" w:eastAsia="Arial" w:hAnsi="Arial"/>
                <w:sz w:val="18"/>
                <w:szCs w:val="18"/>
                <w:color w:val="auto"/>
              </w:rPr>
              <w:t>2017</w:t>
            </w:r>
          </w:p>
        </w:tc>
        <w:tc>
          <w:tcPr>
            <w:tcW w:w="2880" w:type="dxa"/>
            <w:vAlign w:val="bottom"/>
          </w:tcPr>
          <w:p>
            <w:pPr>
              <w:ind w:left="760"/>
              <w:spacing w:after="0"/>
              <w:rPr>
                <w:sz w:val="20"/>
                <w:szCs w:val="20"/>
                <w:color w:val="auto"/>
              </w:rPr>
            </w:pPr>
            <w:r>
              <w:rPr>
                <w:rFonts w:ascii="Arial" w:cs="Arial" w:eastAsia="Arial" w:hAnsi="Arial"/>
                <w:sz w:val="18"/>
                <w:szCs w:val="18"/>
                <w:color w:val="auto"/>
              </w:rPr>
              <w:t>ZAR</w:t>
            </w:r>
          </w:p>
        </w:tc>
        <w:tc>
          <w:tcPr>
            <w:tcW w:w="2600" w:type="dxa"/>
            <w:vAlign w:val="bottom"/>
          </w:tcPr>
          <w:p>
            <w:pPr>
              <w:jc w:val="right"/>
              <w:ind w:right="671"/>
              <w:spacing w:after="0"/>
              <w:rPr>
                <w:sz w:val="20"/>
                <w:szCs w:val="20"/>
                <w:color w:val="auto"/>
              </w:rPr>
            </w:pPr>
            <w:r>
              <w:rPr>
                <w:rFonts w:ascii="Arial" w:cs="Arial" w:eastAsia="Arial" w:hAnsi="Arial"/>
                <w:sz w:val="18"/>
                <w:szCs w:val="18"/>
                <w:color w:val="auto"/>
              </w:rPr>
              <w:t>1.0</w:t>
            </w:r>
          </w:p>
        </w:tc>
        <w:tc>
          <w:tcPr>
            <w:tcW w:w="2020" w:type="dxa"/>
            <w:vAlign w:val="bottom"/>
          </w:tcPr>
          <w:p>
            <w:pPr>
              <w:jc w:val="right"/>
              <w:spacing w:after="0"/>
              <w:rPr>
                <w:sz w:val="20"/>
                <w:szCs w:val="20"/>
                <w:color w:val="auto"/>
              </w:rPr>
            </w:pPr>
            <w:r>
              <w:rPr>
                <w:rFonts w:ascii="Arial" w:cs="Arial" w:eastAsia="Arial" w:hAnsi="Arial"/>
                <w:sz w:val="18"/>
                <w:szCs w:val="18"/>
                <w:color w:val="auto"/>
              </w:rPr>
              <w:t>14.130</w:t>
            </w:r>
          </w:p>
        </w:tc>
        <w:tc>
          <w:tcPr>
            <w:tcW w:w="320" w:type="dxa"/>
            <w:vAlign w:val="bottom"/>
          </w:tcPr>
          <w:p>
            <w:pPr>
              <w:spacing w:after="0"/>
              <w:rPr>
                <w:sz w:val="22"/>
                <w:szCs w:val="22"/>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7"/>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8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EUR</w:t>
            </w:r>
          </w:p>
        </w:tc>
        <w:tc>
          <w:tcPr>
            <w:tcW w:w="26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(1.7)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r>
      <w:tr>
        <w:trPr>
          <w:trHeight w:val="263"/>
        </w:trPr>
        <w:tc>
          <w:tcPr>
            <w:tcW w:w="2000" w:type="dxa"/>
            <w:vAlign w:val="bottom"/>
          </w:tcPr>
          <w:p>
            <w:pPr>
              <w:ind w:left="20"/>
              <w:spacing w:after="0"/>
              <w:rPr>
                <w:sz w:val="20"/>
                <w:szCs w:val="20"/>
                <w:color w:val="auto"/>
              </w:rPr>
            </w:pPr>
            <w:r>
              <w:rPr>
                <w:rFonts w:ascii="Arial" w:cs="Arial" w:eastAsia="Arial" w:hAnsi="Arial"/>
                <w:sz w:val="18"/>
                <w:szCs w:val="18"/>
                <w:color w:val="auto"/>
              </w:rPr>
              <w:t>2018</w:t>
            </w:r>
          </w:p>
        </w:tc>
        <w:tc>
          <w:tcPr>
            <w:tcW w:w="2880" w:type="dxa"/>
            <w:vAlign w:val="bottom"/>
          </w:tcPr>
          <w:p>
            <w:pPr>
              <w:ind w:left="760"/>
              <w:spacing w:after="0"/>
              <w:rPr>
                <w:sz w:val="20"/>
                <w:szCs w:val="20"/>
                <w:color w:val="auto"/>
              </w:rPr>
            </w:pPr>
            <w:r>
              <w:rPr>
                <w:rFonts w:ascii="Arial" w:cs="Arial" w:eastAsia="Arial" w:hAnsi="Arial"/>
                <w:sz w:val="18"/>
                <w:szCs w:val="18"/>
                <w:color w:val="auto"/>
              </w:rPr>
              <w:t>GBP</w:t>
            </w:r>
          </w:p>
        </w:tc>
        <w:tc>
          <w:tcPr>
            <w:tcW w:w="2600" w:type="dxa"/>
            <w:vAlign w:val="bottom"/>
          </w:tcPr>
          <w:p>
            <w:pPr>
              <w:jc w:val="right"/>
              <w:ind w:right="611"/>
              <w:spacing w:after="0"/>
              <w:rPr>
                <w:sz w:val="20"/>
                <w:szCs w:val="20"/>
                <w:color w:val="auto"/>
              </w:rPr>
            </w:pPr>
            <w:r>
              <w:rPr>
                <w:rFonts w:ascii="Arial" w:cs="Arial" w:eastAsia="Arial" w:hAnsi="Arial"/>
                <w:sz w:val="18"/>
                <w:szCs w:val="18"/>
                <w:color w:val="auto"/>
              </w:rPr>
              <w:t>(1.4)</w:t>
            </w:r>
          </w:p>
        </w:tc>
        <w:tc>
          <w:tcPr>
            <w:tcW w:w="2020" w:type="dxa"/>
            <w:vAlign w:val="bottom"/>
          </w:tcPr>
          <w:p>
            <w:pPr>
              <w:jc w:val="right"/>
              <w:spacing w:after="0"/>
              <w:rPr>
                <w:sz w:val="20"/>
                <w:szCs w:val="20"/>
                <w:color w:val="auto"/>
              </w:rPr>
            </w:pPr>
            <w:r>
              <w:rPr>
                <w:rFonts w:ascii="Arial" w:cs="Arial" w:eastAsia="Arial" w:hAnsi="Arial"/>
                <w:sz w:val="18"/>
                <w:szCs w:val="18"/>
                <w:color w:val="auto"/>
              </w:rPr>
              <w:t>1.370</w:t>
            </w:r>
          </w:p>
        </w:tc>
        <w:tc>
          <w:tcPr>
            <w:tcW w:w="320" w:type="dxa"/>
            <w:vAlign w:val="bottom"/>
          </w:tcPr>
          <w:p>
            <w:pPr>
              <w:spacing w:after="0"/>
              <w:rPr>
                <w:sz w:val="22"/>
                <w:szCs w:val="22"/>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0.2</w:t>
            </w:r>
          </w:p>
        </w:tc>
      </w:tr>
      <w:tr>
        <w:trPr>
          <w:trHeight w:val="270"/>
        </w:trPr>
        <w:tc>
          <w:tcPr>
            <w:tcW w:w="2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8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GBP</w:t>
            </w:r>
          </w:p>
        </w:tc>
        <w:tc>
          <w:tcPr>
            <w:tcW w:w="260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rPr>
              <w:t>(0.6)</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r>
      <w:tr>
        <w:trPr>
          <w:trHeight w:val="250"/>
        </w:trPr>
        <w:tc>
          <w:tcPr>
            <w:tcW w:w="4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foreign currency exchange derivative contracts</w:t>
            </w:r>
          </w:p>
        </w:tc>
        <w:tc>
          <w:tcPr>
            <w:tcW w:w="26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9.6</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fair value of these contracts at December 31, 2016 is $9.6 million, of which $9.3 million will be settled in 2017. At December 31, 2015, the fair value of our foreign currency exchange derivatives was $7.4 million, the majority of which settled in 2016. Refer to Footnote 4 Derivative Instruments for additional details.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2016, the applicable margins for base rate loans and Eurodollar rate loans were 1.25% and 2.25%, respectively. As of December 31, 2016, we had outstanding borrowings under our Credit Facility totaling $325.2 million and $840.0 million in Term Loans. As of December 31, 2016, the aggregate outstanding balance of our capital lease obligations was $12.6 million which bear interest at annual rates ranging from 3.0% to 6.7%. Our remaining outstanding debt of $8.5 million as of December 31, 2016 primarily relates to acquisition promissory notes and loans payable to noncontrolling shareholders of a consolidated subsidiary which are payable in varying amounts from July 2017 to October 2017 and bear interest at annual rates ranging from 2.0% to 8.6%.The weighted average interest rate on our short</w:t>
      </w:r>
      <w:r>
        <w:rPr>
          <w:rFonts w:ascii="MS PGothic" w:cs="MS PGothic" w:eastAsia="MS PGothic" w:hAnsi="MS PGothic"/>
          <w:sz w:val="18"/>
          <w:szCs w:val="18"/>
          <w:color w:val="auto"/>
        </w:rPr>
        <w:t>‑</w:t>
      </w:r>
      <w:r>
        <w:rPr>
          <w:rFonts w:ascii="Arial" w:cs="Arial" w:eastAsia="Arial" w:hAnsi="Arial"/>
          <w:sz w:val="18"/>
          <w:szCs w:val="18"/>
          <w:color w:val="auto"/>
        </w:rPr>
        <w:t>term debt was 2.3% as of December 31, 2016. A 1.0% fluctuation in the interest rate on our outstanding debt would result in a $11.7 million change in interest expense during the next twelve months.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38"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The financial statements, together with the report thereon of PricewaterhouseCoopers LLP dated February 17, 2017, and the Selected Quarterly Financial Data (Unaudited), are set forth in Item 15 of this 2016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2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As of the end of the period covered by this report, we evaluated, under the supervision and with the participation of our CEO and CFO, the effectiveness of the design and operation of our disclosure controls and procedures pursuant to Exchange Act Rule 13a</w:t>
      </w:r>
      <w:r>
        <w:rPr>
          <w:rFonts w:ascii="MS PGothic" w:cs="MS PGothic" w:eastAsia="MS PGothic" w:hAnsi="MS PGothic"/>
          <w:sz w:val="18"/>
          <w:szCs w:val="18"/>
          <w:color w:val="auto"/>
        </w:rPr>
        <w:t>‑</w:t>
      </w:r>
      <w:r>
        <w:rPr>
          <w:rFonts w:ascii="Arial" w:cs="Arial" w:eastAsia="Arial" w:hAnsi="Arial"/>
          <w:sz w:val="18"/>
          <w:szCs w:val="18"/>
          <w:color w:val="auto"/>
        </w:rPr>
        <w:t>15(e). Based upon this evaluation, the CEO and CFO concluded that our disclosure controls and procedures were effective at a reasonable assurance level as of December 31,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w:t>
      </w:r>
      <w:r>
        <w:rPr>
          <w:rFonts w:ascii="MS PGothic" w:cs="MS PGothic" w:eastAsia="MS PGothic" w:hAnsi="MS PGothic"/>
          <w:sz w:val="18"/>
          <w:szCs w:val="18"/>
          <w:color w:val="auto"/>
        </w:rPr>
        <w:t>‑</w:t>
      </w:r>
      <w:r>
        <w:rPr>
          <w:rFonts w:ascii="Arial" w:cs="Arial" w:eastAsia="Arial" w:hAnsi="Arial"/>
          <w:sz w:val="18"/>
          <w:szCs w:val="18"/>
          <w:color w:val="auto"/>
        </w:rPr>
        <w:t>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9" w:lineRule="exact"/>
        <w:rPr>
          <w:rFonts w:ascii="Arial" w:cs="Arial" w:eastAsia="Arial" w:hAnsi="Arial"/>
          <w:sz w:val="18"/>
          <w:szCs w:val="18"/>
          <w:color w:val="auto"/>
        </w:rPr>
      </w:pPr>
    </w:p>
    <w:p>
      <w:pPr>
        <w:jc w:val="both"/>
        <w:ind w:firstLine="8"/>
        <w:spacing w:after="0" w:line="254"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Management has assessed the effectiveness of our internal control over financial reporting as of December 31, 2016 using the framework specified in Internal Control – Integrated Framework (2013) issued by the Committee of Sponsoring Organizations of the Treadway Commission (COSO). Based on such assessment, management has concluded that our internal control over financial reporting was effective as of December 31, 2016. Management has excluded four acquisitions, including PAPCO, Inc. ("PAPCO") and Associated Petroleum Products, Inc ("APP"), (the "Excluded Business") from its assessment of internal control over financial reporting as of December 31, 2016, because the Excluded Businesses were acquired during 2016. The combined total assets and combined total revenues of the Excluded Business represents approximately 3.5% and 2.4% respectively, of the related consolidated financial statement amounts as of and for the year ended December 31, 2016. </w:t>
      </w:r>
      <w:r>
        <w:rPr>
          <w:rFonts w:ascii="Arial" w:cs="Arial" w:eastAsia="Arial" w:hAnsi="Arial"/>
          <w:sz w:val="18"/>
          <w:szCs w:val="18"/>
          <w:color w:val="222222"/>
        </w:rPr>
        <w:t>The most significant of the acquisitions, representing</w:t>
      </w:r>
      <w:r>
        <w:rPr>
          <w:rFonts w:ascii="Arial" w:cs="Arial" w:eastAsia="Arial" w:hAnsi="Arial"/>
          <w:sz w:val="18"/>
          <w:szCs w:val="18"/>
          <w:color w:val="auto"/>
        </w:rPr>
        <w:t xml:space="preserve"> 3.1% and </w:t>
      </w:r>
      <w:r>
        <w:rPr>
          <w:rFonts w:ascii="Arial" w:cs="Arial" w:eastAsia="Arial" w:hAnsi="Arial"/>
          <w:sz w:val="18"/>
          <w:szCs w:val="18"/>
          <w:color w:val="222222"/>
        </w:rPr>
        <w:t>2.3% of consolidated total assets and consolidated</w:t>
      </w:r>
      <w:r>
        <w:rPr>
          <w:rFonts w:ascii="Arial" w:cs="Arial" w:eastAsia="Arial" w:hAnsi="Arial"/>
          <w:sz w:val="18"/>
          <w:szCs w:val="18"/>
          <w:color w:val="auto"/>
        </w:rPr>
        <w:t xml:space="preserve"> </w:t>
      </w:r>
      <w:r>
        <w:rPr>
          <w:rFonts w:ascii="Arial" w:cs="Arial" w:eastAsia="Arial" w:hAnsi="Arial"/>
          <w:sz w:val="18"/>
          <w:szCs w:val="18"/>
          <w:color w:val="222222"/>
        </w:rPr>
        <w:t>total revenues, were PAPCO and APP, respectively.</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effectiveness of our internal control over financial reporting as of December 31, 2016 has been audited by PricewaterhouseCoopers LLP, an independent registered certified public accounting firm, as stated in their report appearing herein.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December 31, 2016.</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adopted a Code of Conduct that applies to all of our employees, officers (including our principal executive, financial and accounting officers) and directors. The Code of Conduct is located on our website at http://www.wfscorp.com under “Investor Relations – Corporate Governance – Code of Conduct.” We intend to disclose any amendments to our Code of Conduct or waivers with respect to our Code of Conduct granted to our principal executive, financial and accounting officers on our website.</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remaining information regarding our directors, executive officers and corporate governance is incorporated herein by reference from our Definitive Proxy Statement for the 2017 Annual Meeting of Shareholders (“2017 Proxy”) to be filed pursuant to Regulation 14A within 120 days after the close of the fiscal year ended December 31, 2016.</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on executive compensation is incorporated herein by reference from our 2017 Proxy to be filed pursuant to Regulation 14A within 120 days after the close of the fiscal year ended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Security Ownership of Certain Beneficial Owners and Management and Related Shareholder Matters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herein by reference from our 2017 Proxy to be filed pursuant to Regulation 14A within 120 days after the close of the fiscal year ended December 31, 2016.</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on certain relationships and related transactions and director independence is incorporated herein by reference from our 2017 Proxy to be filed pursuant to Regulation 14A within 120 days after the close of the fiscal year ended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3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Information on principal accounting fees and services is incorporated herein by reference from our 2017 Proxy to be filed pursuant to Regulation 14A within 120 days after the close of the fiscal year ended December 31, 2016.</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400" w:lineRule="exact"/>
        <w:rPr>
          <w:sz w:val="20"/>
          <w:szCs w:val="20"/>
          <w:color w:val="auto"/>
        </w:rPr>
      </w:pPr>
    </w:p>
    <w:p>
      <w:pPr>
        <w:ind w:left="40"/>
        <w:spacing w:after="0" w:line="207" w:lineRule="exact"/>
        <w:tabs>
          <w:tab w:leader="none" w:pos="9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filed as a part of this 2016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21" w:lineRule="exact"/>
        <w:rPr>
          <w:sz w:val="20"/>
          <w:szCs w:val="20"/>
          <w:color w:val="auto"/>
        </w:rPr>
      </w:pPr>
    </w:p>
    <w:tbl>
      <w:tblPr>
        <w:tblLayout w:type="fixed"/>
        <w:tblInd w:w="960" w:type="dxa"/>
        <w:tblCellMar>
          <w:top w:w="0" w:type="dxa"/>
          <w:left w:w="0" w:type="dxa"/>
          <w:bottom w:w="0" w:type="dxa"/>
          <w:right w:w="0" w:type="dxa"/>
        </w:tblCellMar>
      </w:tblPr>
      <w:tr>
        <w:trPr>
          <w:trHeight w:val="227"/>
        </w:trPr>
        <w:tc>
          <w:tcPr>
            <w:tcW w:w="160" w:type="dxa"/>
            <w:vAlign w:val="bottom"/>
            <w:tcBorders>
              <w:bottom w:val="single" w:sz="8" w:color="0000EE"/>
            </w:tcBorders>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(i)</w:t>
              </w:r>
            </w:hyperlink>
          </w:p>
        </w:tc>
        <w:tc>
          <w:tcPr>
            <w:tcW w:w="300" w:type="dxa"/>
            <w:vAlign w:val="bottom"/>
            <w:gridSpan w:val="2"/>
          </w:tcPr>
          <w:p>
            <w:pPr>
              <w:spacing w:after="0"/>
              <w:rPr>
                <w:sz w:val="19"/>
                <w:szCs w:val="19"/>
                <w:color w:val="auto"/>
              </w:rPr>
            </w:pPr>
          </w:p>
        </w:tc>
        <w:tc>
          <w:tcPr>
            <w:tcW w:w="53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Report of Independent Registered Certified Public Accounting Firm</w:t>
              </w:r>
            </w:hyperlink>
          </w:p>
        </w:tc>
        <w:tc>
          <w:tcPr>
            <w:tcW w:w="2220" w:type="dxa"/>
            <w:vAlign w:val="bottom"/>
          </w:tcPr>
          <w:p>
            <w:pPr>
              <w:spacing w:after="0"/>
              <w:rPr>
                <w:sz w:val="19"/>
                <w:szCs w:val="19"/>
                <w:color w:val="auto"/>
              </w:rPr>
            </w:pPr>
          </w:p>
        </w:tc>
        <w:tc>
          <w:tcPr>
            <w:tcW w:w="244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51</w:t>
              </w:r>
            </w:hyperlink>
          </w:p>
        </w:tc>
      </w:tr>
      <w:tr>
        <w:trPr>
          <w:trHeight w:val="392"/>
        </w:trPr>
        <w:tc>
          <w:tcPr>
            <w:tcW w:w="2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(ii)</w:t>
              </w:r>
            </w:hyperlink>
          </w:p>
        </w:tc>
        <w:tc>
          <w:tcPr>
            <w:tcW w:w="220" w:type="dxa"/>
            <w:vAlign w:val="bottom"/>
          </w:tcPr>
          <w:p>
            <w:pPr>
              <w:spacing w:after="0"/>
              <w:rPr>
                <w:sz w:val="24"/>
                <w:szCs w:val="24"/>
                <w:color w:val="auto"/>
              </w:rPr>
            </w:pPr>
          </w:p>
        </w:tc>
        <w:tc>
          <w:tcPr>
            <w:tcW w:w="2360" w:type="dxa"/>
            <w:vAlign w:val="bottom"/>
            <w:tcBorders>
              <w:bottom w:val="single" w:sz="8" w:color="0000EE"/>
            </w:tcBorders>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Consolidated Balance Sheets</w:t>
              </w:r>
            </w:hyperlink>
          </w:p>
        </w:tc>
        <w:tc>
          <w:tcPr>
            <w:tcW w:w="5180" w:type="dxa"/>
            <w:vAlign w:val="bottom"/>
            <w:gridSpan w:val="6"/>
          </w:tcPr>
          <w:p>
            <w:pPr>
              <w:spacing w:after="0"/>
              <w:rPr>
                <w:sz w:val="24"/>
                <w:szCs w:val="24"/>
                <w:color w:val="auto"/>
              </w:rPr>
            </w:pPr>
          </w:p>
        </w:tc>
        <w:tc>
          <w:tcPr>
            <w:tcW w:w="244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52</w:t>
              </w:r>
            </w:hyperlink>
          </w:p>
        </w:tc>
      </w:tr>
      <w:tr>
        <w:trPr>
          <w:trHeight w:val="372"/>
        </w:trPr>
        <w:tc>
          <w:tcPr>
            <w:tcW w:w="2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56">
              <w:r>
                <w:rPr>
                  <w:rFonts w:ascii="Arial" w:cs="Arial" w:eastAsia="Arial" w:hAnsi="Arial"/>
                  <w:sz w:val="18"/>
                  <w:szCs w:val="18"/>
                  <w:color w:val="0000EE"/>
                  <w:w w:val="83"/>
                </w:rPr>
                <w:t>(iii)</w:t>
              </w:r>
            </w:hyperlink>
          </w:p>
        </w:tc>
        <w:tc>
          <w:tcPr>
            <w:tcW w:w="220" w:type="dxa"/>
            <w:vAlign w:val="bottom"/>
          </w:tcPr>
          <w:p>
            <w:pPr>
              <w:spacing w:after="0"/>
              <w:rPr>
                <w:sz w:val="24"/>
                <w:szCs w:val="24"/>
                <w:color w:val="auto"/>
              </w:rPr>
            </w:pPr>
          </w:p>
        </w:tc>
        <w:tc>
          <w:tcPr>
            <w:tcW w:w="754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Income and Comprehensive Income</w:t>
              </w:r>
            </w:hyperlink>
          </w:p>
        </w:tc>
        <w:tc>
          <w:tcPr>
            <w:tcW w:w="244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53</w:t>
              </w:r>
            </w:hyperlink>
          </w:p>
        </w:tc>
      </w:tr>
      <w:tr>
        <w:trPr>
          <w:trHeight w:val="372"/>
        </w:trPr>
        <w:tc>
          <w:tcPr>
            <w:tcW w:w="460" w:type="dxa"/>
            <w:vAlign w:val="bottom"/>
            <w:gridSpan w:val="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(iv)</w:t>
              </w:r>
            </w:hyperlink>
          </w:p>
        </w:tc>
        <w:tc>
          <w:tcPr>
            <w:tcW w:w="5140" w:type="dxa"/>
            <w:vAlign w:val="bottom"/>
            <w:tcBorders>
              <w:top w:val="single" w:sz="8" w:color="0000EE"/>
            </w:tcBorders>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Shareholders’ Equity</w:t>
              </w:r>
            </w:hyperlink>
          </w:p>
        </w:tc>
        <w:tc>
          <w:tcPr>
            <w:tcW w:w="2400" w:type="dxa"/>
            <w:vAlign w:val="bottom"/>
            <w:gridSpan w:val="2"/>
          </w:tcPr>
          <w:p>
            <w:pPr>
              <w:spacing w:after="0"/>
              <w:rPr>
                <w:sz w:val="24"/>
                <w:szCs w:val="24"/>
                <w:color w:val="auto"/>
              </w:rPr>
            </w:pPr>
          </w:p>
        </w:tc>
        <w:tc>
          <w:tcPr>
            <w:tcW w:w="244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54</w:t>
              </w:r>
            </w:hyperlink>
          </w:p>
        </w:tc>
      </w:tr>
      <w:tr>
        <w:trPr>
          <w:trHeight w:val="359"/>
        </w:trPr>
        <w:tc>
          <w:tcPr>
            <w:tcW w:w="2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(v)</w:t>
              </w:r>
            </w:hyperlink>
          </w:p>
        </w:tc>
        <w:tc>
          <w:tcPr>
            <w:tcW w:w="220" w:type="dxa"/>
            <w:vAlign w:val="bottom"/>
            <w:tcBorders>
              <w:bottom w:val="single" w:sz="8" w:color="0000EE"/>
            </w:tcBorders>
          </w:tcPr>
          <w:p>
            <w:pPr>
              <w:spacing w:after="0"/>
              <w:rPr>
                <w:sz w:val="24"/>
                <w:szCs w:val="24"/>
                <w:color w:val="auto"/>
              </w:rPr>
            </w:pPr>
          </w:p>
        </w:tc>
        <w:tc>
          <w:tcPr>
            <w:tcW w:w="32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Consolidated Statements of Cash Flows</w:t>
              </w:r>
            </w:hyperlink>
          </w:p>
        </w:tc>
        <w:tc>
          <w:tcPr>
            <w:tcW w:w="720" w:type="dxa"/>
            <w:vAlign w:val="bottom"/>
            <w:tcBorders>
              <w:top w:val="single" w:sz="8" w:color="0000EE"/>
            </w:tcBorders>
            <w:gridSpan w:val="2"/>
          </w:tcPr>
          <w:p>
            <w:pPr>
              <w:spacing w:after="0"/>
              <w:rPr>
                <w:sz w:val="24"/>
                <w:szCs w:val="24"/>
                <w:color w:val="auto"/>
              </w:rPr>
            </w:pPr>
          </w:p>
        </w:tc>
        <w:tc>
          <w:tcPr>
            <w:tcW w:w="3620" w:type="dxa"/>
            <w:vAlign w:val="bottom"/>
            <w:gridSpan w:val="3"/>
          </w:tcPr>
          <w:p>
            <w:pPr>
              <w:spacing w:after="0"/>
              <w:rPr>
                <w:sz w:val="24"/>
                <w:szCs w:val="24"/>
                <w:color w:val="auto"/>
              </w:rPr>
            </w:pPr>
          </w:p>
        </w:tc>
        <w:tc>
          <w:tcPr>
            <w:tcW w:w="244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55</w:t>
              </w:r>
            </w:hyperlink>
          </w:p>
        </w:tc>
      </w:tr>
      <w:tr>
        <w:trPr>
          <w:trHeight w:val="365"/>
        </w:trPr>
        <w:tc>
          <w:tcPr>
            <w:tcW w:w="460" w:type="dxa"/>
            <w:vAlign w:val="bottom"/>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(vi)</w:t>
              </w:r>
            </w:hyperlink>
          </w:p>
        </w:tc>
        <w:tc>
          <w:tcPr>
            <w:tcW w:w="754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Notes to the Consolidated Financial Statements</w:t>
              </w:r>
            </w:hyperlink>
          </w:p>
        </w:tc>
        <w:tc>
          <w:tcPr>
            <w:tcW w:w="244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57</w:t>
              </w:r>
            </w:hyperlink>
          </w:p>
        </w:tc>
      </w:tr>
      <w:tr>
        <w:trPr>
          <w:trHeight w:val="20"/>
        </w:trPr>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02" w:lineRule="exact"/>
        <w:rPr>
          <w:sz w:val="20"/>
          <w:szCs w:val="20"/>
          <w:color w:val="auto"/>
        </w:rPr>
      </w:pPr>
    </w:p>
    <w:p>
      <w:pPr>
        <w:ind w:left="960" w:right="900" w:hanging="919"/>
        <w:spacing w:after="0" w:line="246" w:lineRule="auto"/>
        <w:tabs>
          <w:tab w:leader="none" w:pos="9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Consolidated financial statement schedules have been omitted either because the required information is set forth in the consolidated financial statements or notes thereto, or the information called for is not required.</w:t>
      </w:r>
    </w:p>
    <w:p>
      <w:pPr>
        <w:spacing w:after="0" w:line="156" w:lineRule="exact"/>
        <w:rPr>
          <w:sz w:val="20"/>
          <w:szCs w:val="20"/>
          <w:color w:val="auto"/>
        </w:rPr>
      </w:pPr>
    </w:p>
    <w:p>
      <w:pPr>
        <w:ind w:left="960" w:hanging="925"/>
        <w:spacing w:after="0" w:line="207" w:lineRule="exact"/>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 2016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1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0180" w:type="dxa"/>
            <w:vAlign w:val="bottom"/>
            <w:tcBorders>
              <w:top w:val="single" w:sz="8" w:color="auto"/>
            </w:tcBorders>
          </w:tcPr>
          <w:p>
            <w:pPr>
              <w:ind w:left="20"/>
              <w:spacing w:after="0" w:line="207" w:lineRule="exact"/>
              <w:rPr>
                <w:sz w:val="20"/>
                <w:szCs w:val="20"/>
                <w:color w:val="auto"/>
              </w:rPr>
            </w:pPr>
            <w:r>
              <w:rPr>
                <w:rFonts w:ascii="Arial" w:cs="Arial" w:eastAsia="Arial" w:hAnsi="Arial"/>
                <w:sz w:val="18"/>
                <w:szCs w:val="18"/>
                <w:color w:val="auto"/>
              </w:rPr>
              <w:t>Restated Articles of Incorporation (incorporated by reference herein to Exhibit 99.2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February 3, 2005).</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Articles of Amendment to Restated Articles of Incorporation (incorporated by reference herein to Exhibit 3.1 to our Current</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November 23, 2009).</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Laws, amended and restated as of August 26, 2011 (incorporated by reference herein to Exhibit 3.1 to our Current Report</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on Form 8</w:t>
            </w:r>
            <w:r>
              <w:rPr>
                <w:rFonts w:ascii="MS PGothic" w:cs="MS PGothic" w:eastAsia="MS PGothic" w:hAnsi="MS PGothic"/>
                <w:sz w:val="18"/>
                <w:szCs w:val="18"/>
                <w:color w:val="auto"/>
              </w:rPr>
              <w:t>‑</w:t>
            </w:r>
            <w:r>
              <w:rPr>
                <w:rFonts w:ascii="Arial" w:cs="Arial" w:eastAsia="Arial" w:hAnsi="Arial"/>
                <w:sz w:val="18"/>
                <w:szCs w:val="18"/>
                <w:color w:val="auto"/>
              </w:rPr>
              <w:t>K filed on August 29, 2011).</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Agreement between World Fuel Services Corporation and Michael J. Kasbar, dated March 14, 2008 (incorporated by reference</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herein to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March 20, 2008).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Amendment No. 1, dated August 26, 2011, to Agreement between World Fuel Services Corporation and Michael J. Kasbar</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(incorporated by reference herein to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August 29, 2011).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Amendment No. 2, dated April 9, 2012, to Agreement between World Fuel Services Corporation and Michael J. Kasbar</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(incorporated by reference herein to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13, 2012).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Amendment No. 3, dated April 11, 2014, to Agreement between World Fuel Services Corporation and Michael J. Kasbar</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(incorporated by reference herein to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11, 2014).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Executive  Severance  Agreement  between  World  Fuel  Services  Corporation  and  Ira  M.  Birns,  dated  April  16,  2007</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(incorporated by reference herein to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16, 2007).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2001 Omnibus Plan, as amended and restated (incorporated by reference herein to Exhibit 4.2 to our Registration Statement</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on Form S</w:t>
            </w:r>
            <w:r>
              <w:rPr>
                <w:rFonts w:ascii="MS PGothic" w:cs="MS PGothic" w:eastAsia="MS PGothic" w:hAnsi="MS PGothic"/>
                <w:sz w:val="18"/>
                <w:szCs w:val="18"/>
                <w:color w:val="auto"/>
              </w:rPr>
              <w:t>‑</w:t>
            </w:r>
            <w:r>
              <w:rPr>
                <w:rFonts w:ascii="Arial" w:cs="Arial" w:eastAsia="Arial" w:hAnsi="Arial"/>
                <w:sz w:val="18"/>
                <w:szCs w:val="18"/>
                <w:color w:val="auto"/>
              </w:rPr>
              <w:t>8 (Registration No. 333-130528) filed on December 20, 2005).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2006 Omnibus Plan (incorporated by reference herein to Appendix A to the our Definitive Proxy Statement on Schedule 14A</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filed with the SEC on April 27, 2009).*</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2016 Omnibus Plan (incorporated by reference herein to Exhibit 10.1 to our Current Report on Form 8-K filed on June 2,</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World Fuel Services Corporation 2013 Executive Incentive Plan (incorporated by reference herein to Exhibit 10.1 to our Current</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June 4, 2013).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Named Executive Officer Restricted Stock Unit Grant Agreement under the 2006 Omnibus Plan (incorporated by</w:t>
            </w: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reference herein to Exhibit 10.4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June 30, 2011 filed on August 2,</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2011).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Named Executive Officer Restricted Stock Grant Agreement under the 2006 Omnibus Plan (incorporated by reference</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herein to Exhibit 10.5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June 30, 2011 filed on August 2, 2011).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1"/>
                <w:szCs w:val="21"/>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Form of Stock</w:t>
            </w:r>
            <w:r>
              <w:rPr>
                <w:rFonts w:ascii="MS PGothic" w:cs="MS PGothic" w:eastAsia="MS PGothic" w:hAnsi="MS PGothic"/>
                <w:sz w:val="18"/>
                <w:szCs w:val="18"/>
                <w:color w:val="auto"/>
              </w:rPr>
              <w:t>‑</w:t>
            </w:r>
            <w:r>
              <w:rPr>
                <w:rFonts w:ascii="Arial" w:cs="Arial" w:eastAsia="Arial" w:hAnsi="Arial"/>
                <w:sz w:val="18"/>
                <w:szCs w:val="18"/>
                <w:color w:val="auto"/>
              </w:rPr>
              <w:t>Settled Stock Appreciation Right Agreement in connection with the 2006 Omnibus Plan (incorporated by</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reference herein to Exhibit 10.3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November 7, 2006).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1"/>
                <w:szCs w:val="21"/>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Form of Named Executive Officer Performance</w:t>
            </w:r>
            <w:r>
              <w:rPr>
                <w:rFonts w:ascii="MS PGothic" w:cs="MS PGothic" w:eastAsia="MS PGothic" w:hAnsi="MS PGothic"/>
                <w:sz w:val="18"/>
                <w:szCs w:val="18"/>
                <w:color w:val="auto"/>
              </w:rPr>
              <w:t>‑</w:t>
            </w:r>
            <w:r>
              <w:rPr>
                <w:rFonts w:ascii="Arial" w:cs="Arial" w:eastAsia="Arial" w:hAnsi="Arial"/>
                <w:sz w:val="18"/>
                <w:szCs w:val="18"/>
                <w:color w:val="auto"/>
              </w:rPr>
              <w:t>Based Restricted Stock Grant Agreement under the 2006 Omnibus Plan</w:t>
            </w: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(incorporated by reference herein to Exhibit 10.1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September 30,</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2012 filed on November 1, 2012).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Michael J. Kasbar Stock-Settled Stock Appreciation Right Agreement under the 2006 Omnibus Plan (incorporated by</w:t>
            </w: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reference herein to Exhibit 10.1 to our Quarterly Report on Form 10-Q for the quarter ended June 30, 2014 filed on July 30,</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2014).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Michael J. Kasbar Stock-Settled Stock Appreciation Right Agreement (3-year Cliff Vesting) under the 2006 Omnibus</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Plan.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Ira M. Birns Stock-Settled Stock Appreciation Right Agreement under the 2006 Omnibus Plan (incorporated by</w:t>
            </w: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reference herein to Exhibit 10.2 to our Quarterly Report on Form 10-Q for the quarter ended June 30, 2014 filed on July 30,</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2014).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Named Executive Officer Long-Term Incentive Restricted Stock Unit Grant Agreement under the 2006 Omnibus Plan</w:t>
            </w: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(incorporated by reference herein to Exhibit 10.1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June 30, 2015</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filed on July 30, 2015). *</w:t>
            </w:r>
          </w:p>
        </w:tc>
      </w:tr>
      <w:tr>
        <w:trPr>
          <w:trHeight w:val="257"/>
        </w:trPr>
        <w:tc>
          <w:tcPr>
            <w:tcW w:w="1020" w:type="dxa"/>
            <w:vAlign w:val="bottom"/>
          </w:tcPr>
          <w:p>
            <w:pPr>
              <w:ind w:left="40"/>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2"/>
                <w:szCs w:val="22"/>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Named Executive Officer Performance-Based Restricted Stock Unit Grant Agreement under the 2006 Omnibus Plan. *</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2013 and 2014 Non-Employee Director Restricted Stock Units Grant Agreement under the 2006 Omnibus Plan</w:t>
            </w: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(incorporated by reference herein to Exhibit 10.25 to our Annual Report on Form 10-K for the year ended December 31, 2013</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filed on February 14, 2014). *</w:t>
            </w:r>
          </w:p>
        </w:tc>
      </w:tr>
      <w:tr>
        <w:trPr>
          <w:trHeight w:val="650"/>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80" w:type="dxa"/>
            <w:vAlign w:val="bottom"/>
          </w:tcPr>
          <w:p>
            <w:pPr>
              <w:ind w:left="4400"/>
              <w:spacing w:after="0"/>
              <w:rPr>
                <w:sz w:val="20"/>
                <w:szCs w:val="20"/>
                <w:color w:val="auto"/>
              </w:rPr>
            </w:pPr>
            <w:r>
              <w:rPr>
                <w:rFonts w:ascii="Arial" w:cs="Arial" w:eastAsia="Arial" w:hAnsi="Arial"/>
                <w:sz w:val="14"/>
                <w:szCs w:val="14"/>
                <w:color w:val="auto"/>
              </w:rPr>
              <w:t>49</w:t>
            </w: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1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10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Amendment to 2013 and 2014 Non-Employee Director Restricted Stock Unit Grant Agreements, dated November 24,</w:t>
            </w: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2015 (incorporated by reference herein to Exhibit 10.25 to our Annual Report on Form 10-K for the year ended December 31,</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2015 filed on February 16, 2016).*</w:t>
            </w:r>
          </w:p>
        </w:tc>
      </w:tr>
      <w:tr>
        <w:trPr>
          <w:trHeight w:val="269"/>
        </w:trPr>
        <w:tc>
          <w:tcPr>
            <w:tcW w:w="1020" w:type="dxa"/>
            <w:vAlign w:val="bottom"/>
          </w:tcPr>
          <w:p>
            <w:pPr>
              <w:ind w:left="40"/>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3"/>
                <w:szCs w:val="23"/>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Non-Employee Director Restricted Stock Units Grant Agreement under the 2006 Omnibus Plan (incorporated by</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reference herein to Exhibit 10.24 to our Annual Report on Form 10-K for the year ended December 31, 2015 filed on February</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16, 2016). *</w:t>
            </w:r>
          </w:p>
        </w:tc>
      </w:tr>
      <w:tr>
        <w:trPr>
          <w:trHeight w:val="269"/>
        </w:trPr>
        <w:tc>
          <w:tcPr>
            <w:tcW w:w="1020" w:type="dxa"/>
            <w:vAlign w:val="bottom"/>
          </w:tcPr>
          <w:p>
            <w:pPr>
              <w:ind w:left="40"/>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3"/>
                <w:szCs w:val="23"/>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Fourth Amended and Restated Credit Agreement, dated as of October 10, 2013, among World Fuel Services Corporation,</w:t>
            </w: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World Fuel Services Europe, Ltd. and World Fuel Services (Singapore) Pte Ltd, as borrowers, Bank of America, N.A., as</w:t>
            </w: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administrative agent, and the financial institutions named therein as lenders (incorporated herein by reference to Exhibit 10.1 to</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our Current Report on Form 8-K filed on October 11, 2013). *</w:t>
            </w:r>
          </w:p>
        </w:tc>
      </w:tr>
      <w:tr>
        <w:trPr>
          <w:trHeight w:val="269"/>
        </w:trPr>
        <w:tc>
          <w:tcPr>
            <w:tcW w:w="1020" w:type="dxa"/>
            <w:vAlign w:val="bottom"/>
          </w:tcPr>
          <w:p>
            <w:pPr>
              <w:ind w:left="40"/>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3"/>
                <w:szCs w:val="23"/>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Amendment No. 1 to the Fourth Amended and Restated Credit Agreement, dated as of January 30, 2015, among World Fuel</w:t>
            </w: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Services Corporation, World Fuel Services Europe, Ltd. and World Fuel Services (Singapore) Pte Ltd, as borrowers, Bank of</w:t>
            </w: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America, N.A., as administrative agent, and the financial institutions named therein as lenders (incorporated herein by</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reference to Exhibit 10.1 to our Current Report on Form 8-K filed on February 5, 2015).</w:t>
            </w:r>
          </w:p>
        </w:tc>
      </w:tr>
      <w:tr>
        <w:trPr>
          <w:trHeight w:val="269"/>
        </w:trPr>
        <w:tc>
          <w:tcPr>
            <w:tcW w:w="1020" w:type="dxa"/>
            <w:vAlign w:val="bottom"/>
          </w:tcPr>
          <w:p>
            <w:pPr>
              <w:ind w:left="40"/>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3"/>
                <w:szCs w:val="23"/>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Amendment No. 2 to the Fourth Amended and Restated Credit Agreement, dated as of October 26, 2016, among World Fuel</w:t>
            </w: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Services Corporation, World Fuel Services Europe, Ltd. and World Fuel Services (Singapore) Pte Ltd, as borrowers, Bank of</w:t>
            </w:r>
          </w:p>
        </w:tc>
      </w:tr>
      <w:tr>
        <w:trPr>
          <w:trHeight w:val="203"/>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America, N.A., as administrative agent, and the financial institutions named therein as lenders (incorporated herein by</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reference to Exhibit 10.1 to our Current Report on Form 8-K filed on October 27, 2016).</w:t>
            </w:r>
          </w:p>
        </w:tc>
      </w:tr>
      <w:tr>
        <w:trPr>
          <w:trHeight w:val="257"/>
        </w:trPr>
        <w:tc>
          <w:tcPr>
            <w:tcW w:w="1020" w:type="dxa"/>
            <w:vAlign w:val="bottom"/>
          </w:tcPr>
          <w:p>
            <w:pPr>
              <w:ind w:left="40"/>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2"/>
                <w:szCs w:val="22"/>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Subsidiaries of the Registrant.</w:t>
            </w:r>
          </w:p>
        </w:tc>
      </w:tr>
      <w:tr>
        <w:trPr>
          <w:trHeight w:val="257"/>
        </w:trPr>
        <w:tc>
          <w:tcPr>
            <w:tcW w:w="1020" w:type="dxa"/>
            <w:vAlign w:val="bottom"/>
          </w:tcPr>
          <w:p>
            <w:pPr>
              <w:ind w:left="4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2"/>
                <w:szCs w:val="22"/>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Consent of Independent Registered Certified Public Accounting Firm.</w:t>
            </w:r>
          </w:p>
        </w:tc>
      </w:tr>
      <w:tr>
        <w:trPr>
          <w:trHeight w:val="257"/>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2"/>
                <w:szCs w:val="22"/>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Certification of the Chief Executive Officer 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257"/>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2"/>
                <w:szCs w:val="22"/>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Certification of the Chief Financial Officer 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242"/>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1"/>
                <w:szCs w:val="21"/>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Statement of Chief Executive Officer and Chief Financial Officer under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(18</w:t>
            </w:r>
          </w:p>
        </w:tc>
      </w:tr>
      <w:tr>
        <w:trPr>
          <w:trHeight w:val="217"/>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U.S.C. Section 1350).</w:t>
            </w:r>
          </w:p>
        </w:tc>
      </w:tr>
    </w:tbl>
    <w:p>
      <w:pPr>
        <w:spacing w:after="0" w:line="40" w:lineRule="exact"/>
        <w:rPr>
          <w:sz w:val="20"/>
          <w:szCs w:val="20"/>
          <w:color w:val="auto"/>
        </w:rPr>
      </w:pPr>
    </w:p>
    <w:p>
      <w:pPr>
        <w:jc w:val="both"/>
        <w:ind w:left="1260" w:right="20" w:hanging="1225"/>
        <w:spacing w:after="0" w:line="207" w:lineRule="exact"/>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5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contracts and compensatory plans or arrangements required to be filed as exhibits to this form, pursuant to Item 15(b).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CERTIFIED</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the Shareholders and Board of Directors of World Fuel Services Corporation:</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our opinion, the accompanying consolidated balance sheets and the related consolidated statements of income and comprehensive income, of shareholders’ equity and of cash flows present fairly, in all material respects, the financial position of World Fuel Services Corporation and its subsidiaries at December 31, 2016 and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As described in Management's Report on Internal Control over Financial Reporting, management has excluded four acquisitions from its assessment of internal control over financial reporting as of December 31, 2016 because they were acquired by the Company in purchase business combinations during 2016. We have also excluded the four acquisitions from our audit of internal control over financial reporting. </w:t>
      </w:r>
      <w:r>
        <w:rPr>
          <w:rFonts w:ascii="Arial" w:cs="Arial" w:eastAsia="Arial" w:hAnsi="Arial"/>
          <w:sz w:val="18"/>
          <w:szCs w:val="18"/>
          <w:color w:val="222222"/>
        </w:rPr>
        <w:t>The</w:t>
      </w:r>
      <w:r>
        <w:rPr>
          <w:rFonts w:ascii="Arial" w:cs="Arial" w:eastAsia="Arial" w:hAnsi="Arial"/>
          <w:sz w:val="18"/>
          <w:szCs w:val="18"/>
          <w:color w:val="auto"/>
        </w:rPr>
        <w:t xml:space="preserve"> </w:t>
      </w:r>
      <w:r>
        <w:rPr>
          <w:rFonts w:ascii="Arial" w:cs="Arial" w:eastAsia="Arial" w:hAnsi="Arial"/>
          <w:sz w:val="18"/>
          <w:szCs w:val="18"/>
          <w:color w:val="222222"/>
        </w:rPr>
        <w:t xml:space="preserve">acquisitions are wholly owned subsidiaries whose combined total assets and combined total revenues represent 3.5% and 2.4%, respectively, of the related consolidated financial statement amounts as of and for the year ended </w:t>
      </w:r>
      <w:r>
        <w:rPr>
          <w:rFonts w:ascii="Arial" w:cs="Arial" w:eastAsia="Arial" w:hAnsi="Arial"/>
          <w:sz w:val="18"/>
          <w:szCs w:val="18"/>
          <w:color w:val="000000"/>
        </w:rPr>
        <w:t>December 31, 2016</w:t>
      </w:r>
      <w:r>
        <w:rPr>
          <w:rFonts w:ascii="Arial" w:cs="Arial" w:eastAsia="Arial" w:hAnsi="Arial"/>
          <w:sz w:val="18"/>
          <w:szCs w:val="18"/>
          <w:color w:val="222222"/>
        </w:rPr>
        <w:t xml:space="preserve">. The most significant of the acquisitions, representing </w:t>
      </w:r>
      <w:r>
        <w:rPr>
          <w:rFonts w:ascii="Arial" w:cs="Arial" w:eastAsia="Arial" w:hAnsi="Arial"/>
          <w:sz w:val="18"/>
          <w:szCs w:val="18"/>
          <w:color w:val="000000"/>
        </w:rPr>
        <w:t>3.1% and</w:t>
      </w:r>
      <w:r>
        <w:rPr>
          <w:rFonts w:ascii="Arial" w:cs="Arial" w:eastAsia="Arial" w:hAnsi="Arial"/>
          <w:sz w:val="18"/>
          <w:szCs w:val="18"/>
          <w:color w:val="222222"/>
        </w:rPr>
        <w:t xml:space="preserve"> 2.3% of consolidated total assets and consolidated total revenues, were PAPCO, Inc. and Associated Petroleum Products, Inc.,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2017</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5040"/>
        <w:spacing w:after="0" w:line="252" w:lineRule="auto"/>
        <w:rPr>
          <w:sz w:val="20"/>
          <w:szCs w:val="20"/>
          <w:color w:val="auto"/>
        </w:rPr>
      </w:pPr>
      <w:r>
        <w:rPr>
          <w:rFonts w:ascii="Arial" w:cs="Arial" w:eastAsia="Arial" w:hAnsi="Arial"/>
          <w:sz w:val="22"/>
          <w:szCs w:val="22"/>
          <w:b w:val="1"/>
          <w:bCs w:val="1"/>
          <w:color w:val="auto"/>
        </w:rPr>
        <w:t>WORLD FUEL SERVICES CORPORATION AND SUBSIDIARIES CONSOLIDATED BALANCE SHEETS</w:t>
      </w:r>
    </w:p>
    <w:p>
      <w:pP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76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6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698.6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582.5</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620" w:type="dxa"/>
            <w:vAlign w:val="bottom"/>
          </w:tcPr>
          <w:p>
            <w:pPr>
              <w:spacing w:after="0"/>
              <w:rPr>
                <w:sz w:val="22"/>
                <w:szCs w:val="22"/>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2,344.0</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1,812.6</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458.0</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359.1</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620" w:type="dxa"/>
            <w:vAlign w:val="bottom"/>
          </w:tcPr>
          <w:p>
            <w:pPr>
              <w:spacing w:after="0"/>
              <w:rPr>
                <w:sz w:val="22"/>
                <w:szCs w:val="22"/>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46.5</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57.9</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derivative assets, net</w:t>
            </w: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58.9</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220.4</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22"/>
                <w:szCs w:val="22"/>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230.6</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208.0</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6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620" w:type="dxa"/>
            <w:vAlign w:val="bottom"/>
          </w:tcPr>
          <w:p>
            <w:pPr>
              <w:spacing w:after="0"/>
              <w:rPr>
                <w:sz w:val="22"/>
                <w:szCs w:val="22"/>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3,836.6</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3,246.0</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311.2</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22"/>
                <w:szCs w:val="22"/>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835.8</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675.8</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Identifiable intangible and other non-current assets</w:t>
            </w: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429.1</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341.4</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Non-current assets held for sale</w:t>
            </w:r>
          </w:p>
        </w:tc>
        <w:tc>
          <w:tcPr>
            <w:tcW w:w="6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36.5</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5,412.6</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4,525.3</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25.5</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1,770.4</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1,349.6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Customer deposits</w:t>
            </w:r>
          </w:p>
        </w:tc>
        <w:tc>
          <w:tcPr>
            <w:tcW w:w="620" w:type="dxa"/>
            <w:vAlign w:val="bottom"/>
          </w:tcPr>
          <w:p>
            <w:pPr>
              <w:spacing w:after="0"/>
              <w:rPr>
                <w:sz w:val="22"/>
                <w:szCs w:val="22"/>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90.8</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118.3</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306.0</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255.2</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Current liabilities held for sale</w:t>
            </w:r>
          </w:p>
        </w:tc>
        <w:tc>
          <w:tcPr>
            <w:tcW w:w="6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6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2,182.7</w:t>
            </w: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1,754.2</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22"/>
                <w:szCs w:val="22"/>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1,170.8</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746.7</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income tax liabilities, net</w:t>
            </w: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84.6</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87.7</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620" w:type="dxa"/>
            <w:vAlign w:val="bottom"/>
          </w:tcPr>
          <w:p>
            <w:pPr>
              <w:spacing w:after="0"/>
              <w:rPr>
                <w:sz w:val="22"/>
                <w:szCs w:val="22"/>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25.8</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6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6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3,472.6</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2,619.4</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6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Equity:</w:t>
            </w:r>
          </w:p>
        </w:tc>
        <w:tc>
          <w:tcPr>
            <w:tcW w:w="6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 Fuel shareholders' equity:</w:t>
            </w: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Preferred stock, $1.00 par value; 0.1 shares authorized, none issued</w:t>
            </w:r>
          </w:p>
        </w:tc>
        <w:tc>
          <w:tcPr>
            <w:tcW w:w="620" w:type="dxa"/>
            <w:vAlign w:val="bottom"/>
          </w:tcPr>
          <w:p>
            <w:pPr>
              <w:spacing w:after="0"/>
              <w:rPr>
                <w:sz w:val="22"/>
                <w:szCs w:val="22"/>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$0.01 par value; 100.0 shares authorized, 69.9 and 70.8 issued and</w:t>
            </w:r>
          </w:p>
        </w:tc>
        <w:tc>
          <w:tcPr>
            <w:tcW w:w="6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2016 and December 31, 2015, respectively</w:t>
            </w:r>
          </w:p>
        </w:tc>
        <w:tc>
          <w:tcPr>
            <w:tcW w:w="6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Capital in excess of par value</w:t>
            </w:r>
          </w:p>
        </w:tc>
        <w:tc>
          <w:tcPr>
            <w:tcW w:w="620" w:type="dxa"/>
            <w:vAlign w:val="bottom"/>
          </w:tcPr>
          <w:p>
            <w:pPr>
              <w:spacing w:after="0"/>
              <w:rPr>
                <w:sz w:val="22"/>
                <w:szCs w:val="22"/>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399.9</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435.3</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1,679.3</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1,569.4</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(154.8)</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World Fuel shareholders' equity</w:t>
            </w:r>
          </w:p>
        </w:tc>
        <w:tc>
          <w:tcPr>
            <w:tcW w:w="6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1,925.0</w:t>
            </w: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1,895.9</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Noncontrolling interest equity</w:t>
            </w:r>
          </w:p>
        </w:tc>
        <w:tc>
          <w:tcPr>
            <w:tcW w:w="6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15.0</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6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1,940.0</w:t>
            </w:r>
          </w:p>
        </w:tc>
        <w:tc>
          <w:tcPr>
            <w:tcW w:w="3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1,905.9</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and equity</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5,412.6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4,525.3</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5040"/>
        <w:spacing w:after="0" w:line="249" w:lineRule="auto"/>
        <w:rPr>
          <w:sz w:val="20"/>
          <w:szCs w:val="20"/>
          <w:color w:val="auto"/>
        </w:rPr>
      </w:pPr>
      <w:r>
        <w:rPr>
          <w:rFonts w:ascii="Arial" w:cs="Arial" w:eastAsia="Arial" w:hAnsi="Arial"/>
          <w:sz w:val="22"/>
          <w:szCs w:val="22"/>
          <w:b w:val="1"/>
          <w:bCs w:val="1"/>
          <w:color w:val="auto"/>
        </w:rPr>
        <w:t>WORLD FUEL SERVICES CORPORATION AND SUBSIDIARIES CONSOLIDATED STATEMENTS OF INCOME AND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57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2014</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27,015.8</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30,381.4</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43,391.8</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Cost of revenue</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26,116.8</w:t>
            </w: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29,520.4</w:t>
            </w:r>
          </w:p>
        </w:tc>
        <w:tc>
          <w:tcPr>
            <w:tcW w:w="6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42,572.7</w:t>
            </w:r>
          </w:p>
        </w:tc>
      </w:tr>
      <w:tr>
        <w:trPr>
          <w:trHeight w:val="264"/>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5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899.0</w:t>
            </w:r>
          </w:p>
        </w:tc>
        <w:tc>
          <w:tcPr>
            <w:tcW w:w="6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861.0</w:t>
            </w:r>
          </w:p>
        </w:tc>
        <w:tc>
          <w:tcPr>
            <w:tcW w:w="6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819.1</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5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413.3</w:t>
            </w:r>
          </w:p>
        </w:tc>
        <w:tc>
          <w:tcPr>
            <w:tcW w:w="6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365.8</w:t>
            </w:r>
          </w:p>
        </w:tc>
        <w:tc>
          <w:tcPr>
            <w:tcW w:w="6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319.8</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Provision for bad debt</w:t>
            </w:r>
          </w:p>
        </w:tc>
        <w:tc>
          <w:tcPr>
            <w:tcW w:w="580" w:type="dxa"/>
            <w:vAlign w:val="bottom"/>
          </w:tcPr>
          <w:p>
            <w:pPr>
              <w:spacing w:after="0"/>
              <w:rPr>
                <w:sz w:val="22"/>
                <w:szCs w:val="22"/>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640" w:type="dxa"/>
            <w:vAlign w:val="bottom"/>
          </w:tcPr>
          <w:p>
            <w:pPr>
              <w:spacing w:after="0"/>
              <w:rPr>
                <w:sz w:val="22"/>
                <w:szCs w:val="22"/>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7.5</w:t>
            </w:r>
          </w:p>
        </w:tc>
        <w:tc>
          <w:tcPr>
            <w:tcW w:w="64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0"/>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5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281.4</w:t>
            </w: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242.1</w:t>
            </w:r>
          </w:p>
        </w:tc>
        <w:tc>
          <w:tcPr>
            <w:tcW w:w="6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218.8</w:t>
            </w:r>
          </w:p>
        </w:tc>
      </w:tr>
      <w:tr>
        <w:trPr>
          <w:trHeight w:val="264"/>
        </w:trPr>
        <w:tc>
          <w:tcPr>
            <w:tcW w:w="57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710.1</w:t>
            </w: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615.3</w:t>
            </w:r>
          </w:p>
        </w:tc>
        <w:tc>
          <w:tcPr>
            <w:tcW w:w="6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542.4</w:t>
            </w:r>
          </w:p>
        </w:tc>
      </w:tr>
      <w:tr>
        <w:trPr>
          <w:trHeight w:val="264"/>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5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188.9</w:t>
            </w:r>
          </w:p>
        </w:tc>
        <w:tc>
          <w:tcPr>
            <w:tcW w:w="6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245.7</w:t>
            </w:r>
          </w:p>
        </w:tc>
        <w:tc>
          <w:tcPr>
            <w:tcW w:w="6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276.7</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Non-operating expenses, net:</w:t>
            </w:r>
          </w:p>
        </w:tc>
        <w:tc>
          <w:tcPr>
            <w:tcW w:w="5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and other financing costs, net</w:t>
            </w:r>
          </w:p>
        </w:tc>
        <w:tc>
          <w:tcPr>
            <w:tcW w:w="5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6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6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(expense) income, net</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w:t>
            </w: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w:t>
            </w:r>
          </w:p>
        </w:tc>
        <w:tc>
          <w:tcPr>
            <w:tcW w:w="6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23.3</w:t>
            </w:r>
          </w:p>
        </w:tc>
      </w:tr>
      <w:tr>
        <w:trPr>
          <w:trHeight w:val="264"/>
        </w:trPr>
        <w:tc>
          <w:tcPr>
            <w:tcW w:w="57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6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6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580" w:type="dxa"/>
            <w:vAlign w:val="bottom"/>
          </w:tcPr>
          <w:p>
            <w:pPr>
              <w:spacing w:after="0"/>
              <w:rPr>
                <w:sz w:val="22"/>
                <w:szCs w:val="22"/>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142.1</w:t>
            </w:r>
          </w:p>
        </w:tc>
        <w:tc>
          <w:tcPr>
            <w:tcW w:w="640" w:type="dxa"/>
            <w:vAlign w:val="bottom"/>
          </w:tcPr>
          <w:p>
            <w:pPr>
              <w:spacing w:after="0"/>
              <w:rPr>
                <w:sz w:val="22"/>
                <w:szCs w:val="22"/>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217.7</w:t>
            </w:r>
          </w:p>
        </w:tc>
        <w:tc>
          <w:tcPr>
            <w:tcW w:w="64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274.8</w:t>
            </w:r>
          </w:p>
        </w:tc>
      </w:tr>
      <w:tr>
        <w:trPr>
          <w:trHeight w:val="270"/>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5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15.7</w:t>
            </w: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47.2</w:t>
            </w:r>
          </w:p>
        </w:tc>
        <w:tc>
          <w:tcPr>
            <w:tcW w:w="6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Net income including noncontrolling interest</w:t>
            </w:r>
          </w:p>
        </w:tc>
        <w:tc>
          <w:tcPr>
            <w:tcW w:w="580" w:type="dxa"/>
            <w:vAlign w:val="bottom"/>
          </w:tcPr>
          <w:p>
            <w:pPr>
              <w:spacing w:after="0"/>
              <w:rPr>
                <w:sz w:val="22"/>
                <w:szCs w:val="22"/>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126.4</w:t>
            </w:r>
          </w:p>
        </w:tc>
        <w:tc>
          <w:tcPr>
            <w:tcW w:w="640" w:type="dxa"/>
            <w:vAlign w:val="bottom"/>
          </w:tcPr>
          <w:p>
            <w:pPr>
              <w:spacing w:after="0"/>
              <w:rPr>
                <w:sz w:val="22"/>
                <w:szCs w:val="22"/>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170.5</w:t>
            </w:r>
          </w:p>
        </w:tc>
        <w:tc>
          <w:tcPr>
            <w:tcW w:w="64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221.1</w:t>
            </w:r>
          </w:p>
        </w:tc>
      </w:tr>
      <w:tr>
        <w:trPr>
          <w:trHeight w:val="270"/>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5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6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World Fuel</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126.5</w:t>
            </w:r>
          </w:p>
        </w:tc>
        <w:tc>
          <w:tcPr>
            <w:tcW w:w="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174.5</w:t>
            </w:r>
          </w:p>
        </w:tc>
        <w:tc>
          <w:tcPr>
            <w:tcW w:w="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224.5</w:t>
            </w:r>
          </w:p>
        </w:tc>
      </w:tr>
      <w:tr>
        <w:trPr>
          <w:trHeight w:val="251"/>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1.82</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2.49</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91"/>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Basic weighted average common shares</w:t>
            </w:r>
          </w:p>
        </w:tc>
        <w:tc>
          <w:tcPr>
            <w:tcW w:w="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69.3</w:t>
            </w: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70.2</w:t>
            </w:r>
          </w:p>
        </w:tc>
        <w:tc>
          <w:tcPr>
            <w:tcW w:w="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70.8</w:t>
            </w:r>
          </w:p>
        </w:tc>
      </w:tr>
      <w:tr>
        <w:trPr>
          <w:trHeight w:val="251"/>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1.81</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2.47</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91"/>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weighted average common shares</w:t>
            </w:r>
          </w:p>
        </w:tc>
        <w:tc>
          <w:tcPr>
            <w:tcW w:w="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69.8</w:t>
            </w: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70.7</w:t>
            </w:r>
          </w:p>
        </w:tc>
        <w:tc>
          <w:tcPr>
            <w:tcW w:w="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71.3</w:t>
            </w:r>
          </w:p>
        </w:tc>
      </w:tr>
      <w:tr>
        <w:trPr>
          <w:trHeight w:val="25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5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Net income including noncontrolling interest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126.4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170.5</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221.1</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5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5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(40.4)</w:t>
            </w:r>
          </w:p>
        </w:tc>
        <w:tc>
          <w:tcPr>
            <w:tcW w:w="64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(45.4)</w:t>
            </w:r>
          </w:p>
        </w:tc>
        <w:tc>
          <w:tcPr>
            <w:tcW w:w="6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35"/>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 hedges, net of income tax benefit of $4.1 for the twelve</w:t>
            </w:r>
          </w:p>
        </w:tc>
        <w:tc>
          <w:tcPr>
            <w:tcW w:w="5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6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6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4"/>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months ended December 31, 2016</w:t>
            </w:r>
          </w:p>
        </w:tc>
        <w:tc>
          <w:tcPr>
            <w:tcW w:w="5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comprehensive (loss)</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(47.0)</w:t>
            </w: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w:t>
            </w:r>
          </w:p>
        </w:tc>
        <w:tc>
          <w:tcPr>
            <w:tcW w:w="6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including noncontrolling interest</w:t>
            </w:r>
          </w:p>
        </w:tc>
        <w:tc>
          <w:tcPr>
            <w:tcW w:w="5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79.5</w:t>
            </w: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124.3</w:t>
            </w:r>
          </w:p>
        </w:tc>
        <w:tc>
          <w:tcPr>
            <w:tcW w:w="6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190.4</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w:t>
            </w: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6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World Fuel</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77.9</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126.4</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191.4</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 AND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76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6"/>
                <w:szCs w:val="16"/>
                <w:color w:val="auto"/>
              </w:rPr>
            </w:pPr>
          </w:p>
        </w:tc>
        <w:tc>
          <w:tcPr>
            <w:tcW w:w="800" w:type="dxa"/>
            <w:vAlign w:val="bottom"/>
          </w:tcPr>
          <w:p>
            <w:pPr>
              <w:jc w:val="right"/>
              <w:ind w:right="73"/>
              <w:spacing w:after="0"/>
              <w:rPr>
                <w:sz w:val="20"/>
                <w:szCs w:val="20"/>
                <w:color w:val="auto"/>
              </w:rPr>
            </w:pPr>
            <w:r>
              <w:rPr>
                <w:rFonts w:ascii="Arial" w:cs="Arial" w:eastAsia="Arial" w:hAnsi="Arial"/>
                <w:sz w:val="13"/>
                <w:szCs w:val="13"/>
                <w:b w:val="1"/>
                <w:bCs w:val="1"/>
                <w:color w:val="auto"/>
              </w:rPr>
              <w:t>Capital in</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6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Accumulated Other</w:t>
            </w:r>
          </w:p>
        </w:tc>
        <w:tc>
          <w:tcPr>
            <w:tcW w:w="124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Total World Fuel</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20"/>
        </w:trPr>
        <w:tc>
          <w:tcPr>
            <w:tcW w:w="2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73"/>
              <w:spacing w:after="0" w:line="120" w:lineRule="exact"/>
              <w:rPr>
                <w:sz w:val="20"/>
                <w:szCs w:val="20"/>
                <w:color w:val="auto"/>
              </w:rPr>
            </w:pPr>
            <w:r>
              <w:rPr>
                <w:rFonts w:ascii="Arial" w:cs="Arial" w:eastAsia="Arial" w:hAnsi="Arial"/>
                <w:sz w:val="13"/>
                <w:szCs w:val="13"/>
                <w:b w:val="1"/>
                <w:bCs w:val="1"/>
                <w:color w:val="auto"/>
              </w:rPr>
              <w:t>Excess of</w:t>
            </w:r>
          </w:p>
        </w:tc>
        <w:tc>
          <w:tcPr>
            <w:tcW w:w="220" w:type="dxa"/>
            <w:vAlign w:val="bottom"/>
          </w:tcPr>
          <w:p>
            <w:pPr>
              <w:spacing w:after="0"/>
              <w:rPr>
                <w:sz w:val="10"/>
                <w:szCs w:val="10"/>
                <w:color w:val="auto"/>
              </w:rPr>
            </w:pPr>
          </w:p>
        </w:tc>
        <w:tc>
          <w:tcPr>
            <w:tcW w:w="700" w:type="dxa"/>
            <w:vAlign w:val="bottom"/>
          </w:tcPr>
          <w:p>
            <w:pPr>
              <w:jc w:val="right"/>
              <w:ind w:right="73"/>
              <w:spacing w:after="0" w:line="120" w:lineRule="exact"/>
              <w:rPr>
                <w:sz w:val="20"/>
                <w:szCs w:val="20"/>
                <w:color w:val="auto"/>
              </w:rPr>
            </w:pPr>
            <w:r>
              <w:rPr>
                <w:rFonts w:ascii="Arial" w:cs="Arial" w:eastAsia="Arial" w:hAnsi="Arial"/>
                <w:sz w:val="13"/>
                <w:szCs w:val="13"/>
                <w:b w:val="1"/>
                <w:bCs w:val="1"/>
                <w:color w:val="auto"/>
                <w:w w:val="98"/>
              </w:rPr>
              <w:t>Retained</w:t>
            </w:r>
          </w:p>
        </w:tc>
        <w:tc>
          <w:tcPr>
            <w:tcW w:w="280" w:type="dxa"/>
            <w:vAlign w:val="bottom"/>
          </w:tcPr>
          <w:p>
            <w:pPr>
              <w:spacing w:after="0"/>
              <w:rPr>
                <w:sz w:val="10"/>
                <w:szCs w:val="10"/>
                <w:color w:val="auto"/>
              </w:rPr>
            </w:pPr>
          </w:p>
        </w:tc>
        <w:tc>
          <w:tcPr>
            <w:tcW w:w="1180" w:type="dxa"/>
            <w:vAlign w:val="bottom"/>
          </w:tcPr>
          <w:p>
            <w:pPr>
              <w:jc w:val="right"/>
              <w:ind w:right="73"/>
              <w:spacing w:after="0" w:line="120" w:lineRule="exact"/>
              <w:rPr>
                <w:sz w:val="20"/>
                <w:szCs w:val="20"/>
                <w:color w:val="auto"/>
              </w:rPr>
            </w:pPr>
            <w:r>
              <w:rPr>
                <w:rFonts w:ascii="Arial" w:cs="Arial" w:eastAsia="Arial" w:hAnsi="Arial"/>
                <w:sz w:val="13"/>
                <w:szCs w:val="13"/>
                <w:b w:val="1"/>
                <w:bCs w:val="1"/>
                <w:color w:val="auto"/>
              </w:rPr>
              <w:t>Comprehensive</w:t>
            </w:r>
          </w:p>
        </w:tc>
        <w:tc>
          <w:tcPr>
            <w:tcW w:w="220" w:type="dxa"/>
            <w:vAlign w:val="bottom"/>
          </w:tcPr>
          <w:p>
            <w:pPr>
              <w:spacing w:after="0"/>
              <w:rPr>
                <w:sz w:val="10"/>
                <w:szCs w:val="10"/>
                <w:color w:val="auto"/>
              </w:rPr>
            </w:pPr>
          </w:p>
        </w:tc>
        <w:tc>
          <w:tcPr>
            <w:tcW w:w="1020" w:type="dxa"/>
            <w:vAlign w:val="bottom"/>
          </w:tcPr>
          <w:p>
            <w:pPr>
              <w:jc w:val="right"/>
              <w:ind w:right="73"/>
              <w:spacing w:after="0" w:line="120" w:lineRule="exact"/>
              <w:rPr>
                <w:sz w:val="20"/>
                <w:szCs w:val="20"/>
                <w:color w:val="auto"/>
              </w:rPr>
            </w:pPr>
            <w:r>
              <w:rPr>
                <w:rFonts w:ascii="Arial" w:cs="Arial" w:eastAsia="Arial" w:hAnsi="Arial"/>
                <w:sz w:val="13"/>
                <w:szCs w:val="13"/>
                <w:b w:val="1"/>
                <w:bCs w:val="1"/>
                <w:color w:val="auto"/>
                <w:w w:val="99"/>
              </w:rPr>
              <w:t>Shareholders’</w:t>
            </w:r>
          </w:p>
        </w:tc>
        <w:tc>
          <w:tcPr>
            <w:tcW w:w="240" w:type="dxa"/>
            <w:vAlign w:val="bottom"/>
          </w:tcPr>
          <w:p>
            <w:pPr>
              <w:spacing w:after="0"/>
              <w:rPr>
                <w:sz w:val="10"/>
                <w:szCs w:val="10"/>
                <w:color w:val="auto"/>
              </w:rPr>
            </w:pPr>
          </w:p>
        </w:tc>
        <w:tc>
          <w:tcPr>
            <w:tcW w:w="1100" w:type="dxa"/>
            <w:vAlign w:val="bottom"/>
          </w:tcPr>
          <w:p>
            <w:pPr>
              <w:jc w:val="right"/>
              <w:ind w:right="73"/>
              <w:spacing w:after="0" w:line="120" w:lineRule="exact"/>
              <w:rPr>
                <w:sz w:val="20"/>
                <w:szCs w:val="20"/>
                <w:color w:val="auto"/>
              </w:rPr>
            </w:pPr>
            <w:r>
              <w:rPr>
                <w:rFonts w:ascii="Arial" w:cs="Arial" w:eastAsia="Arial" w:hAnsi="Arial"/>
                <w:sz w:val="13"/>
                <w:szCs w:val="13"/>
                <w:b w:val="1"/>
                <w:bCs w:val="1"/>
                <w:color w:val="auto"/>
              </w:rPr>
              <w:t>Noncontrolling</w:t>
            </w:r>
          </w:p>
        </w:tc>
        <w:tc>
          <w:tcPr>
            <w:tcW w:w="240" w:type="dxa"/>
            <w:vAlign w:val="bottom"/>
          </w:tcPr>
          <w:p>
            <w:pPr>
              <w:spacing w:after="0"/>
              <w:rPr>
                <w:sz w:val="10"/>
                <w:szCs w:val="10"/>
                <w:color w:val="auto"/>
              </w:rPr>
            </w:pPr>
          </w:p>
        </w:tc>
        <w:tc>
          <w:tcPr>
            <w:tcW w:w="620" w:type="dxa"/>
            <w:vAlign w:val="bottom"/>
          </w:tcPr>
          <w:p>
            <w:pPr>
              <w:jc w:val="right"/>
              <w:ind w:right="33"/>
              <w:spacing w:after="0" w:line="120" w:lineRule="exact"/>
              <w:rPr>
                <w:sz w:val="20"/>
                <w:szCs w:val="20"/>
                <w:color w:val="auto"/>
              </w:rPr>
            </w:pPr>
            <w:r>
              <w:rPr>
                <w:rFonts w:ascii="Arial" w:cs="Arial" w:eastAsia="Arial" w:hAnsi="Arial"/>
                <w:sz w:val="13"/>
                <w:szCs w:val="13"/>
                <w:b w:val="1"/>
                <w:bCs w:val="1"/>
                <w:color w:val="auto"/>
              </w:rPr>
              <w:t>Total</w:t>
            </w:r>
          </w:p>
        </w:tc>
      </w:tr>
      <w:tr>
        <w:trPr>
          <w:trHeight w:val="178"/>
        </w:trPr>
        <w:tc>
          <w:tcPr>
            <w:tcW w:w="2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Shares</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Par Value</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6"/>
              </w:rPr>
              <w:t>Earnings</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Loss</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Equity</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Interest Equity</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Equity</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2013</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71.9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495.2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1,198.1</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(28.5)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1,665.5</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5.0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1,670.5</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224.5</w:t>
            </w:r>
          </w:p>
        </w:tc>
        <w:tc>
          <w:tcPr>
            <w:tcW w:w="280" w:type="dxa"/>
            <w:vAlign w:val="bottom"/>
          </w:tcPr>
          <w:p>
            <w:pPr>
              <w:spacing w:after="0"/>
              <w:rPr>
                <w:sz w:val="22"/>
                <w:szCs w:val="22"/>
                <w:color w:val="auto"/>
              </w:rPr>
            </w:pP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color w:val="auto"/>
              </w:rPr>
              <w:t>224.5</w:t>
            </w:r>
          </w:p>
        </w:tc>
        <w:tc>
          <w:tcPr>
            <w:tcW w:w="240" w:type="dxa"/>
            <w:vAlign w:val="bottom"/>
          </w:tcPr>
          <w:p>
            <w:pPr>
              <w:spacing w:after="0"/>
              <w:rPr>
                <w:sz w:val="22"/>
                <w:szCs w:val="22"/>
                <w:color w:val="auto"/>
              </w:rPr>
            </w:pP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22"/>
                <w:szCs w:val="22"/>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221.1</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(10.6)</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(10.6)</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Initial noncontrolling interest upon acquisition</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rPr>
              <w:t>of businesses</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00" w:type="dxa"/>
            <w:vAlign w:val="bottom"/>
          </w:tcPr>
          <w:p>
            <w:pPr>
              <w:jc w:val="right"/>
              <w:ind w:right="73"/>
              <w:spacing w:after="0"/>
              <w:rPr>
                <w:sz w:val="20"/>
                <w:szCs w:val="20"/>
                <w:color w:val="auto"/>
              </w:rPr>
            </w:pPr>
            <w:r>
              <w:rPr>
                <w:rFonts w:ascii="Arial" w:cs="Arial" w:eastAsia="Arial" w:hAnsi="Arial"/>
                <w:sz w:val="14"/>
                <w:szCs w:val="14"/>
                <w:color w:val="auto"/>
              </w:rPr>
              <w:t>19.4</w:t>
            </w:r>
          </w:p>
        </w:tc>
        <w:tc>
          <w:tcPr>
            <w:tcW w:w="240" w:type="dxa"/>
            <w:vAlign w:val="bottom"/>
          </w:tcPr>
          <w:p>
            <w:pPr>
              <w:spacing w:after="0"/>
              <w:rPr>
                <w:sz w:val="14"/>
                <w:szCs w:val="14"/>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19.4</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of noncontrolling interest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(11.6)</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22"/>
                <w:szCs w:val="22"/>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color w:val="auto"/>
              </w:rPr>
              <w:t>15.3</w:t>
            </w:r>
          </w:p>
        </w:tc>
        <w:tc>
          <w:tcPr>
            <w:tcW w:w="240" w:type="dxa"/>
            <w:vAlign w:val="bottom"/>
          </w:tcPr>
          <w:p>
            <w:pPr>
              <w:spacing w:after="0"/>
              <w:rPr>
                <w:sz w:val="22"/>
                <w:szCs w:val="22"/>
                <w:color w:val="auto"/>
              </w:rPr>
            </w:pPr>
          </w:p>
        </w:tc>
        <w:tc>
          <w:tcPr>
            <w:tcW w:w="11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15.3</w:t>
            </w:r>
          </w:p>
        </w:tc>
      </w:tr>
      <w:tr>
        <w:trPr>
          <w:trHeight w:val="182"/>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related to share-</w:t>
            </w: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49"/>
        </w:trPr>
        <w:tc>
          <w:tcPr>
            <w:tcW w:w="28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based payment awards including income tax</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of $1.0 million</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0.5</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9"/>
        </w:trPr>
        <w:tc>
          <w:tcPr>
            <w:tcW w:w="2880" w:type="dxa"/>
            <w:vAlign w:val="bottom"/>
          </w:tcPr>
          <w:p>
            <w:pPr>
              <w:ind w:left="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w w:val="99"/>
              </w:rPr>
              <w:t>taxes related to share-based payment awards</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4"/>
                <w:szCs w:val="14"/>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(5.1)</w:t>
            </w:r>
          </w:p>
        </w:tc>
        <w:tc>
          <w:tcPr>
            <w:tcW w:w="22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(5.1)</w:t>
            </w:r>
          </w:p>
        </w:tc>
        <w:tc>
          <w:tcPr>
            <w:tcW w:w="240" w:type="dxa"/>
            <w:vAlign w:val="bottom"/>
          </w:tcPr>
          <w:p>
            <w:pPr>
              <w:spacing w:after="0"/>
              <w:rPr>
                <w:sz w:val="14"/>
                <w:szCs w:val="14"/>
                <w:color w:val="auto"/>
              </w:rPr>
            </w:pPr>
          </w:p>
        </w:tc>
        <w:tc>
          <w:tcPr>
            <w:tcW w:w="11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comprehensive loss</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(30.8)</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(30.8)</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r>
      <w:tr>
        <w:trPr>
          <w:trHeight w:val="264"/>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December 31, 2014</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72.1</w:t>
            </w: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4"/>
                <w:szCs w:val="14"/>
                <w:color w:val="auto"/>
              </w:rPr>
              <w:t>0.7</w:t>
            </w: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496.4</w:t>
            </w: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1,412.0</w:t>
            </w: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(59.2)</w:t>
            </w: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1,849.9</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9.5</w:t>
            </w:r>
          </w:p>
        </w:tc>
        <w:tc>
          <w:tcPr>
            <w:tcW w:w="2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1,859.4</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174.5</w:t>
            </w:r>
          </w:p>
        </w:tc>
        <w:tc>
          <w:tcPr>
            <w:tcW w:w="280" w:type="dxa"/>
            <w:vAlign w:val="bottom"/>
          </w:tcPr>
          <w:p>
            <w:pPr>
              <w:spacing w:after="0"/>
              <w:rPr>
                <w:sz w:val="22"/>
                <w:szCs w:val="22"/>
                <w:color w:val="auto"/>
              </w:rPr>
            </w:pP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color w:val="auto"/>
              </w:rPr>
              <w:t>174.5</w:t>
            </w:r>
          </w:p>
        </w:tc>
        <w:tc>
          <w:tcPr>
            <w:tcW w:w="240" w:type="dxa"/>
            <w:vAlign w:val="bottom"/>
          </w:tcPr>
          <w:p>
            <w:pPr>
              <w:spacing w:after="0"/>
              <w:rPr>
                <w:sz w:val="22"/>
                <w:szCs w:val="22"/>
                <w:color w:val="auto"/>
              </w:rPr>
            </w:pP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22"/>
                <w:szCs w:val="22"/>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170.5</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(16.8)</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(16.8)</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Investment by noncontrolling interest</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tcPr>
          <w:p>
            <w:pPr>
              <w:jc w:val="right"/>
              <w:ind w:right="73"/>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22"/>
                <w:szCs w:val="22"/>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0.5</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of noncontrolling interest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color w:val="auto"/>
              </w:rPr>
              <w:t>16.9</w:t>
            </w:r>
          </w:p>
        </w:tc>
        <w:tc>
          <w:tcPr>
            <w:tcW w:w="220" w:type="dxa"/>
            <w:vAlign w:val="bottom"/>
          </w:tcPr>
          <w:p>
            <w:pPr>
              <w:spacing w:after="0"/>
              <w:rPr>
                <w:sz w:val="22"/>
                <w:szCs w:val="22"/>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color w:val="auto"/>
              </w:rPr>
              <w:t>16.9</w:t>
            </w:r>
          </w:p>
        </w:tc>
        <w:tc>
          <w:tcPr>
            <w:tcW w:w="240" w:type="dxa"/>
            <w:vAlign w:val="bottom"/>
          </w:tcPr>
          <w:p>
            <w:pPr>
              <w:spacing w:after="0"/>
              <w:rPr>
                <w:sz w:val="22"/>
                <w:szCs w:val="22"/>
                <w:color w:val="auto"/>
              </w:rPr>
            </w:pPr>
          </w:p>
        </w:tc>
        <w:tc>
          <w:tcPr>
            <w:tcW w:w="11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16.9</w:t>
            </w:r>
          </w:p>
        </w:tc>
      </w:tr>
      <w:tr>
        <w:trPr>
          <w:trHeight w:val="182"/>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related to share-</w:t>
            </w: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based payment awards</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9"/>
        </w:trPr>
        <w:tc>
          <w:tcPr>
            <w:tcW w:w="2880" w:type="dxa"/>
            <w:vAlign w:val="bottom"/>
          </w:tcPr>
          <w:p>
            <w:pPr>
              <w:ind w:left="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w w:val="99"/>
              </w:rPr>
              <w:t>taxes related to share-based payment awards</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4"/>
                <w:szCs w:val="14"/>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(7.3)</w:t>
            </w:r>
          </w:p>
        </w:tc>
        <w:tc>
          <w:tcPr>
            <w:tcW w:w="22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(7.3)</w:t>
            </w:r>
          </w:p>
        </w:tc>
        <w:tc>
          <w:tcPr>
            <w:tcW w:w="240" w:type="dxa"/>
            <w:vAlign w:val="bottom"/>
          </w:tcPr>
          <w:p>
            <w:pPr>
              <w:spacing w:after="0"/>
              <w:rPr>
                <w:sz w:val="14"/>
                <w:szCs w:val="14"/>
                <w:color w:val="auto"/>
              </w:rPr>
            </w:pPr>
          </w:p>
        </w:tc>
        <w:tc>
          <w:tcPr>
            <w:tcW w:w="11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(70.5)</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(70.5)</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Other comprehensive (loss) income</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(50.3)</w:t>
            </w:r>
          </w:p>
        </w:tc>
        <w:tc>
          <w:tcPr>
            <w:tcW w:w="22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(50.3)</w:t>
            </w:r>
          </w:p>
        </w:tc>
        <w:tc>
          <w:tcPr>
            <w:tcW w:w="240" w:type="dxa"/>
            <w:vAlign w:val="bottom"/>
          </w:tcPr>
          <w:p>
            <w:pPr>
              <w:spacing w:after="0"/>
              <w:rPr>
                <w:sz w:val="22"/>
                <w:szCs w:val="22"/>
                <w:color w:val="auto"/>
              </w:rPr>
            </w:pPr>
          </w:p>
        </w:tc>
        <w:tc>
          <w:tcPr>
            <w:tcW w:w="1100" w:type="dxa"/>
            <w:vAlign w:val="bottom"/>
          </w:tcPr>
          <w:p>
            <w:pPr>
              <w:jc w:val="right"/>
              <w:ind w:right="73"/>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(46.2)</w:t>
            </w:r>
          </w:p>
        </w:tc>
      </w:tr>
      <w:tr>
        <w:trPr>
          <w:trHeight w:val="271"/>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(0.3)</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(0.4)</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December 31, 2015</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70.8</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0.7</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435.3</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1,569.4</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(109.5)</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1,895.9</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1,905.9</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126.5</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126.5</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126.4</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Cash dividends declared</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(16.6)</w:t>
            </w:r>
          </w:p>
        </w:tc>
        <w:tc>
          <w:tcPr>
            <w:tcW w:w="280" w:type="dxa"/>
            <w:vAlign w:val="bottom"/>
          </w:tcPr>
          <w:p>
            <w:pPr>
              <w:spacing w:after="0"/>
              <w:rPr>
                <w:sz w:val="22"/>
                <w:szCs w:val="22"/>
                <w:color w:val="auto"/>
              </w:rPr>
            </w:pP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(16.6)</w:t>
            </w:r>
          </w:p>
        </w:tc>
        <w:tc>
          <w:tcPr>
            <w:tcW w:w="240" w:type="dxa"/>
            <w:vAlign w:val="bottom"/>
          </w:tcPr>
          <w:p>
            <w:pPr>
              <w:spacing w:after="0"/>
              <w:rPr>
                <w:sz w:val="22"/>
                <w:szCs w:val="22"/>
                <w:color w:val="auto"/>
              </w:rPr>
            </w:pPr>
          </w:p>
        </w:tc>
        <w:tc>
          <w:tcPr>
            <w:tcW w:w="11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of noncontrolling interest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(0.5)</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color w:val="auto"/>
              </w:rPr>
              <w:t>19.7</w:t>
            </w:r>
          </w:p>
        </w:tc>
        <w:tc>
          <w:tcPr>
            <w:tcW w:w="220" w:type="dxa"/>
            <w:vAlign w:val="bottom"/>
          </w:tcPr>
          <w:p>
            <w:pPr>
              <w:spacing w:after="0"/>
              <w:rPr>
                <w:sz w:val="22"/>
                <w:szCs w:val="22"/>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color w:val="auto"/>
              </w:rPr>
              <w:t>19.7</w:t>
            </w:r>
          </w:p>
        </w:tc>
        <w:tc>
          <w:tcPr>
            <w:tcW w:w="240" w:type="dxa"/>
            <w:vAlign w:val="bottom"/>
          </w:tcPr>
          <w:p>
            <w:pPr>
              <w:spacing w:after="0"/>
              <w:rPr>
                <w:sz w:val="22"/>
                <w:szCs w:val="22"/>
                <w:color w:val="auto"/>
              </w:rPr>
            </w:pPr>
          </w:p>
        </w:tc>
        <w:tc>
          <w:tcPr>
            <w:tcW w:w="11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19.7</w:t>
            </w:r>
          </w:p>
        </w:tc>
      </w:tr>
      <w:tr>
        <w:trPr>
          <w:trHeight w:val="182"/>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related to share-</w:t>
            </w: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49"/>
        </w:trPr>
        <w:tc>
          <w:tcPr>
            <w:tcW w:w="28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based payment awards including income tax</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of $1.6 million</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9"/>
        </w:trPr>
        <w:tc>
          <w:tcPr>
            <w:tcW w:w="2880" w:type="dxa"/>
            <w:vAlign w:val="bottom"/>
          </w:tcPr>
          <w:p>
            <w:pPr>
              <w:ind w:left="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w w:val="99"/>
              </w:rPr>
              <w:t>taxes related to share-based payment awards</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4"/>
                <w:szCs w:val="14"/>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14"/>
                <w:szCs w:val="14"/>
                <w:color w:val="auto"/>
              </w:rPr>
            </w:pPr>
          </w:p>
        </w:tc>
        <w:tc>
          <w:tcPr>
            <w:tcW w:w="11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(41.2)</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(41.2)</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Acquisition of remaining 49% equity interest</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(10.9)</w:t>
            </w:r>
          </w:p>
        </w:tc>
        <w:tc>
          <w:tcPr>
            <w:tcW w:w="220" w:type="dxa"/>
            <w:vAlign w:val="bottom"/>
          </w:tcPr>
          <w:p>
            <w:pPr>
              <w:spacing w:after="0"/>
              <w:rPr>
                <w:sz w:val="22"/>
                <w:szCs w:val="22"/>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22"/>
                <w:szCs w:val="22"/>
                <w:color w:val="auto"/>
              </w:rPr>
            </w:pPr>
          </w:p>
        </w:tc>
        <w:tc>
          <w:tcPr>
            <w:tcW w:w="1100" w:type="dxa"/>
            <w:vAlign w:val="bottom"/>
          </w:tcPr>
          <w:p>
            <w:pPr>
              <w:jc w:val="right"/>
              <w:ind w:right="73"/>
              <w:spacing w:after="0"/>
              <w:rPr>
                <w:sz w:val="20"/>
                <w:szCs w:val="20"/>
                <w:color w:val="auto"/>
              </w:rPr>
            </w:pPr>
            <w:r>
              <w:rPr>
                <w:rFonts w:ascii="Arial" w:cs="Arial" w:eastAsia="Arial" w:hAnsi="Arial"/>
                <w:sz w:val="14"/>
                <w:szCs w:val="14"/>
                <w:color w:val="auto"/>
              </w:rPr>
              <w:t>7.2</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(45.4)</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(45.4)</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(0.1)</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r>
      <w:tr>
        <w:trPr>
          <w:trHeight w:val="264"/>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December 31, 2016</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69.9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4"/>
                <w:szCs w:val="14"/>
                <w:color w:val="auto"/>
              </w:rPr>
              <w:t>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399.9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1,679.3</w:t>
            </w:r>
          </w:p>
        </w:tc>
        <w:tc>
          <w:tcPr>
            <w:tcW w:w="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(154.8)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1,925.0</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1,940.0</w:t>
            </w: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5020"/>
        <w:spacing w:after="0" w:line="264" w:lineRule="auto"/>
        <w:rPr>
          <w:sz w:val="20"/>
          <w:szCs w:val="20"/>
          <w:color w:val="auto"/>
        </w:rPr>
      </w:pPr>
      <w:r>
        <w:rPr>
          <w:rFonts w:ascii="Arial" w:cs="Arial" w:eastAsia="Arial" w:hAnsi="Arial"/>
          <w:sz w:val="21"/>
          <w:szCs w:val="21"/>
          <w:b w:val="1"/>
          <w:bCs w:val="1"/>
          <w:color w:val="auto"/>
        </w:rPr>
        <w:t>WORLD FUEL SERVICES CORPORATION AND SUBSIDIARIES 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64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income including noncontrolling interest</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170.5</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221.1</w:t>
            </w:r>
          </w:p>
        </w:tc>
      </w:tr>
      <w:tr>
        <w:trPr>
          <w:trHeight w:val="218"/>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including noncontrolling interest to net cash</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provided by operating activities:</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57.3</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bad debt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Gain on sale of held for sale assets and liabilities</w:t>
            </w: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payment award compensation costs</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Deferred income tax provision (benefit)</w:t>
            </w: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Extinguishment of liabilities, net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Foreign currency (gains), net</w:t>
            </w: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Changes in assets and liabilities, net of acquisitions:</w:t>
            </w: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460.7</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Inventories</w:t>
            </w: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232.3</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Short-term derivative assets, net</w:t>
            </w: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163.7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(265.8)</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Cash collateral with financial counterparties</w:t>
            </w: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133.3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(288.0)</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423.4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(481.5)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(587.8)</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deposits</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267.0</w:t>
            </w:r>
          </w:p>
        </w:tc>
      </w:tr>
      <w:tr>
        <w:trPr>
          <w:trHeight w:val="273"/>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Non-current income tax, net and other long-term liabilities</w:t>
            </w: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adjustments</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276.9</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r>
      <w:tr>
        <w:trPr>
          <w:trHeight w:val="264"/>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5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205.2</w:t>
            </w: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447.5</w:t>
            </w: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141.1</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 of businesses, net of cash acquired and other investments</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Proceeds from sale of business</w:t>
            </w: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Proceeds from the sale of fixed assets</w:t>
            </w: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Escrow payment related to an assumed obligation of an acquired business</w:t>
            </w:r>
          </w:p>
        </w:tc>
        <w:tc>
          <w:tcPr>
            <w:tcW w:w="5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Proceeds from the sale of crude oil joint venture interests</w:t>
            </w:r>
          </w:p>
        </w:tc>
        <w:tc>
          <w:tcPr>
            <w:tcW w:w="5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43.0</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(COLI) investments</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Issuance of Note Receivable</w:t>
            </w: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Repayment of Note Receivable</w:t>
            </w: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50"/>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(428.5)</w:t>
            </w: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w:t>
            </w: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(297.1)</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Borrowings of debt</w:t>
            </w: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4,688.0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4,831.2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5,757.3</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Repayments of debt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(4,752.0)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(5,551.5)</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Payments of senior revolving credit facility and senior term loan facility loan costs</w:t>
            </w: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on common stock</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Investment by noncontrolling interest</w:t>
            </w:r>
          </w:p>
        </w:tc>
        <w:tc>
          <w:tcPr>
            <w:tcW w:w="5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 of noncontrolling interest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Purchases of common stock</w:t>
            </w: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8"/>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and state tax benefits resulting from tax deductions in excess of the</w:t>
            </w: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 cost recognized for share-based payment awards</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18"/>
        </w:trPr>
        <w:tc>
          <w:tcPr>
            <w:tcW w:w="6400" w:type="dxa"/>
            <w:vAlign w:val="bottom"/>
          </w:tcPr>
          <w:p>
            <w:pPr>
              <w:ind w:left="40"/>
              <w:spacing w:after="0"/>
              <w:rPr>
                <w:sz w:val="20"/>
                <w:szCs w:val="20"/>
                <w:color w:val="auto"/>
              </w:rPr>
            </w:pPr>
            <w:r>
              <w:rPr>
                <w:rFonts w:ascii="Arial" w:cs="Arial" w:eastAsia="Arial" w:hAnsi="Arial"/>
                <w:sz w:val="16"/>
                <w:szCs w:val="16"/>
                <w:color w:val="auto"/>
              </w:rPr>
              <w:t>Purchases of common stock tendered by employees to satisfy the required withholding</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8"/>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taxes related to share-based payment awards</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64"/>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5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340.9</w:t>
            </w: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169.5</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64"/>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in cash and cash equivalents</w:t>
            </w:r>
          </w:p>
        </w:tc>
        <w:tc>
          <w:tcPr>
            <w:tcW w:w="5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280.2</w:t>
            </w:r>
          </w:p>
        </w:tc>
        <w:tc>
          <w:tcPr>
            <w:tcW w:w="1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Cash and cash equivalents, as of beginning of period</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582.5</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302.3</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292.1</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as of end of period</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582.5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37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47" w:orient="portrait"/>
          <w:cols w:equalWidth="0" w:num="1">
            <w:col w:w="11400"/>
          </w:cols>
          <w:pgMar w:left="240" w:top="125" w:right="259" w:bottom="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47" w:orient="portrait"/>
          <w:cols w:equalWidth="0" w:num="1">
            <w:col w:w="11400"/>
          </w:cols>
          <w:pgMar w:left="240" w:top="125" w:right="259" w:bottom="0" w:gutter="0" w:footer="0" w:header="0"/>
          <w:type w:val="continuous"/>
        </w:sectPr>
      </w:pPr>
    </w:p>
    <w:bookmarkStart w:id="58" w:name="page59"/>
    <w:bookmarkEnd w:id="58"/>
    <w:p>
      <w:pPr>
        <w:jc w:val="center"/>
        <w:ind w:right="-2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9019"/>
          </w:cols>
          <w:pgMar w:left="1440" w:top="549" w:right="1440"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660"/>
        <w:spacing w:after="0" w:line="264" w:lineRule="auto"/>
        <w:rPr>
          <w:sz w:val="20"/>
          <w:szCs w:val="20"/>
          <w:color w:val="auto"/>
        </w:rPr>
      </w:pPr>
      <w:r>
        <w:rPr>
          <w:rFonts w:ascii="Arial" w:cs="Arial" w:eastAsia="Arial" w:hAnsi="Arial"/>
          <w:sz w:val="21"/>
          <w:szCs w:val="21"/>
          <w:b w:val="1"/>
          <w:bCs w:val="1"/>
          <w:color w:val="auto"/>
        </w:rPr>
        <w:t>WORLD FUEL SERVICES CORPORATION AND SUBSIDIARIES CONSOLIDATED STATEMENTS OF CASH FLOWS – (CONTINUED)</w:t>
      </w:r>
    </w:p>
    <w:p>
      <w:pPr>
        <w:spacing w:after="0"/>
        <w:rPr>
          <w:sz w:val="20"/>
          <w:szCs w:val="20"/>
          <w:color w:val="auto"/>
        </w:rPr>
      </w:pPr>
      <w:r>
        <w:rPr>
          <w:rFonts w:ascii="Arial" w:cs="Arial" w:eastAsia="Arial" w:hAnsi="Arial"/>
          <w:sz w:val="18"/>
          <w:szCs w:val="18"/>
          <w:color w:val="auto"/>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6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r>
      <w:tr>
        <w:trPr>
          <w:trHeight w:val="263"/>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during the year for:</w:t>
            </w: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304"/>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Interest, net of capitalized interest</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40.7</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33.1</w:t>
            </w:r>
          </w:p>
        </w:tc>
        <w:tc>
          <w:tcPr>
            <w:tcW w:w="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29.1</w:t>
            </w:r>
          </w:p>
        </w:tc>
      </w:tr>
      <w:tr>
        <w:trPr>
          <w:trHeight w:val="251"/>
        </w:trPr>
        <w:tc>
          <w:tcPr>
            <w:tcW w:w="6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6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37.5</w:t>
            </w:r>
          </w:p>
        </w:tc>
        <w:tc>
          <w:tcPr>
            <w:tcW w:w="6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44.0</w:t>
            </w:r>
          </w:p>
        </w:tc>
        <w:tc>
          <w:tcPr>
            <w:tcW w:w="7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40.8</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but not yet paid, were $4.1 million and $4.2 million as of December 31, 2016 and December 31, 2015.</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had accrued capital expenditures totaling $0.4 million and $0.8 million as of December 31, 2016 and December 31, 2015, respectively, which were recorded in accounts payable.</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the acquisition of the remaining 49% of the outstanding equity interest of Tobras Distribuidora de Combustiveis Limitada (“Tobras”) from the minority owners, the Company completed a $17.7 million non-cash settlement related to two promissory notes outstanding between the Company and Tobras which were offset and settled.</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proceeds from the sale of fixed assets for the year ended December 31, 2016 and December 31, 2015 were both in connection with a sale-leaseback arrangement.</w:t>
      </w:r>
    </w:p>
    <w:p>
      <w:pPr>
        <w:spacing w:after="0" w:line="1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November 2014, we utilized £8.8 million ($13.8 million) of the £ 13.0 million ($21.7 million) escrow account balance for payment of assumed pension exit obligations. During 2015, we utilized an additional £0.8 million ($1.1 million) of the escrow account balance for payment of assumed pension exit obligations and remitted the remaining escrow account balance to the sellers.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our acquisitions for the years presented, the following table presents the assets acquired, net of cash and liabilities assumed: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63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r>
      <w:tr>
        <w:trPr>
          <w:trHeight w:val="263"/>
        </w:trPr>
        <w:tc>
          <w:tcPr>
            <w:tcW w:w="6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Assets acquired, net of cash</w:t>
            </w: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508.8</w:t>
            </w:r>
          </w:p>
        </w:tc>
        <w:tc>
          <w:tcPr>
            <w:tcW w:w="6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154.3</w:t>
            </w:r>
          </w:p>
        </w:tc>
        <w:tc>
          <w:tcPr>
            <w:tcW w:w="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611.0</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Liabilities assumed</w:t>
            </w: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64.5</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61.8</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314.8</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380"/>
        <w:spacing w:after="0" w:line="274" w:lineRule="auto"/>
        <w:rPr>
          <w:sz w:val="20"/>
          <w:szCs w:val="20"/>
          <w:color w:val="auto"/>
        </w:rPr>
      </w:pPr>
      <w:r>
        <w:rPr>
          <w:rFonts w:ascii="Arial" w:cs="Arial" w:eastAsia="Arial" w:hAnsi="Arial"/>
          <w:sz w:val="22"/>
          <w:szCs w:val="22"/>
          <w:b w:val="1"/>
          <w:bCs w:val="1"/>
          <w:color w:val="auto"/>
        </w:rPr>
        <w:t>WORLD FUEL SERVICES CORPORATION AND SUBSIDIARIES NOTES TO THE CONSOLIDATED FINANCIAL STATEMENTS</w:t>
      </w:r>
    </w:p>
    <w:p>
      <w:pPr>
        <w:spacing w:after="0" w:line="148" w:lineRule="exact"/>
        <w:rPr>
          <w:sz w:val="20"/>
          <w:szCs w:val="20"/>
          <w:color w:val="auto"/>
        </w:rPr>
      </w:pPr>
    </w:p>
    <w:p>
      <w:pPr>
        <w:ind w:right="6260" w:firstLine="8"/>
        <w:spacing w:after="0" w:line="513" w:lineRule="auto"/>
        <w:tabs>
          <w:tab w:leader="none" w:pos="2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A. Basis of Presentation</w:t>
      </w:r>
    </w:p>
    <w:p>
      <w:pPr>
        <w:spacing w:after="0" w:line="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consolidated financial statements and related notes include our parent company and all wholly</w:t>
      </w:r>
      <w:r>
        <w:rPr>
          <w:rFonts w:ascii="MS PGothic" w:cs="MS PGothic" w:eastAsia="MS PGothic" w:hAnsi="MS PGothic"/>
          <w:sz w:val="18"/>
          <w:szCs w:val="18"/>
          <w:color w:val="auto"/>
        </w:rPr>
        <w:t>‑</w:t>
      </w:r>
      <w:r>
        <w:rPr>
          <w:rFonts w:ascii="Arial" w:cs="Arial" w:eastAsia="Arial" w:hAnsi="Arial"/>
          <w:sz w:val="18"/>
          <w:szCs w:val="18"/>
          <w:color w:val="auto"/>
        </w:rPr>
        <w:t>owned and majority</w:t>
      </w:r>
      <w:r>
        <w:rPr>
          <w:rFonts w:ascii="MS PGothic" w:cs="MS PGothic" w:eastAsia="MS PGothic" w:hAnsi="MS PGothic"/>
          <w:sz w:val="18"/>
          <w:szCs w:val="18"/>
          <w:color w:val="auto"/>
        </w:rPr>
        <w:t>‑</w:t>
      </w:r>
      <w:r>
        <w:rPr>
          <w:rFonts w:ascii="Arial" w:cs="Arial" w:eastAsia="Arial" w:hAnsi="Arial"/>
          <w:sz w:val="18"/>
          <w:szCs w:val="18"/>
          <w:color w:val="auto"/>
        </w:rPr>
        <w:t>owned subsidiaries and joint ventures where we exercise control. The decision of whether or not to consolidate an entity requires consideration of majority voting interests, as well as effective economic or other control over the entity. The consolidated financial statements are prepared in accordance with accounting principles generally accepted in the United States of America ("U.S. GAAP"). Our fiscal year-end is as of and for the year ended December 31 for each year presented. All significant transactions among our businesses have been eliminated.</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consolidated financial statements include the operations of an acquired business after the completion of the acquisition. We account for acquired businesses using the acquisition method of accounting, which requires, among other things, that most assets acquired and liabilities assumed be recognized at their estimated fair values as of the acquisition date. Contingent consideration in a business combination is included as part of the acquisition cost and is recognized at fair value as of the acquisition date. Amounts recorded in connection with an acquisition can result from a complex series of judgments about future events and uncertainties and can rely heavily on estimates and assumptions.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liability resulting from contingent consideration is remeasured to fair value at each reporting date until the contingency is resolved. These changes in fair value are recognized in earnings in Other income, net. Transaction costs are expensed as incurred. Any excess of the consideration transferred over the assigned values of the net assets acquired is recorded as goodwill. When we acquire net assets that do not constitute a business, as defined in U.S. GAAP, no goodwill is recognized.</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fourth quarter of 2016, we acquired certain assets from ExxonMobil in Canada, United Kingdom ("U.K.") and France. Commencing from the respective acquisition dates, our consolidated financial statements reflect the assets, liabilities, operating results and cash flows of these assets. The commercial operations acquired are included within our aviation segment.</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 2016, we acquired PAPCO, Inc. ("PAPCO") and Associated Petroleum Products, Inc ("APP"). Commencing from the acquisition date, our financial statements reflect the assets, liabilities, operating results and cash flows of PAPCO and APP. The commercial operations of PAPCO and APP are included within our land segment.</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23, 2016 , we acquired the remaining 49% of the outstanding equity interest of Tobras Distribuidora de Combustiveis Limitada ("Tobras") from our joint venture partner. Prior to the acquisition, we owned 51% of the outstanding shares of Tobras and exercised control, and as such, we consolidated Tobras in our financial statements and recognized comprehensive income/(loss) attributable to non-controlling interest.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1, 2015 we acquired Pester Marketing Company ("Pester"). On May 1, 2016, we completed the sale of Pester's retail business for $32.3 million, resulting in a gain of $3.8 million, which is included in other income, net in the consolidated statement of income and comprehensive income.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pertaining to our acquisitions, refer to Note 3.</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amounts in the consolidated financial statements and associated notes may not add due to rounding. All percentages have been calculated using unrounded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New Accounting Standards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Accounting Standards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Business Combinations (Topic 805): Simplifying the Accounting for Measurement - Period Adjustments</w:t>
      </w:r>
      <w:r>
        <w:rPr>
          <w:rFonts w:ascii="Arial" w:cs="Arial" w:eastAsia="Arial" w:hAnsi="Arial"/>
          <w:sz w:val="18"/>
          <w:szCs w:val="18"/>
          <w:color w:val="auto"/>
        </w:rPr>
        <w:t>. In September 2015,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Board issued Accounting Standards Update (“ASU”) 2015-16 to simplify the accounting for adjustments made to provisional amounts recognized in a business combination; the amendments eliminate the requirement to retrospectively account for those adjustments. The ASU requires that an acquirer recognize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adjustments to provisional amounts that are identified during the measurement period in the reporting period in which the adjustment amounts are determined. It also requires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This update became effective at the beginning of our 2016 fiscal year. The adoption of this ASU did not have a significant impact on our consolidated financial statements and disclosures.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Interest: Imputation of Interest (Subtopic 835-30) - Simplifying the Presentation of Debt Issuance Costs. </w:t>
      </w:r>
      <w:r>
        <w:rPr>
          <w:rFonts w:ascii="Arial" w:cs="Arial" w:eastAsia="Arial" w:hAnsi="Arial"/>
          <w:sz w:val="18"/>
          <w:szCs w:val="18"/>
          <w:color w:val="auto"/>
        </w:rPr>
        <w:t>In April 2015, ASU 2015-03 was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 that debt issuance costs related to a recognized debt liability, is presented in the balance sheet as a direct deduction from the carrying amount of that debt liability, consistent with debt discounts. The recognition and measurement guidance for debt issuance costs are not affected by the amendments in this ASU. This update became effective at the beginning of our 2016 fiscal year. The adoption of this ASU did not have a significant impact on our consolidated financial statements and disclosures.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Consolidation (Topic 810): Amendments to the Consolidation Analysis</w:t>
      </w:r>
      <w:r>
        <w:rPr>
          <w:rFonts w:ascii="Arial" w:cs="Arial" w:eastAsia="Arial" w:hAnsi="Arial"/>
          <w:sz w:val="18"/>
          <w:szCs w:val="18"/>
          <w:color w:val="auto"/>
        </w:rPr>
        <w:t>. In February 2015, ASU 2015-02 was issued and is intended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targeted areas of consolidation guidance for legal entities such as limited partnerships, limited liability corporations, and securitization structures. This update became effective at the beginning of our 2016 fiscal year. The adoption of this ASU did not have a significant impact on our consolidated financial statements and disclosures.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Income Statement - Extraordinary and Unusual Items (Subtopic 225-20): Simplifying Income Statement Presentation by Eliminating the Concept of Extraordinary Items</w:t>
      </w:r>
      <w:r>
        <w:rPr>
          <w:rFonts w:ascii="Arial" w:cs="Arial" w:eastAsia="Arial" w:hAnsi="Arial"/>
          <w:sz w:val="18"/>
          <w:szCs w:val="18"/>
          <w:color w:val="auto"/>
        </w:rPr>
        <w:t>. In January 2015, ASU 2015-01 was issued, which eliminates the concept of extraordinary items. This update</w:t>
      </w:r>
      <w:r>
        <w:rPr>
          <w:rFonts w:ascii="Arial" w:cs="Arial" w:eastAsia="Arial" w:hAnsi="Arial"/>
          <w:sz w:val="18"/>
          <w:szCs w:val="18"/>
          <w:i w:val="1"/>
          <w:iCs w:val="1"/>
          <w:color w:val="auto"/>
        </w:rPr>
        <w:t xml:space="preserve"> </w:t>
      </w:r>
      <w:r>
        <w:rPr>
          <w:rFonts w:ascii="Arial" w:cs="Arial" w:eastAsia="Arial" w:hAnsi="Arial"/>
          <w:sz w:val="18"/>
          <w:szCs w:val="18"/>
          <w:color w:val="auto"/>
        </w:rPr>
        <w:t>became effective at the beginning of our 2016 fiscal year. The adoption of this ASU did not have a significant impact on our consolidated financial statements and disclosures.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Derivatives and Hedging (Topic 815): Determining Whether the Host Contract in a Hybrid Financial Instrument Issued in the Form of a Share Is More Akin to Debt or to Equity</w:t>
      </w:r>
      <w:r>
        <w:rPr>
          <w:rFonts w:ascii="Arial" w:cs="Arial" w:eastAsia="Arial" w:hAnsi="Arial"/>
          <w:sz w:val="18"/>
          <w:szCs w:val="18"/>
          <w:color w:val="auto"/>
        </w:rPr>
        <w:t>. In November 2014, ASU 2014-16 was issued which clarifies how current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in the United States should be interpreted in evaluating the economic characteristics and risks of a host contract in a hybrid financial instrument that is issued in the form of a share. This update became effective at the beginning of our 2016 fiscal year. The adoption of this ASU did not have a significant impact on our consolidated financial statements and disclosures.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Compensation (Topic 718): Stock Compensation - Accounting for Share-Based Payments when the Terms of an Award Provide that a Performance Target could be achieved after the Requisite Service Period</w:t>
      </w:r>
      <w:r>
        <w:rPr>
          <w:rFonts w:ascii="Arial" w:cs="Arial" w:eastAsia="Arial" w:hAnsi="Arial"/>
          <w:sz w:val="18"/>
          <w:szCs w:val="18"/>
          <w:color w:val="auto"/>
        </w:rPr>
        <w:t>. In June 2014, ASU 2014-12 was issued which includes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requires a performance target that affects vesting and that could be achieved after the requisite service period to be treated as a performance condition. This update became effective at the beginning of our 2016 fiscal year. The adoption of this ASU did not have a significant impact on our consolidated financial statements and disclosures. In addition, in March 2016, ASU 2016-09 - </w:t>
      </w:r>
      <w:r>
        <w:rPr>
          <w:rFonts w:ascii="Arial" w:cs="Arial" w:eastAsia="Arial" w:hAnsi="Arial"/>
          <w:sz w:val="18"/>
          <w:szCs w:val="18"/>
          <w:i w:val="1"/>
          <w:iCs w:val="1"/>
          <w:color w:val="auto"/>
        </w:rPr>
        <w:t>Stock 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Employee Share-Based Payment Accounting </w:t>
      </w:r>
      <w:r>
        <w:rPr>
          <w:rFonts w:ascii="Arial" w:cs="Arial" w:eastAsia="Arial" w:hAnsi="Arial"/>
          <w:sz w:val="18"/>
          <w:szCs w:val="18"/>
          <w:color w:val="auto"/>
        </w:rPr>
        <w:t>was issued. This ASU is intended to improve the accounting for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share-based payments. Several aspects of the accounting for share-based payment award transactions are simplified, including: </w:t>
      </w:r>
      <w:r>
        <w:rPr>
          <w:rFonts w:ascii="Arial" w:cs="Arial" w:eastAsia="Arial" w:hAnsi="Arial"/>
          <w:sz w:val="18"/>
          <w:szCs w:val="18"/>
          <w:i w:val="1"/>
          <w:iCs w:val="1"/>
          <w:color w:val="auto"/>
        </w:rPr>
        <w:t>(a)</w:t>
      </w:r>
      <w:r>
        <w:rPr>
          <w:rFonts w:ascii="Arial" w:cs="Arial" w:eastAsia="Arial" w:hAnsi="Arial"/>
          <w:sz w:val="18"/>
          <w:szCs w:val="18"/>
          <w:color w:val="auto"/>
        </w:rPr>
        <w:t xml:space="preserve"> income tax consequences; </w:t>
      </w:r>
      <w:r>
        <w:rPr>
          <w:rFonts w:ascii="Arial" w:cs="Arial" w:eastAsia="Arial" w:hAnsi="Arial"/>
          <w:sz w:val="18"/>
          <w:szCs w:val="18"/>
          <w:i w:val="1"/>
          <w:iCs w:val="1"/>
          <w:color w:val="auto"/>
        </w:rPr>
        <w:t>(b)</w:t>
      </w:r>
      <w:r>
        <w:rPr>
          <w:rFonts w:ascii="Arial" w:cs="Arial" w:eastAsia="Arial" w:hAnsi="Arial"/>
          <w:sz w:val="18"/>
          <w:szCs w:val="18"/>
          <w:color w:val="auto"/>
        </w:rPr>
        <w:t xml:space="preserve"> classification of awards as either equity or liabilities; and </w:t>
      </w:r>
      <w:r>
        <w:rPr>
          <w:rFonts w:ascii="Arial" w:cs="Arial" w:eastAsia="Arial" w:hAnsi="Arial"/>
          <w:sz w:val="18"/>
          <w:szCs w:val="18"/>
          <w:i w:val="1"/>
          <w:iCs w:val="1"/>
          <w:color w:val="auto"/>
        </w:rPr>
        <w:t>(c)</w:t>
      </w:r>
      <w:r>
        <w:rPr>
          <w:rFonts w:ascii="Arial" w:cs="Arial" w:eastAsia="Arial" w:hAnsi="Arial"/>
          <w:sz w:val="18"/>
          <w:szCs w:val="18"/>
          <w:color w:val="auto"/>
        </w:rPr>
        <w:t xml:space="preserve"> classification on the statement of cash flows. The update is effective at the beginning of our 2017 fiscal year. We have elected to early adopt this ASU and the adoption did not have a significant impact on our financial statement and disclosures.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Presentation of Financial Statements - Going Concern (Subtopic 25-40): - Disclosure of Uncertainties about an Entity’s Ability to continue as a Going Concern</w:t>
      </w:r>
      <w:r>
        <w:rPr>
          <w:rFonts w:ascii="Arial" w:cs="Arial" w:eastAsia="Arial" w:hAnsi="Arial"/>
          <w:sz w:val="18"/>
          <w:szCs w:val="18"/>
          <w:color w:val="auto"/>
        </w:rPr>
        <w:t>. In August 2014, the FASB issued ASU 2014-15, requiring management to evaluate whether there is substantial doubt about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ability to continue as a going concern. This update is effective for the annual period ending after December 15, 2016, and for annual and interim periods thereafter. We have adopted this ASU and the adoption did not have a significant impact on our financial statement and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20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In January 2017, the Financial Accounting Standards Board (“FASB”) issued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Update (“ASU”) 2017-04. The update simplifies the subsequent measurement of goodwill by eliminating Step 2 from the goodwill impairment test. Under the amendment an entity should recognize an impairment charge for the amount by which the carrying amount exceeds the reporting unit’s fair value; however, the loss recognized should not exceed the total amount of goodwill allocated to that reporting unit. This standard is effective at the beginning of our 2020 fiscal year. We are currently evaluating whether the adoption of this new guidance will have a significant impact on our consolidated financial statements and related disclosures.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Business Combinations (Topic 805): Clarifying the Definition of a Business. </w:t>
      </w:r>
      <w:r>
        <w:rPr>
          <w:rFonts w:ascii="Arial" w:cs="Arial" w:eastAsia="Arial" w:hAnsi="Arial"/>
          <w:sz w:val="18"/>
          <w:szCs w:val="18"/>
          <w:color w:val="auto"/>
        </w:rPr>
        <w:t>In January 2017, ASU 2017-01 was issued.</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update clarifies the definition of a business with the objective of adding guidance to assist entities with evaluating whether transactions should be accounted for as acquisitions (or disposals) of businesses. This standard is effective at the beginning of our 2018 fiscal year. We are currently evaluating whether the adoption of this new guidance will have a significant impact on our consolidated financial statements and related disclosures.</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Cash Flows: Statement of Cash Flows (Topic 230) - Restricted Cash. </w:t>
      </w:r>
      <w:r>
        <w:rPr>
          <w:rFonts w:ascii="Arial" w:cs="Arial" w:eastAsia="Arial" w:hAnsi="Arial"/>
          <w:sz w:val="18"/>
          <w:szCs w:val="18"/>
          <w:color w:val="auto"/>
        </w:rPr>
        <w:t>In November 2016, ASU 2016-18 was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The update requires that a</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cash flows explains the change during the period in the total of cash, cash equivalents, and amounts generally described as restricted cash or restricted cash equivalents. This standard is effective at the beginning of our 2018 fiscal year. We are currently evaluating whether the adoption of this new guidance will have a significant impact on our consolidated financial statements and related disclosures.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In October 2016, ASU 2016-16 was issued. The update</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the recognition of current and deferred income taxes for an intra-entity asset transfer until the asset has been sold to an outside party. This standard is effective at the beginning of our 2018 fiscal year. We are currently evaluating whether the adoption of this new guidance will have a significant impact on our consolidated financial statements and related disclosures.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Cash Flows</w:t>
      </w:r>
      <w:r>
        <w:rPr>
          <w:rFonts w:ascii="Arial" w:cs="Arial" w:eastAsia="Arial" w:hAnsi="Arial"/>
          <w:sz w:val="18"/>
          <w:szCs w:val="18"/>
          <w:color w:val="auto"/>
        </w:rPr>
        <w:t>:</w:t>
      </w:r>
      <w:r>
        <w:rPr>
          <w:rFonts w:ascii="Arial" w:cs="Arial" w:eastAsia="Arial" w:hAnsi="Arial"/>
          <w:sz w:val="18"/>
          <w:szCs w:val="18"/>
          <w:i w:val="1"/>
          <w:iCs w:val="1"/>
          <w:color w:val="auto"/>
        </w:rPr>
        <w:t xml:space="preserve"> Statement of Cash Flows (Topic 230) - Classification of Certain Cash Receipts and Cash Payments</w:t>
      </w:r>
      <w:r>
        <w:rPr>
          <w:rFonts w:ascii="Arial" w:cs="Arial" w:eastAsia="Arial" w:hAnsi="Arial"/>
          <w:sz w:val="18"/>
          <w:szCs w:val="18"/>
          <w:color w:val="auto"/>
        </w:rPr>
        <w:t>. In August 2016 ASU 2016-15</w:t>
      </w:r>
      <w:r>
        <w:rPr>
          <w:rFonts w:ascii="Arial" w:cs="Arial" w:eastAsia="Arial" w:hAnsi="Arial"/>
          <w:sz w:val="18"/>
          <w:szCs w:val="18"/>
          <w:i w:val="1"/>
          <w:iCs w:val="1"/>
          <w:color w:val="auto"/>
        </w:rPr>
        <w:t xml:space="preserve"> </w:t>
      </w:r>
      <w:r>
        <w:rPr>
          <w:rFonts w:ascii="Arial" w:cs="Arial" w:eastAsia="Arial" w:hAnsi="Arial"/>
          <w:sz w:val="18"/>
          <w:szCs w:val="18"/>
          <w:color w:val="auto"/>
        </w:rPr>
        <w:t>was issued. The ASU provides guidance on classification of eight specific cash flows items. This standard is effective at the beginning of our 2018 fiscal year. We are currently evaluating whether the adoption of this new guidance will have a significant impact on our consolidated financial statements and related disclosures.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Derivatives and Hedging (Topic 815): Contingent Put and Call Options in Debt Instruments</w:t>
      </w:r>
      <w:r>
        <w:rPr>
          <w:rFonts w:ascii="Arial" w:cs="Arial" w:eastAsia="Arial" w:hAnsi="Arial"/>
          <w:sz w:val="18"/>
          <w:szCs w:val="18"/>
          <w:color w:val="auto"/>
        </w:rPr>
        <w:t>. In March 2016, ASU 2016-06 was issued. ASU</w:t>
      </w:r>
      <w:r>
        <w:rPr>
          <w:rFonts w:ascii="Arial" w:cs="Arial" w:eastAsia="Arial" w:hAnsi="Arial"/>
          <w:sz w:val="18"/>
          <w:szCs w:val="18"/>
          <w:i w:val="1"/>
          <w:iCs w:val="1"/>
          <w:color w:val="auto"/>
        </w:rPr>
        <w:t xml:space="preserve"> </w:t>
      </w:r>
      <w:r>
        <w:rPr>
          <w:rFonts w:ascii="Arial" w:cs="Arial" w:eastAsia="Arial" w:hAnsi="Arial"/>
          <w:sz w:val="18"/>
          <w:szCs w:val="18"/>
          <w:color w:val="auto"/>
        </w:rPr>
        <w:t>2016-06 clarifies the steps required to determine bifurcation of an embedded derivative. The update is effective at the beginning of our 2017 fiscal year. We do not believe the adoption of this new guidance will have an impact on our financial statement disclosures.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Derivatives and Hedging (Topic 815): Effect of Derivative Contract Novations on Existing Hedge Accounting Relationships</w:t>
      </w:r>
      <w:r>
        <w:rPr>
          <w:rFonts w:ascii="Arial" w:cs="Arial" w:eastAsia="Arial" w:hAnsi="Arial"/>
          <w:sz w:val="18"/>
          <w:szCs w:val="18"/>
          <w:color w:val="auto"/>
        </w:rPr>
        <w:t>. In March 2016,</w:t>
      </w:r>
      <w:r>
        <w:rPr>
          <w:rFonts w:ascii="Arial" w:cs="Arial" w:eastAsia="Arial" w:hAnsi="Arial"/>
          <w:sz w:val="18"/>
          <w:szCs w:val="18"/>
          <w:i w:val="1"/>
          <w:iCs w:val="1"/>
          <w:color w:val="auto"/>
        </w:rPr>
        <w:t xml:space="preserve"> </w:t>
      </w:r>
      <w:r>
        <w:rPr>
          <w:rFonts w:ascii="Arial" w:cs="Arial" w:eastAsia="Arial" w:hAnsi="Arial"/>
          <w:sz w:val="18"/>
          <w:szCs w:val="18"/>
          <w:color w:val="auto"/>
        </w:rPr>
        <w:t>ASU 2016-05 was issued which clarifies the change in the counterparty to a derivative instrument that has been designated as a hedging instrument does not, in and of itself, require de-designation of that hedging relationship provided that all other hedge accounting criteria continue to be met. The update is effective at the beginning of our 2017 fiscal year. We do not believe the adoption of this new guidance will have an impact on our financial statement disclosures.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Leases (Topic 842). </w:t>
      </w:r>
      <w:r>
        <w:rPr>
          <w:rFonts w:ascii="Arial" w:cs="Arial" w:eastAsia="Arial" w:hAnsi="Arial"/>
          <w:sz w:val="18"/>
          <w:szCs w:val="18"/>
          <w:color w:val="auto"/>
        </w:rPr>
        <w:t>In February 2016, ASU 2016-02, Leases, was issued. This standard will require all lessees to recognize a right of use</w:t>
      </w:r>
      <w:r>
        <w:rPr>
          <w:rFonts w:ascii="Arial" w:cs="Arial" w:eastAsia="Arial" w:hAnsi="Arial"/>
          <w:sz w:val="18"/>
          <w:szCs w:val="18"/>
          <w:i w:val="1"/>
          <w:iCs w:val="1"/>
          <w:color w:val="auto"/>
        </w:rPr>
        <w:t xml:space="preserve"> </w:t>
      </w:r>
      <w:r>
        <w:rPr>
          <w:rFonts w:ascii="Arial" w:cs="Arial" w:eastAsia="Arial" w:hAnsi="Arial"/>
          <w:sz w:val="18"/>
          <w:szCs w:val="18"/>
          <w:color w:val="auto"/>
        </w:rPr>
        <w:t>asset and a lease liability on the balance sheet, except for leases with durations that are less than twelve months. This standard is effective at the beginning of our 2018 fiscal year. We are currently evaluating whether the adoption of this new guidance will have a significant impact on our consolidated financial statements and related disclosures.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Financial Instruments - Overall (Subtopic 825-10): Recognition and Measurement of Financial Assets and Financial Liabilities. </w:t>
      </w:r>
      <w:r>
        <w:rPr>
          <w:rFonts w:ascii="Arial" w:cs="Arial" w:eastAsia="Arial" w:hAnsi="Arial"/>
          <w:sz w:val="18"/>
          <w:szCs w:val="18"/>
          <w:color w:val="auto"/>
        </w:rPr>
        <w:t>In January 2016,</w:t>
      </w:r>
      <w:r>
        <w:rPr>
          <w:rFonts w:ascii="Arial" w:cs="Arial" w:eastAsia="Arial" w:hAnsi="Arial"/>
          <w:sz w:val="18"/>
          <w:szCs w:val="18"/>
          <w:i w:val="1"/>
          <w:iCs w:val="1"/>
          <w:color w:val="auto"/>
        </w:rPr>
        <w:t xml:space="preserve"> </w:t>
      </w:r>
      <w:r>
        <w:rPr>
          <w:rFonts w:ascii="Arial" w:cs="Arial" w:eastAsia="Arial" w:hAnsi="Arial"/>
          <w:sz w:val="18"/>
          <w:szCs w:val="18"/>
          <w:color w:val="auto"/>
        </w:rPr>
        <w:t>ASU 2016-01 was issued to address certain aspects of recognition, measurement, presentation, and disclosure of financial instruments. The ASU supersedes the guidance to classify equity securities with readily determinable fair values into different categories, and requires equity securities (except those that are accounted for under the equity method or those that result in consolidation of the investee) to be measured at fair value with changes in the fair value recognized through net income. It also simplifies the impairment assessment of equity investments without readily determinable fair values by requiring assessment for impairment qualitatively at each reporting period. This update is effective at the beginning of our 2018 fiscal year. We are currently evaluating whether the adoption of this new guidance will have a significant impact on our consolidated financial statements and disclosures.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Inventory (Topic 330): Simplifying the Measurement of Inventory. </w:t>
      </w:r>
      <w:r>
        <w:rPr>
          <w:rFonts w:ascii="Arial" w:cs="Arial" w:eastAsia="Arial" w:hAnsi="Arial"/>
          <w:sz w:val="18"/>
          <w:szCs w:val="18"/>
          <w:color w:val="auto"/>
        </w:rPr>
        <w:t>In July 2015, the FASB issued ASU 2015-11, which simplifies the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inventory. The updated guidance requires that Inventory measured using any method other than LIFO or the retail inventory method (for example, inventory measured using first-in, first-out (FIFO) or average cost) be measured at the lower of cost and net realizable value. This standard is effective at the beginning of our 2017 fiscal year. We do not believe the adoption of this new guidance will have a significant impact on our consolidated financial statements and related disclosures.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 Recognition (Topic 606): Revenue from Contracts with Customers. </w:t>
      </w:r>
      <w:r>
        <w:rPr>
          <w:rFonts w:ascii="Arial" w:cs="Arial" w:eastAsia="Arial" w:hAnsi="Arial"/>
          <w:sz w:val="18"/>
          <w:szCs w:val="18"/>
          <w:color w:val="auto"/>
        </w:rPr>
        <w:t>In May 2014, ASU 2014-09 was issued. Under this ASU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issued amendments, an entity is required to recognize the amount of revenue it expects to be entitled to for the transfer of promised goods or services to customers. The updated standard will replace most existing revenue recognition guidance in U.S. GAAP. This ASU provides alternative methods of transition, a full retrospective and a modified restrospective approach. The modified retrospective approach would result in recognition of the cumulative impact of a retrospective application as of the beginning of the period of initial application, which in our case is the interim period beginning January 1, 2018.</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preparation for adoption of the standard, we developed a cross-functional team and engaged a third-party service provider to assist us throughout our evaluation. In addition, we have factored the adoption into our ongoing ERP platform upgrade, which we previously committed to perform, as our system readiness is a key element towards the determination of the adoption approach we adopt. We continue to perform our assessment, and while those activities are not complete, we expect to identify similar performance obligations under ASC 606 as compared to those previously identified.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Estimates and Assumptions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and Cash Equivalents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cash equivalents consist principally of overnight investments, bank money market accounts and bank time deposits which have an original maturity date of less than 90 days. These securities are carried at cost, which approximates market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Accounts Receivable and Allowance for Bad Debt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Credit extension, monitoring and collection are performed for each of our business segments. Each segment has a credit committee that is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creditworthiness, as determined by our review of our customer’s credit information. We extend credit on an unsecured basis to most of our customers. Accounts receivable are deemed past due based on contractual terms agreed to with our customers. Although we analyze customers’ payment history and creditworthiness, we cannot predict with certainty that the customers to whom we extend credit will be able to remit payments on a timely basis, or at all. Because we extend credit on an unsecured basis to most of our customers, there is a possibility that any accounts receivable not collected will ultimately need to be written off. Write-offs for the year ended December 31, 2016 did not have a significant impact on our consolidated statement of operations.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continuously monitor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Historical payment trends may not, however, be an accurate indicator of current or future credit worthiness of our customers, particularly in difficult economic and financial markets. As a result of the limited predictability inherent in estimating which customers are less likely or unlikely to remit amounts owed to us, our provision for estimated credit losses may not be sufficient. Any write-off of accounts receivable in excess of our provision for estimated credit losses would have an adverse effect on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Inventories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Inventories are valued primarily using average cost, and first-in first-out in certain limited locations, and are stated at the lower of average cost or market. We utilize a variety of fuel indices and other indicators of market value. Sharp negative changes in these indices can result in reduction of our inventory valuation, which could have an adverse impact on our results of operations in the period in which we take the adjustment. Historically these adjustments have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not had a significant impact on our consolidated statements of operations. Components of inventory include fuel purchase costs, the related transportation costs and changes in the estimated fair market values for inventories included in a fair value hedge relationship.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Business Combinations</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accounts for business combinations using the acquisition method of accounting, under which the purchase price of the acquisition is allocated to the assets acquired and liabilities assumed using the fair values determined by management as of the acquisition date. Contingent consideration obligations that are elements of the consideration transferred are recognized as of the acquisition date as part of the fair value transferred in exchange for the acquired business. Acquisition-related costs incurred in connection with a business combination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 of Financial Instruments</w:t>
      </w:r>
    </w:p>
    <w:p>
      <w:pPr>
        <w:spacing w:after="0" w:line="247" w:lineRule="exact"/>
        <w:rPr>
          <w:sz w:val="20"/>
          <w:szCs w:val="20"/>
          <w:color w:val="auto"/>
        </w:rPr>
      </w:pPr>
    </w:p>
    <w:p>
      <w:pPr>
        <w:ind w:right="880"/>
        <w:spacing w:after="0" w:line="256" w:lineRule="auto"/>
        <w:rPr>
          <w:sz w:val="20"/>
          <w:szCs w:val="20"/>
          <w:color w:val="auto"/>
        </w:rPr>
      </w:pPr>
      <w:r>
        <w:rPr>
          <w:rFonts w:ascii="Arial" w:cs="Arial" w:eastAsia="Arial" w:hAnsi="Arial"/>
          <w:sz w:val="18"/>
          <w:szCs w:val="18"/>
          <w:color w:val="auto"/>
        </w:rPr>
        <w:t>We measure the fair value of financial instruments using observable and unobservable inputs. Observable inputs reflect what market participants would use in pricing the instrument, based on publicly available market data obtained from sources independent of us. Unobservable inputs are inputs for which market data are not available and reflect internal market assumptions.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guidance establishes the following fair value hierarchy: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 Quoted prices in active markets.</w:t>
      </w:r>
    </w:p>
    <w:p>
      <w:pPr>
        <w:spacing w:after="0" w:line="22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Level 2 Inputs - Quoted prices for similar instruments in active markets other than quoted prices included within Level 1, quoted prices for identical or similar instruments in markets that are not active; and model based valuations whose inputs are observable.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 Inputs that are unobservable.</w:t>
      </w:r>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policy is to recognize transfers between levels as of the beginning of the reporting period in which the event or change in circumstance caused the transfer to occur. There were no significant changes to our valuation techniques during 2016 and 2015. For additional information pertaining to our fair value measurements, see Note 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Derivatives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financial derivative contracts to mitigate the risk of market price fluctuations in aviation, marine and land fuel, to offer our customers fuel pricing alternatives to meet their needs and to mitigate the risk due to changes in foreign currency exchange rates. While we currently believe that our derivative contracts will be effective in mitigating the associated price risks, it is possible that our derivative instruments will be ineffective at mitigating material changes in prices, which could have an adverse impact on our financial position and results of operations. At the inception and on an ongoing basis, we assess the hedging relationship to determine its effectiveness in offsetting changes in cash flows or fair value attributable to the hedged risk.</w:t>
      </w:r>
    </w:p>
    <w:p>
      <w:pPr>
        <w:spacing w:after="0" w:line="20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fair value of our derivatives is derived using observable and certain unobservable inputs, such as basis differentials, which are based on the difference between the historical prices of our prior transactions and the underlying observable data. Measurement of the fair value of our derivatives also requires the assessment of certain risks related to non-performance, which requires a significant amount of judgment. The effect on our income before income taxes of a 10% change in the model input for non-performance risk would not be significant to our consolidated statements of operations.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recognized as an asset or liability on the consolidated balance sheets and the changes in the the fair value of the contract is immediately recognized through earnings.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derivative contracts are subject to the accounting guidance for derivative instruments and recognized at their estimated fair market value in accordance with the accounting guidance for fair value measurements. If the derivative instrument is not designated as a hedge, changes in the estimated fair market value are recognized as a component of revenue, cost of revenue or other income (expense), net (based on the underlying transaction type) in the consolidated statements of income and comprehensive income. Derivatives which qualify for hedge accounting may be designated as either a fair value or cash flow hedge. For our fair value hedges, changes in the estimated fair market value of the hedging instrument and the hedged item are recognized in the same line item as a component of either revenue or cost of revenue (based on the underlying transaction type) in the consolidated statements of income and comprehensive income. For our cash flow hedges, the effective portion of the changes in the fair market value of the hedging instrument is initially recognized as a component of other comprehensive income in the shareholders’ equity section of the consolidated balance sheets and subsequently reclassified into the same line item as the underlying forecasted transaction when both are settled or deemed probable of not occurring. The ineffective portion of the changes in the estimated fair market value of the hedging instrument is recognized in the same line item as a component of either revenue or cost of revenue (based on the underlying transaction type) in the consolidated statements of income and comprehensive income. Cash flows for our hedging instruments used in our hedges are classified in the same category as the cash flow from the hedged items. If for any reason hedge accounting is discontinued, then any cash flows subsequent to the date of discontinuance will be classified in a manner consistent with the nature of the instrument.</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qualify for hedge accounting, the hedging relationship between the hedging instruments and hedged items must be expected to be highly effective in achieving offsetting changes in the fair values or cash flows attributable to the hedged risk at the inception of the hedge. We use a regression analysis based on historical spot prices in assessing the qualification for our fair value and cash flow hedges. However, our measurement of hedge ineffectiveness for our fair value inventory hedges utilizes spot prices for the hedged item (inventory) and forward or futures prices for the hedging instrument. Hedge ineffectiveness measurement for our cash flow hedges is based on forward or futures prices for the hedged item and hedging instrument. Any excluded component (changes in the difference between the spot price and the forward or futures price) , along with ineffectiveness, is included as a component of revenue or cost of revenue in earnings. Adjustments to the carrying amounts of hedged items in a fair value hedge relationship are discontinued in instances where the related hedging instrument is deemed no longer highly effective in achieving offsetting changes in fair value. Therefore, any previously recorded fair market value changes are not adjusted until the fuel is sold. For more information on our derivatives, see Note 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Property and Equipment</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w:t>
      </w:r>
      <w:r>
        <w:rPr>
          <w:rFonts w:ascii="MS PGothic" w:cs="MS PGothic" w:eastAsia="MS PGothic" w:hAnsi="MS PGothic"/>
          <w:sz w:val="18"/>
          <w:szCs w:val="18"/>
          <w:color w:val="auto"/>
        </w:rPr>
        <w:t>‑</w:t>
      </w:r>
      <w:r>
        <w:rPr>
          <w:rFonts w:ascii="Arial" w:cs="Arial" w:eastAsia="Arial" w:hAnsi="Arial"/>
          <w:sz w:val="18"/>
          <w:szCs w:val="18"/>
          <w:color w:val="auto"/>
        </w:rPr>
        <w:t>lived assets held and used by us are reviewed based on market factors and operational considerations for impairment whenever events or changes in circumstances indicate that the carrying amount of an asset may not be recoverable.</w:t>
      </w:r>
    </w:p>
    <w:p>
      <w:pPr>
        <w:spacing w:after="0" w:line="21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Purchases of computer software are capitalized. External costs and certain internal costs directly associated with developing significant computer software applications for internal use are capitalized. Computer software costs are amortized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life of the software.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 and Identifiable Intangible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arises because the purchase price paid reflects numerous factors, including the strategic fit and expected synergies these acquisitions bring to our existing operations. Goodwill is recorded at fair value and is reviewed at least annually at year-end (or more frequently under certain circumstances) for impairment.</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is evaluated for impairment during the fourth quarter of each year based on an assessment of qualitative factors to determine whether it is more likely than not that the fair value of any individual reporting unit is less than its carrying amount (Step 0). If we determine that it is more likely than not that the fair value of a reporting unit is greater than its carrying value, then no further testing is required. Otherwise, we would perform the two-step impairment analysis described below.</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Step 1 requires us to compare the fair value of the reporting units to which goodwill was assigned to their respective carrying values. In calculating fair value, we use the income approach as our primary indicator of fair value. Under the income approach, we calculate the fair value of a reporting unit based on the present value of estimated future cash flows. These estimates are based on a number of factors including industry experience, business expectations and the economic environment. If the fair value exceeds the carrying value, no further work is required and no impairment loss is recognized. If the carrying value exceeds the fair value, the goodwill of the reporting unit is potentially impaired and the Company would then complete step 2 in order to measure the impairment loss.</w:t>
      </w:r>
    </w:p>
    <w:p>
      <w:pPr>
        <w:spacing w:after="0" w:line="20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performance of the annual fiscal 2016 impairment analysis did not result in an impairment of the Company's goodwill. The qualitative assessment associated with step 0 and the quantitative assessment associated with step 1 of our goodwill impairment analysis both involve significant management estimates and judgment in order to properly determine that the factors assessed are appropriate and are accurate for each of the Company’s reporting units.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our acquisitions, we record identifiable intangible assets at fair value. The determination of the fair values of our identifiable intangible assets involves a significant amount of forecasting and other assumptions associated with recently acquired businesses for which we may not have as much historical information or trend data as we would for our existing businesses. Identifiable intangible assets subject to amortization are amortized over their estimated useful lives and are reviewed for impairment whenever events or changes in circumstances indicate that the carrying amount of an asset may not be recoverable. We assess identifiable intangible assets not subject to amortization during the fourth quarter of each year for potential impairment. Our impairment analysis of our intangible assets not subject to amortization (primarily trademarks and/or trade names) generally involves the use of qualitative and quantitative analyses to estimate whether the estimated future cash flows generated as a result of these assets will be greater than or equal to the carrying value assigned to such assets. We have not historically incurred any impairment losses associated with our intangible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Other Investments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other investments consist primarily of equity investments, net of basis adjustments. These investments are accounted for under the equity method as we own less than 50 percent of the entities and exercise significant influence over the investee, but do not have operational or financial control. As of December 31, 2016 and 2015, we had other investments of $67.2 million and $71.1 million, respectively, which are included within identifiable intangible and other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Revenue Recognition</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Revenue from the sale of fuel is recognized when the sales price is fixed or determinable, collectability is reasonably assured and title passes to the customer, which is when the delivery of fuel is made to our customer directly from us, the supplier or a third</w:t>
      </w:r>
      <w:r>
        <w:rPr>
          <w:rFonts w:ascii="MS PGothic" w:cs="MS PGothic" w:eastAsia="MS PGothic" w:hAnsi="MS PGothic"/>
          <w:sz w:val="18"/>
          <w:szCs w:val="18"/>
          <w:color w:val="auto"/>
        </w:rPr>
        <w:t>‑</w:t>
      </w:r>
      <w:r>
        <w:rPr>
          <w:rFonts w:ascii="Arial" w:cs="Arial" w:eastAsia="Arial" w:hAnsi="Arial"/>
          <w:sz w:val="18"/>
          <w:szCs w:val="18"/>
          <w:color w:val="auto"/>
        </w:rPr>
        <w:t>party subcontractor. Our fuel sales are generated as a fuel reseller as well as from on</w:t>
      </w:r>
      <w:r>
        <w:rPr>
          <w:rFonts w:ascii="MS PGothic" w:cs="MS PGothic" w:eastAsia="MS PGothic" w:hAnsi="MS PGothic"/>
          <w:sz w:val="18"/>
          <w:szCs w:val="18"/>
          <w:color w:val="auto"/>
        </w:rPr>
        <w:t>‑</w:t>
      </w:r>
      <w:r>
        <w:rPr>
          <w:rFonts w:ascii="Arial" w:cs="Arial" w:eastAsia="Arial" w:hAnsi="Arial"/>
          <w:sz w:val="18"/>
          <w:szCs w:val="18"/>
          <w:color w:val="auto"/>
        </w:rPr>
        <w:t>hand inventory supply. When acting as a fuel reseller, we generally purchase fuel from the supplier, and contemporaneously resell the fuel to the customer, normally taking delivery for purchased fuel at the same place and time as the delivery is made to the customer. We record the gross sale of the fuel as we generally take inventory risk, have latitude in establishing the sales price, have discretion in the supplier selection, maintain credit risk and are the primary obligor in the sales arrangement.</w:t>
      </w:r>
    </w:p>
    <w:p>
      <w:pPr>
        <w:spacing w:after="0" w:line="21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Revenue from fuel</w:t>
      </w:r>
      <w:r>
        <w:rPr>
          <w:rFonts w:ascii="MS PGothic" w:cs="MS PGothic" w:eastAsia="MS PGothic" w:hAnsi="MS PGothic"/>
          <w:sz w:val="18"/>
          <w:szCs w:val="18"/>
          <w:color w:val="auto"/>
        </w:rPr>
        <w:t>‑</w:t>
      </w:r>
      <w:r>
        <w:rPr>
          <w:rFonts w:ascii="Arial" w:cs="Arial" w:eastAsia="Arial" w:hAnsi="Arial"/>
          <w:sz w:val="18"/>
          <w:szCs w:val="18"/>
          <w:color w:val="auto"/>
        </w:rPr>
        <w:t>related services is recognized when services are performed, the sales price is fixed or determinable and collectability is reasonably assured. We record the sale of fuel</w:t>
      </w:r>
      <w:r>
        <w:rPr>
          <w:rFonts w:ascii="MS PGothic" w:cs="MS PGothic" w:eastAsia="MS PGothic" w:hAnsi="MS PGothic"/>
          <w:sz w:val="18"/>
          <w:szCs w:val="18"/>
          <w:color w:val="auto"/>
        </w:rPr>
        <w:t>‑</w:t>
      </w:r>
      <w:r>
        <w:rPr>
          <w:rFonts w:ascii="Arial" w:cs="Arial" w:eastAsia="Arial" w:hAnsi="Arial"/>
          <w:sz w:val="18"/>
          <w:szCs w:val="18"/>
          <w:color w:val="auto"/>
        </w:rPr>
        <w:t>related services on a gross basis as we generally have latitude in establishing the sales price, have discretion in supplier selection, maintain credit risk and are the primary obligor in the sales arrangement.</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Commission from fuel broker services is recognized when services are performed and collectability is reasonably assured. When acting as a fuel broker, we are paid a commission by the supplier.</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from card payment and processing transactions is recognized at the time the purchase is made by the customer using the charge card.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Whether the services have been performed and when title and risk of loss passes to the customer are the factors we take into consideration in deciding when to recognize revenue. These factors are readily determinable and consistently applied throughout our business. Therefore, we generally have not needed to make significant estimates or assumptions with respect to revenue recognition.</w:t>
      </w:r>
    </w:p>
    <w:p>
      <w:pPr>
        <w:spacing w:after="0" w:line="18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 Share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Payment Awards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account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on a fair value basis. Under fair value accounting, the grant</w:t>
      </w:r>
      <w:r>
        <w:rPr>
          <w:rFonts w:ascii="MS PGothic" w:cs="MS PGothic" w:eastAsia="MS PGothic" w:hAnsi="MS PGothic"/>
          <w:sz w:val="18"/>
          <w:szCs w:val="18"/>
          <w:color w:val="auto"/>
        </w:rPr>
        <w:t>‑</w:t>
      </w:r>
      <w:r>
        <w:rPr>
          <w:rFonts w:ascii="Arial" w:cs="Arial" w:eastAsia="Arial" w:hAnsi="Arial"/>
          <w:sz w:val="18"/>
          <w:szCs w:val="18"/>
          <w:color w:val="auto"/>
        </w:rPr>
        <w:t>date fair value of the share</w:t>
      </w:r>
      <w:r>
        <w:rPr>
          <w:rFonts w:ascii="MS PGothic" w:cs="MS PGothic" w:eastAsia="MS PGothic" w:hAnsi="MS PGothic"/>
          <w:sz w:val="18"/>
          <w:szCs w:val="18"/>
          <w:color w:val="auto"/>
        </w:rPr>
        <w:t>‑</w:t>
      </w:r>
      <w:r>
        <w:rPr>
          <w:rFonts w:ascii="Arial" w:cs="Arial" w:eastAsia="Arial" w:hAnsi="Arial"/>
          <w:sz w:val="18"/>
          <w:szCs w:val="18"/>
          <w:color w:val="auto"/>
        </w:rPr>
        <w:t>based payment award is amortized as compensation expense,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 for both graded and cliff vesting awards. Annual compensation expense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is reduced by an expected forfeiture amount on outstanding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We utilize our historical forfeiture rates to calculate future expected forfeitures. These estimates can vary significantly from actual forfeiture rates experienced. Our estimated forfeiture rates have historically approximated actual forfeitures.</w:t>
      </w:r>
    </w:p>
    <w:p>
      <w:pPr>
        <w:spacing w:after="0" w:line="21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estimated fair value of stock awards, such as restricted stock and restricted stock units (“RSUs”) is based on the grant</w:t>
      </w:r>
      <w:r>
        <w:rPr>
          <w:rFonts w:ascii="MS PGothic" w:cs="MS PGothic" w:eastAsia="MS PGothic" w:hAnsi="MS PGothic"/>
          <w:sz w:val="18"/>
          <w:szCs w:val="18"/>
          <w:color w:val="auto"/>
        </w:rPr>
        <w:t>‑</w:t>
      </w:r>
      <w:r>
        <w:rPr>
          <w:rFonts w:ascii="Arial" w:cs="Arial" w:eastAsia="Arial" w:hAnsi="Arial"/>
          <w:sz w:val="18"/>
          <w:szCs w:val="18"/>
          <w:color w:val="auto"/>
        </w:rPr>
        <w:t>date market value of our common stock, as defined in the respective plans under which the awards were granted. To determine the estimated fair value of stock</w:t>
      </w:r>
      <w:r>
        <w:rPr>
          <w:rFonts w:ascii="MS PGothic" w:cs="MS PGothic" w:eastAsia="MS PGothic" w:hAnsi="MS PGothic"/>
          <w:sz w:val="18"/>
          <w:szCs w:val="18"/>
          <w:color w:val="auto"/>
        </w:rPr>
        <w:t>‑</w:t>
      </w:r>
      <w:r>
        <w:rPr>
          <w:rFonts w:ascii="Arial" w:cs="Arial" w:eastAsia="Arial" w:hAnsi="Arial"/>
          <w:sz w:val="18"/>
          <w:szCs w:val="18"/>
          <w:color w:val="auto"/>
        </w:rPr>
        <w:t>settled stock appreciation rights (“SSAR Awards”), we use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estimation of the fair value of SSAR Awards on the date of grant using an option</w:t>
      </w:r>
      <w:r>
        <w:rPr>
          <w:rFonts w:ascii="MS PGothic" w:cs="MS PGothic" w:eastAsia="MS PGothic" w:hAnsi="MS PGothic"/>
          <w:sz w:val="18"/>
          <w:szCs w:val="18"/>
          <w:color w:val="auto"/>
        </w:rPr>
        <w:t>‑</w:t>
      </w:r>
      <w:r>
        <w:rPr>
          <w:rFonts w:ascii="Arial" w:cs="Arial" w:eastAsia="Arial" w:hAnsi="Arial"/>
          <w:sz w:val="18"/>
          <w:szCs w:val="18"/>
          <w:color w:val="auto"/>
        </w:rPr>
        <w:t>pricing model is affected by our stock price as well as assumptions regarding a number of complex and subjective variables. These variables include our expected stock price volatility over the term of the awards, actual and projected employee stock option exercise behaviors, risk</w:t>
      </w:r>
      <w:r>
        <w:rPr>
          <w:rFonts w:ascii="MS PGothic" w:cs="MS PGothic" w:eastAsia="MS PGothic" w:hAnsi="MS PGothic"/>
          <w:sz w:val="18"/>
          <w:szCs w:val="18"/>
          <w:color w:val="auto"/>
        </w:rPr>
        <w:t>‑</w:t>
      </w:r>
      <w:r>
        <w:rPr>
          <w:rFonts w:ascii="Arial" w:cs="Arial" w:eastAsia="Arial" w:hAnsi="Arial"/>
          <w:sz w:val="18"/>
          <w:szCs w:val="18"/>
          <w:color w:val="auto"/>
        </w:rPr>
        <w:t xml:space="preserve"> free interest rates and expected dividends. The expected term of SSAR Awards represents the estimated period of time from grant until exercise or conversion and is based on vesting schedules and expected post</w:t>
      </w:r>
      <w:r>
        <w:rPr>
          <w:rFonts w:ascii="MS PGothic" w:cs="MS PGothic" w:eastAsia="MS PGothic" w:hAnsi="MS PGothic"/>
          <w:sz w:val="18"/>
          <w:szCs w:val="18"/>
          <w:color w:val="auto"/>
        </w:rPr>
        <w:t>‑</w:t>
      </w:r>
      <w:r>
        <w:rPr>
          <w:rFonts w:ascii="Arial" w:cs="Arial" w:eastAsia="Arial" w:hAnsi="Arial"/>
          <w:sz w:val="18"/>
          <w:szCs w:val="18"/>
          <w:color w:val="auto"/>
        </w:rPr>
        <w:t>vesting, exercise and employment termination behavior. Expected volatility is based on the historical volatility of our common stock over the period that is equivalent to the award’s expected life. Any adjustment to the historical volatility as an indicator of future volatility would be based on the impact to historical volatility of significant non</w:t>
      </w:r>
      <w:r>
        <w:rPr>
          <w:rFonts w:ascii="MS PGothic" w:cs="MS PGothic" w:eastAsia="MS PGothic" w:hAnsi="MS PGothic"/>
          <w:sz w:val="18"/>
          <w:szCs w:val="18"/>
          <w:color w:val="auto"/>
        </w:rPr>
        <w:t>‑</w:t>
      </w:r>
      <w:r>
        <w:rPr>
          <w:rFonts w:ascii="Arial" w:cs="Arial" w:eastAsia="Arial" w:hAnsi="Arial"/>
          <w:sz w:val="18"/>
          <w:szCs w:val="18"/>
          <w:color w:val="auto"/>
        </w:rPr>
        <w:t>recurring events that would not be expected in the future. Risk</w:t>
      </w:r>
      <w:r>
        <w:rPr>
          <w:rFonts w:ascii="MS PGothic" w:cs="MS PGothic" w:eastAsia="MS PGothic" w:hAnsi="MS PGothic"/>
          <w:sz w:val="18"/>
          <w:szCs w:val="18"/>
          <w:color w:val="auto"/>
        </w:rPr>
        <w:t>‑</w:t>
      </w:r>
      <w:r>
        <w:rPr>
          <w:rFonts w:ascii="Arial" w:cs="Arial" w:eastAsia="Arial" w:hAnsi="Arial"/>
          <w:sz w:val="18"/>
          <w:szCs w:val="18"/>
          <w:color w:val="auto"/>
        </w:rPr>
        <w:t>free interest rates are based on the U.S. Treasury yield curve at the time of grant for the period that is equivalent to the award’s expected life. Dividend yields are based on the historical dividends of World Fuel over the period that is equivalent to the award’s expected life, as adjusted for stock splits.</w:t>
      </w:r>
    </w:p>
    <w:p>
      <w:pPr>
        <w:spacing w:after="0" w:line="204"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color w:val="auto"/>
        </w:rPr>
        <w:t xml:space="preserve">We have elected to early adopt ASU 2016-09 - </w:t>
      </w:r>
      <w:r>
        <w:rPr>
          <w:rFonts w:ascii="Arial" w:cs="Arial" w:eastAsia="Arial" w:hAnsi="Arial"/>
          <w:sz w:val="18"/>
          <w:szCs w:val="18"/>
          <w:i w:val="1"/>
          <w:iCs w:val="1"/>
          <w:color w:val="auto"/>
        </w:rPr>
        <w:t>Stock Compensation - Improvements to Employee Share-Based Payment Accounting.</w:t>
      </w:r>
      <w:r>
        <w:rPr>
          <w:rFonts w:ascii="Arial" w:cs="Arial" w:eastAsia="Arial" w:hAnsi="Arial"/>
          <w:sz w:val="18"/>
          <w:szCs w:val="18"/>
          <w:color w:val="auto"/>
        </w:rPr>
        <w:t xml:space="preserve"> As required by ASU 2016.09, cash flows from income tax benefits resulting from income tax deductions in excess of the compensation cost recognized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(excess income tax benefits) are classified as operating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Foreign Currency</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functional currency of our U.S. and foreign subsidiaries is the U.S. dollar, except for certain subsidiaries which utilize their respective local currency as their functional currency. Foreign currency transaction gains and losses are recognized upon settlement of foreign currency transactions. In addition, for unsettled foreign currency transactions, foreign currency translation gains and losses are recognized for changes between the transaction exchange rates and month</w:t>
      </w:r>
      <w:r>
        <w:rPr>
          <w:rFonts w:ascii="MS PGothic" w:cs="MS PGothic" w:eastAsia="MS PGothic" w:hAnsi="MS PGothic"/>
          <w:sz w:val="18"/>
          <w:szCs w:val="18"/>
          <w:color w:val="auto"/>
        </w:rPr>
        <w:t>‑</w:t>
      </w:r>
      <w:r>
        <w:rPr>
          <w:rFonts w:ascii="Arial" w:cs="Arial" w:eastAsia="Arial" w:hAnsi="Arial"/>
          <w:sz w:val="18"/>
          <w:szCs w:val="18"/>
          <w:color w:val="auto"/>
        </w:rPr>
        <w:t>end exchange rates. Foreign currency transaction gains and losses are included in other income (expense), net, in the accompanying consolidated statements of income and comprehensive income in the period incurred.</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 translation gain and loss adjustments are recorded in accumulated other comprehensive income as a separate component of shareholders’ equity.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recognized in the income tax provision in the period that includes the enactment date.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must assess the likelihood that our deferred tax assets will be recovered from our future taxable income, and to the extent we believe that recovery is not likely, we must establish a valuation allowance against those deferred tax assets. Deferred tax liabilities generally represent items for which we have already taken a deduction in our income tax return, but we have not yet recognized the items as expenses in our results of operations.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U.S. income taxes have not been recognized on undistributed earnings of foreign subsidiaries. Our intention is to reinvest these earnings permanently in active non-U.S. business operations. Therefore, no income tax liability has been accrued for these earnings. Because of the availability of U.S. foreign tax credits, it is not practicable to determine the amount of U.S. income tax payable if such earnings are not reinvested indefinitely.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Earnings per Common Share</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Basic earnings per common share is computed by dividing net income attributable to World Fuel and available to common shareholders by the sum of the weighted average number of shares of common stock, stock units, restricted stock entitled to dividends not subject to forfeiture and vested RSUs outstanding during the period. Diluted earnings per common share is computed by dividing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Potentially dilutive securities include restricted stock subject to forfeitable dividends, non</w:t>
      </w:r>
      <w:r>
        <w:rPr>
          <w:rFonts w:ascii="MS PGothic" w:cs="MS PGothic" w:eastAsia="MS PGothic" w:hAnsi="MS PGothic"/>
          <w:sz w:val="18"/>
          <w:szCs w:val="18"/>
          <w:color w:val="auto"/>
        </w:rPr>
        <w:t>‑</w:t>
      </w:r>
      <w:r>
        <w:rPr>
          <w:rFonts w:ascii="Arial" w:cs="Arial" w:eastAsia="Arial" w:hAnsi="Arial"/>
          <w:sz w:val="18"/>
          <w:szCs w:val="18"/>
          <w:color w:val="auto"/>
        </w:rPr>
        <w:t>vested RSUs and SSAR Awards. The dilutive effect of potentially dilutive securities is reflected in diluted earnings per common share by application of the treasury stock method. Under the treasury stock method, an increase in the fair market value of our common stock can result in a greater dilutive effect from potentially dilutive securities.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2014</w:t>
            </w: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World Fuel</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126.5</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174.5</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224.5</w:t>
            </w: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3"/>
        </w:trPr>
        <w:tc>
          <w:tcPr>
            <w:tcW w:w="6360" w:type="dxa"/>
            <w:vAlign w:val="bottom"/>
          </w:tcPr>
          <w:p>
            <w:pPr>
              <w:ind w:left="40"/>
              <w:spacing w:after="0"/>
              <w:rPr>
                <w:sz w:val="20"/>
                <w:szCs w:val="20"/>
                <w:color w:val="auto"/>
              </w:rPr>
            </w:pPr>
            <w:r>
              <w:rPr>
                <w:rFonts w:ascii="Arial" w:cs="Arial" w:eastAsia="Arial" w:hAnsi="Arial"/>
                <w:sz w:val="18"/>
                <w:szCs w:val="18"/>
                <w:color w:val="auto"/>
              </w:rPr>
              <w:t>Weighted average common shares for basic earnings per common share</w:t>
            </w:r>
          </w:p>
        </w:tc>
        <w:tc>
          <w:tcPr>
            <w:tcW w:w="62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69.3</w:t>
            </w:r>
          </w:p>
        </w:tc>
        <w:tc>
          <w:tcPr>
            <w:tcW w:w="68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70.2</w:t>
            </w:r>
          </w:p>
        </w:tc>
        <w:tc>
          <w:tcPr>
            <w:tcW w:w="68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70.8</w:t>
            </w:r>
          </w:p>
        </w:tc>
      </w:tr>
      <w:tr>
        <w:trPr>
          <w:trHeight w:val="270"/>
        </w:trPr>
        <w:tc>
          <w:tcPr>
            <w:tcW w:w="6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6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6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6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304"/>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69.8</w:t>
            </w: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70.7</w:t>
            </w: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71.3</w:t>
            </w:r>
          </w:p>
        </w:tc>
      </w:tr>
      <w:tr>
        <w:trPr>
          <w:trHeight w:val="216"/>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securities which are not included in the calculation of diluted</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3"/>
        </w:trPr>
        <w:tc>
          <w:tcPr>
            <w:tcW w:w="63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earnings per common share because their impact is anti-dilutive or their</w:t>
            </w: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4"/>
        </w:trPr>
        <w:tc>
          <w:tcPr>
            <w:tcW w:w="6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performance conditions have not been met</w:t>
            </w: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6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Basic earnings per common share</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1.82</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2.49</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3.17</w:t>
            </w:r>
          </w:p>
        </w:tc>
      </w:tr>
      <w:tr>
        <w:trPr>
          <w:trHeight w:val="251"/>
        </w:trPr>
        <w:tc>
          <w:tcPr>
            <w:tcW w:w="6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6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had accounts receivable of $2.3 billion and $1.8 billion, net of an allowance for bad debt of $24.9 million and $25.0 million, as of December 31, 2016 and 2015, respectively. Accounts receivable are written-off when it becomes apparent based upon age or customer circumstances that such amounts will not be collected.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bad debt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2014</w:t>
            </w: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beginning of period</w:t>
            </w:r>
          </w:p>
        </w:tc>
        <w:tc>
          <w:tcPr>
            <w:tcW w:w="2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25.0</w:t>
            </w:r>
          </w:p>
        </w:tc>
        <w:tc>
          <w:tcPr>
            <w:tcW w:w="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25.7</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r>
      <w:tr>
        <w:trPr>
          <w:trHeight w:val="263"/>
        </w:trPr>
        <w:tc>
          <w:tcPr>
            <w:tcW w:w="5000" w:type="dxa"/>
            <w:vAlign w:val="bottom"/>
          </w:tcPr>
          <w:p>
            <w:pPr>
              <w:ind w:left="40"/>
              <w:spacing w:after="0"/>
              <w:rPr>
                <w:sz w:val="20"/>
                <w:szCs w:val="20"/>
                <w:color w:val="auto"/>
              </w:rPr>
            </w:pPr>
            <w:r>
              <w:rPr>
                <w:rFonts w:ascii="Arial" w:cs="Arial" w:eastAsia="Arial" w:hAnsi="Arial"/>
                <w:sz w:val="18"/>
                <w:szCs w:val="18"/>
                <w:color w:val="auto"/>
              </w:rPr>
              <w:t>Charges to provision for bad debt</w:t>
            </w:r>
          </w:p>
        </w:tc>
        <w:tc>
          <w:tcPr>
            <w:tcW w:w="200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15.4</w:t>
            </w:r>
          </w:p>
        </w:tc>
        <w:tc>
          <w:tcPr>
            <w:tcW w:w="700" w:type="dxa"/>
            <w:vAlign w:val="bottom"/>
          </w:tcPr>
          <w:p>
            <w:pPr>
              <w:spacing w:after="0"/>
              <w:rPr>
                <w:sz w:val="22"/>
                <w:szCs w:val="22"/>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7.5</w:t>
            </w:r>
          </w:p>
        </w:tc>
        <w:tc>
          <w:tcPr>
            <w:tcW w:w="72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3.8</w:t>
            </w:r>
          </w:p>
        </w:tc>
      </w:tr>
      <w:tr>
        <w:trPr>
          <w:trHeight w:val="27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Write-off of uncollectible accounts receivable</w:t>
            </w:r>
          </w:p>
        </w:tc>
        <w:tc>
          <w:tcPr>
            <w:tcW w:w="20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7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63"/>
        </w:trPr>
        <w:tc>
          <w:tcPr>
            <w:tcW w:w="5000" w:type="dxa"/>
            <w:vAlign w:val="bottom"/>
          </w:tcPr>
          <w:p>
            <w:pPr>
              <w:ind w:left="40"/>
              <w:spacing w:after="0"/>
              <w:rPr>
                <w:sz w:val="20"/>
                <w:szCs w:val="20"/>
                <w:color w:val="auto"/>
              </w:rPr>
            </w:pPr>
            <w:r>
              <w:rPr>
                <w:rFonts w:ascii="Arial" w:cs="Arial" w:eastAsia="Arial" w:hAnsi="Arial"/>
                <w:sz w:val="18"/>
                <w:szCs w:val="18"/>
                <w:color w:val="auto"/>
              </w:rPr>
              <w:t>Recoveries of bad debt</w:t>
            </w:r>
          </w:p>
        </w:tc>
        <w:tc>
          <w:tcPr>
            <w:tcW w:w="200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700" w:type="dxa"/>
            <w:vAlign w:val="bottom"/>
          </w:tcPr>
          <w:p>
            <w:pPr>
              <w:spacing w:after="0"/>
              <w:rPr>
                <w:sz w:val="22"/>
                <w:szCs w:val="22"/>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0.5</w:t>
            </w:r>
          </w:p>
        </w:tc>
        <w:tc>
          <w:tcPr>
            <w:tcW w:w="72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0.8</w:t>
            </w:r>
          </w:p>
        </w:tc>
      </w:tr>
      <w:tr>
        <w:trPr>
          <w:trHeight w:val="270"/>
        </w:trPr>
        <w:tc>
          <w:tcPr>
            <w:tcW w:w="5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0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7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Balance as of end of period</w:t>
            </w:r>
          </w:p>
        </w:tc>
        <w:tc>
          <w:tcPr>
            <w:tcW w:w="2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24.9</w:t>
            </w:r>
          </w:p>
        </w:tc>
        <w:tc>
          <w:tcPr>
            <w:tcW w:w="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25.0</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25.7</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Included in accounts receivable is a retained beneficial interest related to accounts receivable sold under our receivables purchase agreements. The retained beneficial interest was not significant as of December 31, 2016 and 2015.</w:t>
      </w:r>
    </w:p>
    <w:p>
      <w:pPr>
        <w:spacing w:after="0" w:line="174" w:lineRule="exact"/>
        <w:rPr>
          <w:sz w:val="20"/>
          <w:szCs w:val="20"/>
          <w:color w:val="auto"/>
        </w:rPr>
      </w:pPr>
    </w:p>
    <w:p>
      <w:pPr>
        <w:ind w:right="8680" w:firstLine="8"/>
        <w:spacing w:after="0" w:line="513" w:lineRule="auto"/>
        <w:tabs>
          <w:tab w:leader="none" w:pos="2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 2016 Acquisitions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first quarter of 2016, we signed a definitive agreement to acquire from certain ExxonMobil affiliates their aviation fueling operations at more than 80 airport locations in Canada, the U.K., Germany, Italy, France, Australia and New Zealand. The total purchase price is approximately $260.0 million and is expected to be fully funded with cash on hand. On November 1, 2016, we completed the acquisition of the Canada locations and certain France locations. On December 1, 2016, we completed the acquisition of the U.K. locations and the remaining France locations. The remaining locations are expected to be completed during the first half of 2017. The transaction is subject to customary regulatory consents and closing conditions, including securing third party consents.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 2016, we completed the acquisition of all of the outstanding capital stock of PAPCO and APP. PAPCO, headquartered in Virginia Beach, Virginia and APP, headquartered in Tacoma, Washington are leading distributors of gasoline, diesel, lubricants, propane and related services in the Mid-Atlantic and the Pacific Northwest region of the United States, respectively. These acquisitions combined with the Company’s existing land segment operations, will serve to further enhance our commercial and industrial platforms to deliver value-added solutions to customers across the United States.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the above acquisitions, we completed six acquisitions in our land segment in 2016 which were not significant individually or in the aggregate.</w:t>
      </w:r>
    </w:p>
    <w:p>
      <w:pPr>
        <w:spacing w:after="0" w:line="19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reconciles the estimated aggregate purchase price for the 2016 acquisitions to the cash paid for the acquisitions, net of cash acquired (in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purchase price</w:t>
            </w:r>
          </w:p>
        </w:tc>
        <w:tc>
          <w:tcPr>
            <w:tcW w:w="31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446.9</w:t>
            </w:r>
          </w:p>
        </w:tc>
      </w:tr>
      <w:tr>
        <w:trPr>
          <w:trHeight w:val="250"/>
        </w:trPr>
        <w:tc>
          <w:tcPr>
            <w:tcW w:w="7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Cash acquired</w:t>
            </w:r>
          </w:p>
        </w:tc>
        <w:tc>
          <w:tcPr>
            <w:tcW w:w="3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r>
      <w:tr>
        <w:trPr>
          <w:trHeight w:val="257"/>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purchase price, net of cash acquired</w:t>
            </w:r>
          </w:p>
        </w:tc>
        <w:tc>
          <w:tcPr>
            <w:tcW w:w="3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444.3</w:t>
            </w:r>
          </w:p>
        </w:tc>
      </w:tr>
      <w:tr>
        <w:trPr>
          <w:trHeight w:val="250"/>
        </w:trPr>
        <w:tc>
          <w:tcPr>
            <w:tcW w:w="7140" w:type="dxa"/>
            <w:vAlign w:val="bottom"/>
          </w:tcPr>
          <w:p>
            <w:pPr>
              <w:ind w:left="40"/>
              <w:spacing w:after="0"/>
              <w:rPr>
                <w:sz w:val="20"/>
                <w:szCs w:val="20"/>
                <w:color w:val="auto"/>
              </w:rPr>
            </w:pPr>
            <w:r>
              <w:rPr>
                <w:rFonts w:ascii="Arial" w:cs="Arial" w:eastAsia="Arial" w:hAnsi="Arial"/>
                <w:sz w:val="18"/>
                <w:szCs w:val="18"/>
                <w:color w:val="auto"/>
              </w:rPr>
              <w:t>Less: Amounts due to sellers and promissory notes issued</w:t>
            </w:r>
          </w:p>
        </w:tc>
        <w:tc>
          <w:tcPr>
            <w:tcW w:w="3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7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paid for acquisition of businesses</w:t>
            </w:r>
          </w:p>
        </w:tc>
        <w:tc>
          <w:tcPr>
            <w:tcW w:w="3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424.3</w:t>
            </w: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summarizes the aggregate consideration paid for all 2016 acquisitions and the provisional amounts of the assets acquired and liabilities assumed recognized at the acquisition date. The Company is in the process of finalizing the valuations of certain acquired assets and assumed liabilities; thus, the provisional measurements of these acquired assets and assumed liabilities are subject to change and will be finalized no later than one year from the acquisition date. The estimated purchase price allocation for the 2016 acquisitions is as follows (in millions):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 acquired: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9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6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9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r>
      <w:tr>
        <w:trPr>
          <w:trHeight w:val="250"/>
        </w:trPr>
        <w:tc>
          <w:tcPr>
            <w:tcW w:w="73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9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6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9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r>
      <w:tr>
        <w:trPr>
          <w:trHeight w:val="250"/>
        </w:trPr>
        <w:tc>
          <w:tcPr>
            <w:tcW w:w="73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9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6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and identifiable intangible assets</w:t>
            </w:r>
          </w:p>
        </w:tc>
        <w:tc>
          <w:tcPr>
            <w:tcW w:w="29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291.9</w:t>
            </w:r>
          </w:p>
        </w:tc>
      </w:tr>
      <w:tr>
        <w:trPr>
          <w:trHeight w:val="250"/>
        </w:trPr>
        <w:tc>
          <w:tcPr>
            <w:tcW w:w="730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29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6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 assumed:</w:t>
            </w:r>
          </w:p>
        </w:tc>
        <w:tc>
          <w:tcPr>
            <w:tcW w:w="29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73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9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6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9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50"/>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Non-current income tax liabilities and other long term liabilities</w:t>
            </w:r>
          </w:p>
        </w:tc>
        <w:tc>
          <w:tcPr>
            <w:tcW w:w="29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50"/>
        </w:trPr>
        <w:tc>
          <w:tcPr>
            <w:tcW w:w="7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Estimated purchase price</w:t>
            </w:r>
          </w:p>
        </w:tc>
        <w:tc>
          <w:tcPr>
            <w:tcW w:w="29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446.9</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2016 acquisitions, we recorded goodwill of $ 173.3 million of which $133.4 million is anticipated to be deductible for tax purposes. All of the goodwill is attributable primarily to the expected synergies and other benefits that we believe will result from combining the operations of the acquired businesses with the operations of World Fuel Services' land and aviation segments. The identifiable intangible assets consisted of $105.1 million of customer relationships and $3.9 million of other identifiable intangible assets with weighted average lives of 5.6 years and 2.1 years, respectively, as well as $9.5 million of indefinite-lived trademark/trade name rights.</w:t>
      </w:r>
    </w:p>
    <w:p>
      <w:pPr>
        <w:spacing w:after="0" w:line="2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presents the unaudited pro forma results for 2016 and 2015 as if 2016 and 2015 acquisitions had been completed on January 1, 2015:</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300" w:type="dxa"/>
            <w:vAlign w:val="bottom"/>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6"/>
                <w:szCs w:val="16"/>
                <w:color w:val="auto"/>
              </w:rPr>
            </w:pPr>
          </w:p>
        </w:tc>
        <w:tc>
          <w:tcPr>
            <w:tcW w:w="1300" w:type="dxa"/>
            <w:vAlign w:val="bottom"/>
          </w:tcPr>
          <w:p>
            <w:pPr>
              <w:jc w:val="right"/>
              <w:ind w:right="16"/>
              <w:spacing w:after="0"/>
              <w:rPr>
                <w:sz w:val="20"/>
                <w:szCs w:val="20"/>
                <w:color w:val="auto"/>
              </w:rPr>
            </w:pPr>
            <w:r>
              <w:rPr>
                <w:rFonts w:ascii="Arial" w:cs="Arial" w:eastAsia="Arial" w:hAnsi="Arial"/>
                <w:sz w:val="14"/>
                <w:szCs w:val="14"/>
                <w:b w:val="1"/>
                <w:bCs w:val="1"/>
                <w:color w:val="auto"/>
              </w:rPr>
              <w:t>2015</w:t>
            </w:r>
          </w:p>
        </w:tc>
      </w:tr>
      <w:tr>
        <w:trPr>
          <w:trHeight w:val="276"/>
        </w:trPr>
        <w:tc>
          <w:tcPr>
            <w:tcW w:w="5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00" w:type="dxa"/>
            <w:vAlign w:val="bottom"/>
          </w:tcPr>
          <w:p>
            <w:pPr>
              <w:jc w:val="right"/>
              <w:ind w:right="36"/>
              <w:spacing w:after="0"/>
              <w:rPr>
                <w:sz w:val="20"/>
                <w:szCs w:val="20"/>
                <w:color w:val="auto"/>
              </w:rPr>
            </w:pPr>
            <w:r>
              <w:rPr>
                <w:rFonts w:ascii="Arial" w:cs="Arial" w:eastAsia="Arial" w:hAnsi="Arial"/>
                <w:sz w:val="14"/>
                <w:szCs w:val="14"/>
                <w:b w:val="1"/>
                <w:bCs w:val="1"/>
                <w:color w:val="auto"/>
              </w:rPr>
              <w:t>(pro forma)</w:t>
            </w:r>
          </w:p>
        </w:tc>
        <w:tc>
          <w:tcPr>
            <w:tcW w:w="640" w:type="dxa"/>
            <w:vAlign w:val="bottom"/>
          </w:tcPr>
          <w:p>
            <w:pPr>
              <w:spacing w:after="0"/>
              <w:rPr>
                <w:sz w:val="24"/>
                <w:szCs w:val="24"/>
                <w:color w:val="auto"/>
              </w:rPr>
            </w:pPr>
          </w:p>
        </w:tc>
        <w:tc>
          <w:tcPr>
            <w:tcW w:w="1300" w:type="dxa"/>
            <w:vAlign w:val="bottom"/>
          </w:tcPr>
          <w:p>
            <w:pPr>
              <w:jc w:val="right"/>
              <w:ind w:right="16"/>
              <w:spacing w:after="0"/>
              <w:rPr>
                <w:sz w:val="20"/>
                <w:szCs w:val="20"/>
                <w:color w:val="auto"/>
              </w:rPr>
            </w:pPr>
            <w:r>
              <w:rPr>
                <w:rFonts w:ascii="Arial" w:cs="Arial" w:eastAsia="Arial" w:hAnsi="Arial"/>
                <w:sz w:val="14"/>
                <w:szCs w:val="14"/>
                <w:b w:val="1"/>
                <w:bCs w:val="1"/>
                <w:color w:val="auto"/>
              </w:rPr>
              <w:t>(pro forma)</w:t>
            </w:r>
          </w:p>
        </w:tc>
      </w:tr>
      <w:tr>
        <w:trPr>
          <w:trHeight w:val="276"/>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27,925.0</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32,604.4</w:t>
            </w:r>
          </w:p>
        </w:tc>
      </w:tr>
      <w:tr>
        <w:trPr>
          <w:trHeight w:val="263"/>
        </w:trPr>
        <w:tc>
          <w:tcPr>
            <w:tcW w:w="5340" w:type="dxa"/>
            <w:vAlign w:val="bottom"/>
          </w:tcPr>
          <w:p>
            <w:pPr>
              <w:ind w:left="40"/>
              <w:spacing w:after="0"/>
              <w:rPr>
                <w:sz w:val="20"/>
                <w:szCs w:val="20"/>
                <w:color w:val="auto"/>
              </w:rPr>
            </w:pPr>
            <w:r>
              <w:rPr>
                <w:rFonts w:ascii="Arial" w:cs="Arial" w:eastAsia="Arial" w:hAnsi="Arial"/>
                <w:sz w:val="18"/>
                <w:szCs w:val="18"/>
                <w:color w:val="auto"/>
              </w:rPr>
              <w:t>Net income attributable to World Fuel</w:t>
            </w:r>
          </w:p>
        </w:tc>
        <w:tc>
          <w:tcPr>
            <w:tcW w:w="2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146.1</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202.0</w:t>
            </w:r>
          </w:p>
        </w:tc>
      </w:tr>
      <w:tr>
        <w:trPr>
          <w:trHeight w:val="331"/>
        </w:trPr>
        <w:tc>
          <w:tcPr>
            <w:tcW w:w="534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3"/>
        </w:trPr>
        <w:tc>
          <w:tcPr>
            <w:tcW w:w="534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2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2.11</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2.88</w:t>
            </w:r>
          </w:p>
        </w:tc>
      </w:tr>
      <w:tr>
        <w:trPr>
          <w:trHeight w:val="257"/>
        </w:trPr>
        <w:tc>
          <w:tcPr>
            <w:tcW w:w="5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2.09</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2.86</w:t>
            </w:r>
          </w:p>
        </w:tc>
      </w:tr>
    </w:tbl>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financial position, results of operations and cash flows of the 2016 acquisitions have been included in our consolidated financial statements since their respective acquisition dates and did not have a significant impact on our revenue and net income for the year ended December 31,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Tobras Distribuidora de Combustiveis Limitada</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23, 2016, we acquired the remaining 49% of the outstanding equity interest of Tobras from the minority owners for an aggregate purchase price of approximately $3.7 million in cash (the “Tobras Acquisition”). Prior to the Tobras Acquisition, we owned 51% of the outstanding shares of Tobras and exercised control, and as such, we consolidated Tobras in our financial statements. As a result of the acquisition of the remaining equity interest of Tobras, we recorded a $10.9 million adjustment to capital in excess of par value on our consolidated balance sheets, which consisted of $3.7 million of cash paid and $7.2 million of non-controlling interest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Other transactions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Crude Oil Joint Venture Interests</w:t>
      </w:r>
    </w:p>
    <w:p>
      <w:pPr>
        <w:spacing w:after="0" w:line="9"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In connection with the December 2016 bankruptcy filing of our former joint venture partner, we wrote off approximately $7.5 million of outstanding amounts owed to us by our former joint venture partner, during the three months ended December 31, 2016.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Acquisitions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1, 2015, we completed the acquisition of all of the outstanding stock of Pester, a leading distributor, transporter, and blender of branded motor fuels and lubricants to wholesale, industrial, commercial and agricultural customers. Pester is headquartered in Denver, Colorado and is also a leading operator of retail convenience stores in the Rocky Mountain region. In connection with the Pester acquisition, we committed to a plan to sell certain assets and liabilities of Pester’s fuel retail business. The assets and liabilities of the business were presented separately as held for sale in our consolidated balance sheets as of December 31, 2015. Current assets held for sale of the disposal group, which includes inventories and other current assets, were $5.5 million. The non-current assets held for sale, which include property and equipment, goodwill and identifiable intangible assets, were $36.5 million. Goodwill was subsequently adjusted from $5.9 million to $ 2.9 million within the one year purchase price allocation period. Current liabilities held for sale, which includes accounts payable and accrued expenses and other current liabilities, were $5.6 million. Non-current liabilities held for sale, comprised of deferred tax liabilities, were $5.0 million. These net assets were reported as part of our land segment. On May 1, 2016, we completed the sale of Pester's retail business for $32.3 million, resulting in a gain of $3.8 million, which is included in other income, net in the consolidated statement of income and comprehensive income.</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the above acquisition, in 2015 we completed three acquisitions in our land segment and one acquisition in our aviation segment which were not material individually or in the aggregate.</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aggregate purchase price for the 2015 acquisitions was $102.3 million. The following reconciles the aggregate purchase price for the 2015 acquisitions to the cash paid for the acquisitions, net of cash acquired (in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31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r>
      <w:tr>
        <w:trPr>
          <w:trHeight w:val="250"/>
        </w:trPr>
        <w:tc>
          <w:tcPr>
            <w:tcW w:w="7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Cash acquired</w:t>
            </w:r>
          </w:p>
        </w:tc>
        <w:tc>
          <w:tcPr>
            <w:tcW w:w="3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r>
      <w:tr>
        <w:trPr>
          <w:trHeight w:val="257"/>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price, net of cash acquired</w:t>
            </w:r>
          </w:p>
        </w:tc>
        <w:tc>
          <w:tcPr>
            <w:tcW w:w="3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r>
      <w:tr>
        <w:trPr>
          <w:trHeight w:val="250"/>
        </w:trPr>
        <w:tc>
          <w:tcPr>
            <w:tcW w:w="7140" w:type="dxa"/>
            <w:vAlign w:val="bottom"/>
          </w:tcPr>
          <w:p>
            <w:pPr>
              <w:ind w:left="40"/>
              <w:spacing w:after="0"/>
              <w:rPr>
                <w:sz w:val="20"/>
                <w:szCs w:val="20"/>
                <w:color w:val="auto"/>
              </w:rPr>
            </w:pPr>
            <w:r>
              <w:rPr>
                <w:rFonts w:ascii="Arial" w:cs="Arial" w:eastAsia="Arial" w:hAnsi="Arial"/>
                <w:sz w:val="18"/>
                <w:szCs w:val="18"/>
                <w:color w:val="auto"/>
              </w:rPr>
              <w:t>Less: Amounts due to sellers and promissory notes issued</w:t>
            </w:r>
          </w:p>
        </w:tc>
        <w:tc>
          <w:tcPr>
            <w:tcW w:w="3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57"/>
        </w:trPr>
        <w:tc>
          <w:tcPr>
            <w:tcW w:w="7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paid for acquisition of businesses</w:t>
            </w:r>
          </w:p>
        </w:tc>
        <w:tc>
          <w:tcPr>
            <w:tcW w:w="3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purchase price of the 2015 acquisitions was allocated to the assets acquired and liabilities assumed based on their fair value as of the acquisition date. The estimated purchase price allocation for the 2015 acquisitions is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 acquired: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9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6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9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50"/>
        </w:trPr>
        <w:tc>
          <w:tcPr>
            <w:tcW w:w="73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9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6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9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50"/>
        </w:trPr>
        <w:tc>
          <w:tcPr>
            <w:tcW w:w="730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29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6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9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50"/>
        </w:trPr>
        <w:tc>
          <w:tcPr>
            <w:tcW w:w="7300" w:type="dxa"/>
            <w:vAlign w:val="bottom"/>
          </w:tcPr>
          <w:p>
            <w:pPr>
              <w:ind w:left="40"/>
              <w:spacing w:after="0"/>
              <w:rPr>
                <w:sz w:val="20"/>
                <w:szCs w:val="20"/>
                <w:color w:val="auto"/>
              </w:rPr>
            </w:pPr>
            <w:r>
              <w:rPr>
                <w:rFonts w:ascii="Arial" w:cs="Arial" w:eastAsia="Arial" w:hAnsi="Arial"/>
                <w:sz w:val="18"/>
                <w:szCs w:val="18"/>
                <w:color w:val="auto"/>
              </w:rPr>
              <w:t>Other current and long-term assets</w:t>
            </w:r>
          </w:p>
        </w:tc>
        <w:tc>
          <w:tcPr>
            <w:tcW w:w="29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26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 assumed:</w:t>
            </w:r>
          </w:p>
        </w:tc>
        <w:tc>
          <w:tcPr>
            <w:tcW w:w="29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730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29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6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9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50"/>
        </w:trPr>
        <w:tc>
          <w:tcPr>
            <w:tcW w:w="7300" w:type="dxa"/>
            <w:vAlign w:val="bottom"/>
          </w:tcPr>
          <w:p>
            <w:pPr>
              <w:ind w:left="40"/>
              <w:spacing w:after="0"/>
              <w:rPr>
                <w:sz w:val="20"/>
                <w:szCs w:val="20"/>
                <w:color w:val="auto"/>
              </w:rPr>
            </w:pPr>
            <w:r>
              <w:rPr>
                <w:rFonts w:ascii="Arial" w:cs="Arial" w:eastAsia="Arial" w:hAnsi="Arial"/>
                <w:sz w:val="18"/>
                <w:szCs w:val="18"/>
                <w:color w:val="auto"/>
              </w:rPr>
              <w:t>Customer Deposits</w:t>
            </w:r>
          </w:p>
        </w:tc>
        <w:tc>
          <w:tcPr>
            <w:tcW w:w="29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9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50"/>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Non-current income tax liabilities and other long term liabilities</w:t>
            </w:r>
          </w:p>
        </w:tc>
        <w:tc>
          <w:tcPr>
            <w:tcW w:w="29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7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29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2015 acquisitions, we recorded goodwill of $ 39.4 million of which $1.7 million is anticipated to be deductible for tax purposes. The identifiable intangible assets consisted of $18.1 million of customer relationships, $4.8 million of supplier relationships and $2.1 million of other identifiable intangible assets with weighted average lives of 5.3 years, 6.2 years and 3.4 years, respectively, as well as $0.9 million of indefinite-lived trademark/trade name rights.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presents the unaudited pro forma results for 2015 and 2014 as if the 2015 and 2014 acquisitions had been completed on January 1, 2014 (in millions, except per share data):</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300" w:type="dxa"/>
            <w:vAlign w:val="bottom"/>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6"/>
                <w:szCs w:val="16"/>
                <w:color w:val="auto"/>
              </w:rPr>
            </w:pPr>
          </w:p>
        </w:tc>
        <w:tc>
          <w:tcPr>
            <w:tcW w:w="1300" w:type="dxa"/>
            <w:vAlign w:val="bottom"/>
          </w:tcPr>
          <w:p>
            <w:pPr>
              <w:jc w:val="right"/>
              <w:ind w:right="16"/>
              <w:spacing w:after="0"/>
              <w:rPr>
                <w:sz w:val="20"/>
                <w:szCs w:val="20"/>
                <w:color w:val="auto"/>
              </w:rPr>
            </w:pPr>
            <w:r>
              <w:rPr>
                <w:rFonts w:ascii="Arial" w:cs="Arial" w:eastAsia="Arial" w:hAnsi="Arial"/>
                <w:sz w:val="14"/>
                <w:szCs w:val="14"/>
                <w:b w:val="1"/>
                <w:bCs w:val="1"/>
                <w:color w:val="auto"/>
              </w:rPr>
              <w:t>2014</w:t>
            </w:r>
          </w:p>
        </w:tc>
      </w:tr>
      <w:tr>
        <w:trPr>
          <w:trHeight w:val="276"/>
        </w:trPr>
        <w:tc>
          <w:tcPr>
            <w:tcW w:w="5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00" w:type="dxa"/>
            <w:vAlign w:val="bottom"/>
          </w:tcPr>
          <w:p>
            <w:pPr>
              <w:jc w:val="right"/>
              <w:ind w:right="36"/>
              <w:spacing w:after="0"/>
              <w:rPr>
                <w:sz w:val="20"/>
                <w:szCs w:val="20"/>
                <w:color w:val="auto"/>
              </w:rPr>
            </w:pPr>
            <w:r>
              <w:rPr>
                <w:rFonts w:ascii="Arial" w:cs="Arial" w:eastAsia="Arial" w:hAnsi="Arial"/>
                <w:sz w:val="14"/>
                <w:szCs w:val="14"/>
                <w:b w:val="1"/>
                <w:bCs w:val="1"/>
                <w:color w:val="auto"/>
              </w:rPr>
              <w:t>(pro forma)</w:t>
            </w:r>
          </w:p>
        </w:tc>
        <w:tc>
          <w:tcPr>
            <w:tcW w:w="640" w:type="dxa"/>
            <w:vAlign w:val="bottom"/>
          </w:tcPr>
          <w:p>
            <w:pPr>
              <w:spacing w:after="0"/>
              <w:rPr>
                <w:sz w:val="24"/>
                <w:szCs w:val="24"/>
                <w:color w:val="auto"/>
              </w:rPr>
            </w:pPr>
          </w:p>
        </w:tc>
        <w:tc>
          <w:tcPr>
            <w:tcW w:w="1300" w:type="dxa"/>
            <w:vAlign w:val="bottom"/>
          </w:tcPr>
          <w:p>
            <w:pPr>
              <w:jc w:val="right"/>
              <w:ind w:right="16"/>
              <w:spacing w:after="0"/>
              <w:rPr>
                <w:sz w:val="20"/>
                <w:szCs w:val="20"/>
                <w:color w:val="auto"/>
              </w:rPr>
            </w:pPr>
            <w:r>
              <w:rPr>
                <w:rFonts w:ascii="Arial" w:cs="Arial" w:eastAsia="Arial" w:hAnsi="Arial"/>
                <w:sz w:val="14"/>
                <w:szCs w:val="14"/>
                <w:b w:val="1"/>
                <w:bCs w:val="1"/>
                <w:color w:val="auto"/>
              </w:rPr>
              <w:t>(pro forma)</w:t>
            </w:r>
          </w:p>
        </w:tc>
      </w:tr>
      <w:tr>
        <w:trPr>
          <w:trHeight w:val="276"/>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30,952.0</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44,432.0</w:t>
            </w:r>
          </w:p>
        </w:tc>
      </w:tr>
      <w:tr>
        <w:trPr>
          <w:trHeight w:val="263"/>
        </w:trPr>
        <w:tc>
          <w:tcPr>
            <w:tcW w:w="5340" w:type="dxa"/>
            <w:vAlign w:val="bottom"/>
          </w:tcPr>
          <w:p>
            <w:pPr>
              <w:ind w:left="40"/>
              <w:spacing w:after="0"/>
              <w:rPr>
                <w:sz w:val="20"/>
                <w:szCs w:val="20"/>
                <w:color w:val="auto"/>
              </w:rPr>
            </w:pPr>
            <w:r>
              <w:rPr>
                <w:rFonts w:ascii="Arial" w:cs="Arial" w:eastAsia="Arial" w:hAnsi="Arial"/>
                <w:sz w:val="18"/>
                <w:szCs w:val="18"/>
                <w:color w:val="auto"/>
              </w:rPr>
              <w:t>Net income attributable to World Fuel</w:t>
            </w:r>
          </w:p>
        </w:tc>
        <w:tc>
          <w:tcPr>
            <w:tcW w:w="2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190.6</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231.1</w:t>
            </w:r>
          </w:p>
        </w:tc>
      </w:tr>
      <w:tr>
        <w:trPr>
          <w:trHeight w:val="304"/>
        </w:trPr>
        <w:tc>
          <w:tcPr>
            <w:tcW w:w="534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3"/>
        </w:trPr>
        <w:tc>
          <w:tcPr>
            <w:tcW w:w="534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2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2.71</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3.26</w:t>
            </w:r>
          </w:p>
        </w:tc>
      </w:tr>
      <w:tr>
        <w:trPr>
          <w:trHeight w:val="257"/>
        </w:trPr>
        <w:tc>
          <w:tcPr>
            <w:tcW w:w="5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2.70</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3.24</w:t>
            </w:r>
          </w:p>
        </w:tc>
      </w:tr>
    </w:tbl>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financial position, results of operations and cash flows of the 2015 acquisitions have been included in our consolidated financial statements since their respective acquisition dates and did not have a significant impact on our revenue and net income for the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Acquisitions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7, 2014, we completed the acquisition of all of the outstanding stock of Watson Petroleum Limited (now known as WFL (UK) Limited) (“Watson Petroleum”) a leading distributor of gasoline, diesel, heating oil, lubricants and other products and related services. Watson Petroleum is headquartered in Brinkworth, England and is one of the largest fuel distributors in the U.K. The purchase price of Watson Petroleum was $164.3 million.</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29, 2014, we completed the acquisition of all of the outstanding stock of Colt International, L.L.C. (“Colt”) a leading provider of contract fuel and international trip planning services in the general aviation marketplace. Colt is headquartered in Houston, Texas and offers services at more than 3,000 locations. The purchase price of Colt was $72.9 million.</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the above acquisitions, in 2014, we completed two acquisitions in our aviation segment and one acquisition in our marine segment, which were not material individually or in the aggregate.</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financial position, results of operations and cash flows of the 2014 acquisitions have been included in our consolidated financial statements since their respective acquisition dates.</w:t>
      </w:r>
    </w:p>
    <w:p>
      <w:pPr>
        <w:spacing w:after="0" w:line="19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reconciles the aggregate purchase price for the 2014 acquisitions to the cash paid for the acquisitions, net of cash acquired (in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588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295.8</w:t>
            </w:r>
          </w:p>
        </w:tc>
      </w:tr>
      <w:tr>
        <w:trPr>
          <w:trHeight w:val="250"/>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Cash acquired</w:t>
            </w:r>
          </w:p>
        </w:tc>
        <w:tc>
          <w:tcPr>
            <w:tcW w:w="58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price, net of cash acquired</w:t>
            </w:r>
          </w:p>
        </w:tc>
        <w:tc>
          <w:tcPr>
            <w:tcW w:w="58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275.6</w:t>
            </w:r>
          </w:p>
        </w:tc>
      </w:tr>
      <w:tr>
        <w:trPr>
          <w:trHeight w:val="250"/>
        </w:trPr>
        <w:tc>
          <w:tcPr>
            <w:tcW w:w="4400" w:type="dxa"/>
            <w:vAlign w:val="bottom"/>
          </w:tcPr>
          <w:p>
            <w:pPr>
              <w:ind w:left="40"/>
              <w:spacing w:after="0"/>
              <w:rPr>
                <w:sz w:val="20"/>
                <w:szCs w:val="20"/>
                <w:color w:val="auto"/>
              </w:rPr>
            </w:pPr>
            <w:r>
              <w:rPr>
                <w:rFonts w:ascii="Arial" w:cs="Arial" w:eastAsia="Arial" w:hAnsi="Arial"/>
                <w:sz w:val="18"/>
                <w:szCs w:val="18"/>
                <w:color w:val="auto"/>
              </w:rPr>
              <w:t>Less: Promissory notes issued</w:t>
            </w:r>
          </w:p>
        </w:tc>
        <w:tc>
          <w:tcPr>
            <w:tcW w:w="58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57"/>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Less: Amounts due to sellers</w:t>
            </w:r>
          </w:p>
        </w:tc>
        <w:tc>
          <w:tcPr>
            <w:tcW w:w="58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50"/>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paid for acquisition of businesses</w:t>
            </w:r>
          </w:p>
        </w:tc>
        <w:tc>
          <w:tcPr>
            <w:tcW w:w="588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263.2</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23"/>
        </w:trPr>
        <w:tc>
          <w:tcPr>
            <w:tcW w:w="4400" w:type="dxa"/>
            <w:vAlign w:val="bottom"/>
          </w:tcPr>
          <w:p>
            <w:pPr>
              <w:spacing w:after="0"/>
              <w:rPr>
                <w:sz w:val="24"/>
                <w:szCs w:val="24"/>
                <w:color w:val="auto"/>
              </w:rPr>
            </w:pPr>
          </w:p>
        </w:tc>
        <w:tc>
          <w:tcPr>
            <w:tcW w:w="5880" w:type="dxa"/>
            <w:vAlign w:val="bottom"/>
          </w:tcPr>
          <w:p>
            <w:pPr>
              <w:jc w:val="right"/>
              <w:ind w:right="4396"/>
              <w:spacing w:after="0"/>
              <w:rPr>
                <w:sz w:val="20"/>
                <w:szCs w:val="20"/>
                <w:color w:val="auto"/>
              </w:rPr>
            </w:pPr>
            <w:r>
              <w:rPr>
                <w:rFonts w:ascii="Arial" w:cs="Arial" w:eastAsia="Arial" w:hAnsi="Arial"/>
                <w:sz w:val="14"/>
                <w:szCs w:val="14"/>
                <w:color w:val="auto"/>
              </w:rPr>
              <w:t>69</w:t>
            </w: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purchase price for each of the 2014 acquisitions was allocated to the assets acquired and liabilities assumed based on their estimated fair value at the acquisition date. On an aggregate basis, the purchase price allocation for the 2014 acquisitions is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 acquired: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63"/>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257.9</w:t>
            </w:r>
          </w:p>
        </w:tc>
      </w:tr>
      <w:tr>
        <w:trPr>
          <w:trHeight w:val="250"/>
        </w:trPr>
        <w:tc>
          <w:tcPr>
            <w:tcW w:w="71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0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63"/>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30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50"/>
        </w:trPr>
        <w:tc>
          <w:tcPr>
            <w:tcW w:w="718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0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83.5</w:t>
            </w:r>
          </w:p>
        </w:tc>
      </w:tr>
      <w:tr>
        <w:trPr>
          <w:trHeight w:val="263"/>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177.8</w:t>
            </w:r>
          </w:p>
        </w:tc>
      </w:tr>
      <w:tr>
        <w:trPr>
          <w:trHeight w:val="250"/>
        </w:trPr>
        <w:tc>
          <w:tcPr>
            <w:tcW w:w="7180" w:type="dxa"/>
            <w:vAlign w:val="bottom"/>
          </w:tcPr>
          <w:p>
            <w:pPr>
              <w:ind w:left="40"/>
              <w:spacing w:after="0"/>
              <w:rPr>
                <w:sz w:val="20"/>
                <w:szCs w:val="20"/>
                <w:color w:val="auto"/>
              </w:rPr>
            </w:pPr>
            <w:r>
              <w:rPr>
                <w:rFonts w:ascii="Arial" w:cs="Arial" w:eastAsia="Arial" w:hAnsi="Arial"/>
                <w:sz w:val="18"/>
                <w:szCs w:val="18"/>
                <w:color w:val="auto"/>
              </w:rPr>
              <w:t>Other current and long-term assets</w:t>
            </w:r>
          </w:p>
        </w:tc>
        <w:tc>
          <w:tcPr>
            <w:tcW w:w="30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63"/>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 assumed:</w:t>
            </w:r>
          </w:p>
        </w:tc>
        <w:tc>
          <w:tcPr>
            <w:tcW w:w="30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71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0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(247.6)</w:t>
            </w:r>
          </w:p>
        </w:tc>
      </w:tr>
      <w:tr>
        <w:trPr>
          <w:trHeight w:val="263"/>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0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50"/>
        </w:trPr>
        <w:tc>
          <w:tcPr>
            <w:tcW w:w="71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0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57"/>
        </w:trPr>
        <w:tc>
          <w:tcPr>
            <w:tcW w:w="7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Initial noncontrolling interest upon acquisition of businesses</w:t>
            </w:r>
          </w:p>
        </w:tc>
        <w:tc>
          <w:tcPr>
            <w:tcW w:w="30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50"/>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Purchase price</w:t>
            </w:r>
          </w:p>
        </w:tc>
        <w:tc>
          <w:tcPr>
            <w:tcW w:w="3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295.8</w:t>
            </w: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acquisition of Watson Petroleum, we made a payment of £ 13.0 million ($21.7 million) to an escrow account related to an estimated assumed pension exit obligation and amounts due to sellers. During 2015, we completed the pension buy-out and the remaining escrow account balance of £3.4 million ($5.1 million) was paid to the sellers. As of December 31, 2015 we had an additional amount due to sellers of £2.1 million ($3.0 million) which is included in accrued expenses and other current liabilities in the accompanying consolidated balance sheets.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our 2014 acquisitions, we recorded goodwill of $ 177.8 million, of which $22.4 million is anticipated to be deductible for tax purposes. The aggregate identifiable intangible assets consisted of $55.5 million of customer relationships and $16.5 million of other identifiable intangible assets with weighted average lives of 4.9 years and 5.0 years, respectively, as well as $11.5 million of indefinite-lived trademark/trade name rights.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derivative classifications: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derivative contracts we execute to mitigate the risk of price volatility in forecasted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 contracts we hold to hedge the risk of changes in the price of our inventory.</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transact to mitigate the risk of market price fluctuations in the form of swap or</w:t>
      </w:r>
      <w:r>
        <w:rPr>
          <w:rFonts w:ascii="Arial" w:cs="Arial" w:eastAsia="Arial" w:hAnsi="Arial"/>
          <w:sz w:val="18"/>
          <w:szCs w:val="18"/>
          <w:i w:val="1"/>
          <w:iCs w:val="1"/>
          <w:color w:val="auto"/>
        </w:rPr>
        <w:t xml:space="preserve"> </w:t>
      </w:r>
      <w:r>
        <w:rPr>
          <w:rFonts w:ascii="Arial" w:cs="Arial" w:eastAsia="Arial" w:hAnsi="Arial"/>
          <w:sz w:val="18"/>
          <w:szCs w:val="18"/>
          <w:color w:val="auto"/>
        </w:rPr>
        <w:t>futures contracts as well as certain forward fixed price purchase and sale contracts and proprietary trading. In addition, non-designated derivatives are held to hedge the risk of currency rate fluctuations. For additional information on our derivatives accounting policy, see Note 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consolidated balance sheets (in millions):</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Gross Derivative Assets</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Gross Derivative Liabilities</w:t>
            </w:r>
          </w:p>
        </w:tc>
      </w:tr>
      <w:tr>
        <w:trPr>
          <w:trHeight w:val="250"/>
        </w:trPr>
        <w:tc>
          <w:tcPr>
            <w:tcW w:w="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21"/>
                <w:szCs w:val="21"/>
                <w:color w:val="auto"/>
              </w:rPr>
            </w:pPr>
          </w:p>
        </w:tc>
        <w:tc>
          <w:tcPr>
            <w:tcW w:w="204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As of December 31,</w:t>
            </w:r>
          </w:p>
        </w:tc>
      </w:tr>
      <w:tr>
        <w:trPr>
          <w:trHeight w:val="250"/>
        </w:trPr>
        <w:tc>
          <w:tcPr>
            <w:tcW w:w="2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0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3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2015</w:t>
            </w:r>
          </w:p>
        </w:tc>
      </w:tr>
      <w:tr>
        <w:trPr>
          <w:trHeight w:val="216"/>
        </w:trPr>
        <w:tc>
          <w:tcPr>
            <w:tcW w:w="20" w:type="dxa"/>
            <w:vAlign w:val="bottom"/>
            <w:shd w:val="clear" w:color="auto" w:fill="CCEEFF"/>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auto"/>
            </w:tcBorders>
            <w:shd w:val="clear" w:color="auto" w:fill="CCEEFF"/>
          </w:tcPr>
          <w:p>
            <w:pPr>
              <w:spacing w:after="0"/>
              <w:rPr>
                <w:sz w:val="2"/>
                <w:szCs w:val="2"/>
                <w:color w:val="auto"/>
              </w:rPr>
            </w:pPr>
          </w:p>
        </w:tc>
        <w:tc>
          <w:tcPr>
            <w:tcW w:w="1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Commodity contracts</w:t>
            </w:r>
          </w:p>
        </w:tc>
        <w:tc>
          <w:tcPr>
            <w:tcW w:w="4060" w:type="dxa"/>
            <w:vAlign w:val="bottom"/>
            <w:gridSpan w:val="3"/>
          </w:tcPr>
          <w:p>
            <w:pPr>
              <w:ind w:left="420"/>
              <w:spacing w:after="0"/>
              <w:rPr>
                <w:sz w:val="20"/>
                <w:szCs w:val="20"/>
                <w:color w:val="auto"/>
              </w:rPr>
            </w:pPr>
            <w:r>
              <w:rPr>
                <w:rFonts w:ascii="Arial" w:cs="Arial" w:eastAsia="Arial" w:hAnsi="Arial"/>
                <w:sz w:val="18"/>
                <w:szCs w:val="18"/>
                <w:color w:val="auto"/>
              </w:rPr>
              <w:t>Short-term derivative assets,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120.6</w:t>
            </w:r>
          </w:p>
        </w:tc>
        <w:tc>
          <w:tcPr>
            <w:tcW w:w="2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95.0</w:t>
            </w:r>
          </w:p>
        </w:tc>
      </w:tr>
      <w:tr>
        <w:trPr>
          <w:trHeight w:val="235"/>
        </w:trPr>
        <w:tc>
          <w:tcPr>
            <w:tcW w:w="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Identifiable intangible and other non-current</w:t>
            </w: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60" w:type="dxa"/>
            <w:vAlign w:val="bottom"/>
            <w:gridSpan w:val="3"/>
          </w:tcPr>
          <w:p>
            <w:pPr>
              <w:ind w:left="420"/>
              <w:spacing w:after="0"/>
              <w:rPr>
                <w:sz w:val="20"/>
                <w:szCs w:val="20"/>
                <w:color w:val="auto"/>
              </w:rPr>
            </w:pPr>
            <w:r>
              <w:rPr>
                <w:rFonts w:ascii="Arial" w:cs="Arial" w:eastAsia="Arial" w:hAnsi="Arial"/>
                <w:sz w:val="18"/>
                <w:szCs w:val="18"/>
                <w:color w:val="auto"/>
              </w:rPr>
              <w:t>Accrued expenses and other current</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60" w:type="dxa"/>
            <w:vAlign w:val="bottom"/>
            <w:gridSpan w:val="3"/>
          </w:tcPr>
          <w:p>
            <w:pPr>
              <w:ind w:left="42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86.0</w:t>
            </w:r>
          </w:p>
        </w:tc>
        <w:tc>
          <w:tcPr>
            <w:tcW w:w="40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93.5</w:t>
            </w:r>
          </w:p>
        </w:tc>
        <w:tc>
          <w:tcPr>
            <w:tcW w:w="38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2.9</w:t>
            </w:r>
          </w:p>
        </w:tc>
      </w:tr>
      <w:tr>
        <w:trPr>
          <w:trHeight w:val="270"/>
        </w:trPr>
        <w:tc>
          <w:tcPr>
            <w:tcW w:w="2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4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50"/>
        </w:trPr>
        <w:tc>
          <w:tcPr>
            <w:tcW w:w="664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color w:val="auto"/>
              </w:rPr>
              <w:t>Total derivatives designated as hedging instruments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134.3</w:t>
            </w:r>
          </w:p>
        </w:tc>
        <w:tc>
          <w:tcPr>
            <w:tcW w:w="2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3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97.9</w:t>
            </w:r>
          </w:p>
        </w:tc>
      </w:tr>
      <w:tr>
        <w:trPr>
          <w:trHeight w:val="331"/>
        </w:trPr>
        <w:tc>
          <w:tcPr>
            <w:tcW w:w="20" w:type="dxa"/>
            <w:vAlign w:val="bottom"/>
            <w:shd w:val="clear" w:color="auto" w:fill="CCEEFF"/>
          </w:tcPr>
          <w:p>
            <w:pPr>
              <w:spacing w:after="0"/>
              <w:rPr>
                <w:sz w:val="24"/>
                <w:szCs w:val="24"/>
                <w:color w:val="auto"/>
              </w:rPr>
            </w:pPr>
          </w:p>
        </w:tc>
        <w:tc>
          <w:tcPr>
            <w:tcW w:w="4040" w:type="dxa"/>
            <w:vAlign w:val="bottom"/>
            <w:gridSpan w:val="2"/>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16"/>
        </w:trPr>
        <w:tc>
          <w:tcPr>
            <w:tcW w:w="6640" w:type="dxa"/>
            <w:vAlign w:val="bottom"/>
            <w:gridSpan w:val="5"/>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256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4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Short-term derivative assets,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241.4</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r>
      <w:tr>
        <w:trPr>
          <w:trHeight w:val="229"/>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60" w:type="dxa"/>
            <w:vAlign w:val="bottom"/>
            <w:gridSpan w:val="3"/>
          </w:tcPr>
          <w:p>
            <w:pPr>
              <w:ind w:left="420"/>
              <w:spacing w:after="0"/>
              <w:rPr>
                <w:sz w:val="20"/>
                <w:szCs w:val="20"/>
                <w:color w:val="auto"/>
              </w:rPr>
            </w:pPr>
            <w:r>
              <w:rPr>
                <w:rFonts w:ascii="Arial" w:cs="Arial" w:eastAsia="Arial" w:hAnsi="Arial"/>
                <w:sz w:val="18"/>
                <w:szCs w:val="18"/>
                <w:color w:val="auto"/>
              </w:rPr>
              <w:t>Identifiable intangible and other non-current</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60" w:type="dxa"/>
            <w:vAlign w:val="bottom"/>
            <w:gridSpan w:val="3"/>
          </w:tcPr>
          <w:p>
            <w:pPr>
              <w:ind w:left="42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4.8</w:t>
            </w:r>
          </w:p>
        </w:tc>
      </w:tr>
      <w:tr>
        <w:trPr>
          <w:trHeight w:val="235"/>
        </w:trPr>
        <w:tc>
          <w:tcPr>
            <w:tcW w:w="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w:t>
            </w: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120.4</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319.9</w:t>
            </w:r>
          </w:p>
        </w:tc>
      </w:tr>
      <w:tr>
        <w:trPr>
          <w:trHeight w:val="264"/>
        </w:trPr>
        <w:tc>
          <w:tcPr>
            <w:tcW w:w="2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spacing w:after="0"/>
              <w:rPr>
                <w:sz w:val="22"/>
                <w:szCs w:val="22"/>
                <w:color w:val="auto"/>
              </w:rPr>
            </w:pPr>
          </w:p>
        </w:tc>
        <w:tc>
          <w:tcPr>
            <w:tcW w:w="406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14.2</w:t>
            </w:r>
          </w:p>
        </w:tc>
      </w:tr>
      <w:tr>
        <w:trPr>
          <w:trHeight w:val="270"/>
        </w:trPr>
        <w:tc>
          <w:tcPr>
            <w:tcW w:w="2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382.9</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3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365.5</w:t>
            </w:r>
          </w:p>
        </w:tc>
      </w:tr>
      <w:tr>
        <w:trPr>
          <w:trHeight w:val="324"/>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4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Short-term derivative assets,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r>
      <w:tr>
        <w:trPr>
          <w:trHeight w:val="229"/>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60" w:type="dxa"/>
            <w:vAlign w:val="bottom"/>
            <w:gridSpan w:val="3"/>
          </w:tcPr>
          <w:p>
            <w:pPr>
              <w:ind w:left="420"/>
              <w:spacing w:after="0"/>
              <w:rPr>
                <w:sz w:val="20"/>
                <w:szCs w:val="20"/>
                <w:color w:val="auto"/>
              </w:rPr>
            </w:pPr>
            <w:r>
              <w:rPr>
                <w:rFonts w:ascii="Arial" w:cs="Arial" w:eastAsia="Arial" w:hAnsi="Arial"/>
                <w:sz w:val="18"/>
                <w:szCs w:val="18"/>
                <w:color w:val="auto"/>
              </w:rPr>
              <w:t>Identifiable intangible and other non-current</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060" w:type="dxa"/>
            <w:vAlign w:val="bottom"/>
            <w:gridSpan w:val="3"/>
          </w:tcPr>
          <w:p>
            <w:pPr>
              <w:ind w:left="42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0.1</w:t>
            </w:r>
          </w:p>
        </w:tc>
      </w:tr>
      <w:tr>
        <w:trPr>
          <w:trHeight w:val="235"/>
        </w:trPr>
        <w:tc>
          <w:tcPr>
            <w:tcW w:w="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w:t>
            </w: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4"/>
        </w:trPr>
        <w:tc>
          <w:tcPr>
            <w:tcW w:w="2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spacing w:after="0"/>
              <w:rPr>
                <w:sz w:val="19"/>
                <w:szCs w:val="19"/>
                <w:color w:val="auto"/>
              </w:rPr>
            </w:pPr>
          </w:p>
        </w:tc>
        <w:tc>
          <w:tcPr>
            <w:tcW w:w="4060" w:type="dxa"/>
            <w:vAlign w:val="bottom"/>
            <w:tcBorders>
              <w:bottom w:val="single" w:sz="8" w:color="auto"/>
            </w:tcBorders>
            <w:gridSpan w:val="3"/>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r>
      <w:tr>
        <w:trPr>
          <w:trHeight w:val="264"/>
        </w:trPr>
        <w:tc>
          <w:tcPr>
            <w:tcW w:w="66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Total derivatives not designated as hedging instruments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w:t>
            </w:r>
          </w:p>
        </w:tc>
      </w:tr>
      <w:tr>
        <w:trPr>
          <w:trHeight w:val="264"/>
        </w:trPr>
        <w:tc>
          <w:tcPr>
            <w:tcW w:w="2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4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529.6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38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468.5</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11.</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gross notional values of our commodity and foreign currency exchange derivative contracts used for risk management purposes that were outstanding as of December 31, 2016 (in millions):</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2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16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Units</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2016</w:t>
            </w:r>
          </w:p>
        </w:tc>
      </w:tr>
      <w:tr>
        <w:trPr>
          <w:trHeight w:val="27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16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BBL</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62.7</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BBL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324"/>
        </w:trPr>
        <w:tc>
          <w:tcPr>
            <w:tcW w:w="8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exchange contracts</w:t>
            </w:r>
          </w:p>
        </w:tc>
        <w:tc>
          <w:tcPr>
            <w:tcW w:w="16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AUD</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AUD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CAD</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51.9</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CAD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CHF</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CHF</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CLP</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1,769.6</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CLP</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(2,015.1)</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COP</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27,753.2</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COP</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(48,454.9)</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DKK</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DKK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EUR</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EUR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GBP</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72.0</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GBP</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INR</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20.3</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INR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JPY</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1,167.9</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JPY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(1,509.2)</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KRW</w:t>
            </w:r>
          </w:p>
        </w:tc>
        <w:tc>
          <w:tcPr>
            <w:tcW w:w="1120" w:type="dxa"/>
            <w:vAlign w:val="bottom"/>
          </w:tcPr>
          <w:p>
            <w:pPr>
              <w:jc w:val="right"/>
              <w:spacing w:after="0"/>
              <w:rPr>
                <w:sz w:val="20"/>
                <w:szCs w:val="20"/>
                <w:color w:val="auto"/>
              </w:rPr>
            </w:pPr>
            <w:r>
              <w:rPr>
                <w:rFonts w:ascii="Arial" w:cs="Arial" w:eastAsia="Arial" w:hAnsi="Arial"/>
                <w:sz w:val="18"/>
                <w:szCs w:val="18"/>
                <w:color w:val="auto"/>
              </w:rPr>
              <w:t>(11,735.9)</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MXN</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1,229.1</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MXN</w:t>
            </w:r>
          </w:p>
        </w:tc>
        <w:tc>
          <w:tcPr>
            <w:tcW w:w="1120" w:type="dxa"/>
            <w:vAlign w:val="bottom"/>
          </w:tcPr>
          <w:p>
            <w:pPr>
              <w:jc w:val="right"/>
              <w:spacing w:after="0"/>
              <w:rPr>
                <w:sz w:val="20"/>
                <w:szCs w:val="20"/>
                <w:color w:val="auto"/>
              </w:rPr>
            </w:pPr>
            <w:r>
              <w:rPr>
                <w:rFonts w:ascii="Arial" w:cs="Arial" w:eastAsia="Arial" w:hAnsi="Arial"/>
                <w:sz w:val="18"/>
                <w:szCs w:val="18"/>
                <w:color w:val="auto"/>
              </w:rPr>
              <w:t>(1,105.6)</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NOK</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NOK</w:t>
            </w:r>
          </w:p>
        </w:tc>
        <w:tc>
          <w:tcPr>
            <w:tcW w:w="112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NZD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PHP</w:t>
            </w: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PLN</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PLN</w:t>
            </w: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RON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SEK</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36.7</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SEK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SGD</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15.9</w:t>
            </w:r>
          </w:p>
        </w:tc>
      </w:tr>
      <w:tr>
        <w:trPr>
          <w:trHeight w:val="27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SGD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63"/>
        </w:trPr>
        <w:tc>
          <w:tcPr>
            <w:tcW w:w="8680" w:type="dxa"/>
            <w:vAlign w:val="bottom"/>
          </w:tcPr>
          <w:p>
            <w:pPr>
              <w:ind w:left="20"/>
              <w:spacing w:after="0"/>
              <w:rPr>
                <w:sz w:val="20"/>
                <w:szCs w:val="20"/>
                <w:color w:val="auto"/>
              </w:rPr>
            </w:pPr>
            <w:r>
              <w:rPr>
                <w:rFonts w:ascii="Arial" w:cs="Arial" w:eastAsia="Arial" w:hAnsi="Arial"/>
                <w:sz w:val="18"/>
                <w:szCs w:val="18"/>
                <w:color w:val="auto"/>
              </w:rPr>
              <w:t>Long</w:t>
            </w:r>
          </w:p>
        </w:tc>
        <w:tc>
          <w:tcPr>
            <w:tcW w:w="1600" w:type="dxa"/>
            <w:vAlign w:val="bottom"/>
          </w:tcPr>
          <w:p>
            <w:pPr>
              <w:jc w:val="right"/>
              <w:ind w:right="171"/>
              <w:spacing w:after="0"/>
              <w:rPr>
                <w:sz w:val="20"/>
                <w:szCs w:val="20"/>
                <w:color w:val="auto"/>
              </w:rPr>
            </w:pPr>
            <w:r>
              <w:rPr>
                <w:rFonts w:ascii="Arial" w:cs="Arial" w:eastAsia="Arial" w:hAnsi="Arial"/>
                <w:sz w:val="18"/>
                <w:szCs w:val="18"/>
                <w:color w:val="auto"/>
              </w:rPr>
              <w:t>ZAR</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16.4</w:t>
            </w:r>
          </w:p>
        </w:tc>
      </w:tr>
      <w:tr>
        <w:trPr>
          <w:trHeight w:val="270"/>
        </w:trPr>
        <w:tc>
          <w:tcPr>
            <w:tcW w:w="8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ZAR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about our use of derivative instruments, see </w:t>
      </w:r>
      <w:r>
        <w:rPr>
          <w:rFonts w:ascii="Arial" w:cs="Arial" w:eastAsia="Arial" w:hAnsi="Arial"/>
          <w:sz w:val="18"/>
          <w:szCs w:val="18"/>
          <w:i w:val="1"/>
          <w:iCs w:val="1"/>
          <w:color w:val="auto"/>
        </w:rPr>
        <w:t>Item 7A. Quantitative and Qualitative Disclosures About Market Risk.</w:t>
      </w:r>
    </w:p>
    <w:p>
      <w:pPr>
        <w:spacing w:after="0" w:line="24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and related hedged items in fair value hedging relationships on our consolidated statements of income and comprehensive income (in millions):</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Realized and Unrealized</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Realized and Unrealized</w:t>
            </w:r>
          </w:p>
        </w:tc>
      </w:tr>
      <w:tr>
        <w:trPr>
          <w:trHeight w:val="196"/>
        </w:trPr>
        <w:tc>
          <w:tcPr>
            <w:tcW w:w="28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Gain (Loss)</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Gain (Loss)</w:t>
            </w:r>
          </w:p>
        </w:tc>
      </w:tr>
      <w:tr>
        <w:trPr>
          <w:trHeight w:val="175"/>
        </w:trPr>
        <w:tc>
          <w:tcPr>
            <w:tcW w:w="2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9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for the Year ended</w:t>
            </w: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for the Year ended</w:t>
            </w:r>
          </w:p>
        </w:tc>
      </w:tr>
      <w:tr>
        <w:trPr>
          <w:trHeight w:val="196"/>
        </w:trPr>
        <w:tc>
          <w:tcPr>
            <w:tcW w:w="28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840" w:type="dxa"/>
            <w:vAlign w:val="bottom"/>
          </w:tcPr>
          <w:p>
            <w:pPr>
              <w:ind w:left="1600"/>
              <w:spacing w:after="0"/>
              <w:rPr>
                <w:sz w:val="20"/>
                <w:szCs w:val="20"/>
                <w:color w:val="auto"/>
              </w:rPr>
            </w:pPr>
            <w:r>
              <w:rPr>
                <w:rFonts w:ascii="Arial" w:cs="Arial" w:eastAsia="Arial" w:hAnsi="Arial"/>
                <w:sz w:val="14"/>
                <w:szCs w:val="14"/>
                <w:b w:val="1"/>
                <w:bCs w:val="1"/>
                <w:color w:val="auto"/>
              </w:rPr>
              <w:t>Location of Gain</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Arial" w:cs="Arial" w:eastAsia="Arial" w:hAnsi="Arial"/>
                <w:sz w:val="14"/>
                <w:szCs w:val="14"/>
                <w:b w:val="1"/>
                <w:bCs w:val="1"/>
                <w:color w:val="auto"/>
              </w:rPr>
              <w:t>Location of Gain</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0"/>
        </w:trPr>
        <w:tc>
          <w:tcPr>
            <w:tcW w:w="2840" w:type="dxa"/>
            <w:vAlign w:val="bottom"/>
          </w:tcPr>
          <w:p>
            <w:pPr>
              <w:spacing w:after="0"/>
              <w:rPr>
                <w:sz w:val="20"/>
                <w:szCs w:val="20"/>
                <w:color w:val="auto"/>
              </w:rPr>
            </w:pPr>
            <w:r>
              <w:rPr>
                <w:rFonts w:ascii="Arial" w:cs="Arial" w:eastAsia="Arial" w:hAnsi="Arial"/>
                <w:sz w:val="14"/>
                <w:szCs w:val="14"/>
                <w:b w:val="1"/>
                <w:bCs w:val="1"/>
                <w:color w:val="auto"/>
              </w:rPr>
              <w:t>Derivative Instruments (Loss)</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Hedged Items</w:t>
            </w:r>
          </w:p>
        </w:tc>
        <w:tc>
          <w:tcPr>
            <w:tcW w:w="1380" w:type="dxa"/>
            <w:vAlign w:val="bottom"/>
          </w:tcPr>
          <w:p>
            <w:pPr>
              <w:ind w:left="140"/>
              <w:spacing w:after="0"/>
              <w:rPr>
                <w:sz w:val="20"/>
                <w:szCs w:val="20"/>
                <w:color w:val="auto"/>
              </w:rPr>
            </w:pPr>
            <w:r>
              <w:rPr>
                <w:rFonts w:ascii="Arial" w:cs="Arial" w:eastAsia="Arial" w:hAnsi="Arial"/>
                <w:sz w:val="14"/>
                <w:szCs w:val="14"/>
                <w:b w:val="1"/>
                <w:bCs w:val="1"/>
                <w:color w:val="auto"/>
              </w:rPr>
              <w:t>(Loss)</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w:t>
      </w:r>
    </w:p>
    <w:p>
      <w:pPr>
        <w:ind w:left="40"/>
        <w:spacing w:after="0"/>
        <w:rPr>
          <w:sz w:val="20"/>
          <w:szCs w:val="20"/>
          <w:color w:val="auto"/>
        </w:rPr>
      </w:pPr>
      <w:r>
        <w:rPr>
          <w:rFonts w:ascii="Arial" w:cs="Arial" w:eastAsia="Arial" w:hAnsi="Arial"/>
          <w:sz w:val="18"/>
          <w:szCs w:val="18"/>
          <w:color w:val="auto"/>
        </w:rPr>
        <w:t>contracts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640" w:type="dxa"/>
            <w:vAlign w:val="bottom"/>
          </w:tcPr>
          <w:p>
            <w:pPr>
              <w:ind w:left="1640"/>
              <w:spacing w:after="0"/>
              <w:rPr>
                <w:sz w:val="20"/>
                <w:szCs w:val="20"/>
                <w:color w:val="auto"/>
              </w:rPr>
            </w:pPr>
            <w:r>
              <w:rPr>
                <w:rFonts w:ascii="Arial" w:cs="Arial" w:eastAsia="Arial" w:hAnsi="Arial"/>
                <w:sz w:val="18"/>
                <w:szCs w:val="18"/>
                <w:color w:val="auto"/>
              </w:rPr>
              <w:t>Revenue</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5"/>
        </w:trPr>
        <w:tc>
          <w:tcPr>
            <w:tcW w:w="264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Cost of</w:t>
            </w: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4"/>
        </w:trPr>
        <w:tc>
          <w:tcPr>
            <w:tcW w:w="264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revenue</w:t>
            </w:r>
          </w:p>
        </w:tc>
        <w:tc>
          <w:tcPr>
            <w:tcW w:w="5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132.2</w:t>
            </w:r>
          </w:p>
        </w:tc>
      </w:tr>
      <w:tr>
        <w:trPr>
          <w:trHeight w:val="250"/>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gain (loss)</w:t>
            </w: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132.2</w:t>
            </w: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280" w:type="dxa"/>
            <w:vAlign w:val="bottom"/>
          </w:tcPr>
          <w:p>
            <w:pPr>
              <w:ind w:left="1280"/>
              <w:spacing w:after="0"/>
              <w:rPr>
                <w:sz w:val="20"/>
                <w:szCs w:val="20"/>
                <w:color w:val="auto"/>
              </w:rPr>
            </w:pPr>
            <w:r>
              <w:rPr>
                <w:rFonts w:ascii="Arial" w:cs="Arial" w:eastAsia="Arial" w:hAnsi="Arial"/>
                <w:sz w:val="18"/>
                <w:szCs w:val="18"/>
                <w:color w:val="auto"/>
              </w:rPr>
              <w:t>Revenue</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5"/>
        </w:trPr>
        <w:tc>
          <w:tcPr>
            <w:tcW w:w="2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Cost of</w:t>
            </w:r>
          </w:p>
        </w:tc>
        <w:tc>
          <w:tcPr>
            <w:tcW w:w="5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4"/>
        </w:trPr>
        <w:tc>
          <w:tcPr>
            <w:tcW w:w="228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revenue</w:t>
            </w:r>
          </w:p>
        </w:tc>
        <w:tc>
          <w:tcPr>
            <w:tcW w:w="5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50"/>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gain (loss)</w:t>
            </w: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80" w:space="120"/>
            <w:col w:w="5420"/>
          </w:cols>
          <w:pgMar w:left="240" w:top="125" w:right="239" w:bottom="1440" w:gutter="0" w:footer="0" w:header="0"/>
          <w:type w:val="continuous"/>
        </w:sectPr>
      </w:pPr>
    </w:p>
    <w:p>
      <w:pPr>
        <w:spacing w:after="0" w:line="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net gains or losses recognized in income for the years ended December 31, 2016, 2015 and 2014 representing hedge ineffectiveness were -$14.5 million, $16.1 million, and -$18.7 million respectively. There were no gains or losses for the year ended December 31, 2016, 2015 and 2014 that were excluded from the assessment of the effectiveness of our fair value hedges.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and consolidated statements of income and comprehensive income (in millions):</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4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Amount of Gain (Loss) Recognized in</w:t>
            </w:r>
          </w:p>
        </w:tc>
        <w:tc>
          <w:tcPr>
            <w:tcW w:w="2300" w:type="dxa"/>
            <w:vAlign w:val="bottom"/>
          </w:tcPr>
          <w:p>
            <w:pPr>
              <w:spacing w:after="0"/>
              <w:rPr>
                <w:sz w:val="14"/>
                <w:szCs w:val="14"/>
                <w:color w:val="auto"/>
              </w:rPr>
            </w:pPr>
          </w:p>
        </w:tc>
        <w:tc>
          <w:tcPr>
            <w:tcW w:w="37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Amount of Gain (Loss) Reclassified from</w:t>
            </w:r>
          </w:p>
        </w:tc>
      </w:tr>
      <w:tr>
        <w:trPr>
          <w:trHeight w:val="162"/>
        </w:trPr>
        <w:tc>
          <w:tcPr>
            <w:tcW w:w="1920" w:type="dxa"/>
            <w:vAlign w:val="bottom"/>
          </w:tcPr>
          <w:p>
            <w:pPr>
              <w:spacing w:after="0"/>
              <w:rPr>
                <w:sz w:val="14"/>
                <w:szCs w:val="14"/>
                <w:color w:val="auto"/>
              </w:rPr>
            </w:pPr>
          </w:p>
        </w:tc>
        <w:tc>
          <w:tcPr>
            <w:tcW w:w="34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Accumulated Other Comprehensive Income</w:t>
            </w:r>
          </w:p>
        </w:tc>
        <w:tc>
          <w:tcPr>
            <w:tcW w:w="2300" w:type="dxa"/>
            <w:vAlign w:val="bottom"/>
          </w:tcPr>
          <w:p>
            <w:pPr>
              <w:spacing w:after="0"/>
              <w:rPr>
                <w:sz w:val="14"/>
                <w:szCs w:val="14"/>
                <w:color w:val="auto"/>
              </w:rPr>
            </w:pPr>
          </w:p>
        </w:tc>
        <w:tc>
          <w:tcPr>
            <w:tcW w:w="37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Accumulated Other Comprehensive Income into</w:t>
            </w:r>
          </w:p>
        </w:tc>
      </w:tr>
      <w:tr>
        <w:trPr>
          <w:trHeight w:val="196"/>
        </w:trPr>
        <w:tc>
          <w:tcPr>
            <w:tcW w:w="19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(Effective Portion)</w:t>
            </w:r>
          </w:p>
        </w:tc>
        <w:tc>
          <w:tcPr>
            <w:tcW w:w="23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Income (Effective Portion)</w:t>
            </w:r>
          </w:p>
        </w:tc>
      </w:tr>
      <w:tr>
        <w:trPr>
          <w:trHeight w:val="250"/>
        </w:trPr>
        <w:tc>
          <w:tcPr>
            <w:tcW w:w="1920" w:type="dxa"/>
            <w:vAlign w:val="bottom"/>
          </w:tcPr>
          <w:p>
            <w:pPr>
              <w:spacing w:after="0"/>
              <w:rPr>
                <w:sz w:val="20"/>
                <w:szCs w:val="20"/>
                <w:color w:val="auto"/>
              </w:rPr>
            </w:pPr>
            <w:r>
              <w:rPr>
                <w:rFonts w:ascii="Arial" w:cs="Arial" w:eastAsia="Arial" w:hAnsi="Arial"/>
                <w:sz w:val="14"/>
                <w:szCs w:val="14"/>
                <w:b w:val="1"/>
                <w:bCs w:val="1"/>
                <w:color w:val="auto"/>
              </w:rPr>
              <w:t>Derivative</w:t>
            </w:r>
          </w:p>
        </w:tc>
        <w:tc>
          <w:tcPr>
            <w:tcW w:w="108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for the Year ended December 31,</w:t>
            </w:r>
          </w:p>
        </w:tc>
        <w:tc>
          <w:tcPr>
            <w:tcW w:w="2300" w:type="dxa"/>
            <w:vAlign w:val="bottom"/>
          </w:tcPr>
          <w:p>
            <w:pPr>
              <w:ind w:left="160"/>
              <w:spacing w:after="0"/>
              <w:rPr>
                <w:sz w:val="20"/>
                <w:szCs w:val="20"/>
                <w:color w:val="auto"/>
              </w:rPr>
            </w:pPr>
            <w:r>
              <w:rPr>
                <w:rFonts w:ascii="Arial" w:cs="Arial" w:eastAsia="Arial" w:hAnsi="Arial"/>
                <w:sz w:val="14"/>
                <w:szCs w:val="14"/>
                <w:b w:val="1"/>
                <w:bCs w:val="1"/>
                <w:color w:val="auto"/>
              </w:rPr>
              <w:t>Location of</w:t>
            </w:r>
          </w:p>
        </w:tc>
        <w:tc>
          <w:tcPr>
            <w:tcW w:w="124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for the Year ended December 31,</w:t>
            </w:r>
          </w:p>
        </w:tc>
      </w:tr>
      <w:tr>
        <w:trPr>
          <w:trHeight w:val="258"/>
        </w:trPr>
        <w:tc>
          <w:tcPr>
            <w:tcW w:w="1920" w:type="dxa"/>
            <w:vAlign w:val="bottom"/>
          </w:tcPr>
          <w:p>
            <w:pPr>
              <w:spacing w:after="0"/>
              <w:rPr>
                <w:sz w:val="20"/>
                <w:szCs w:val="20"/>
                <w:color w:val="auto"/>
              </w:rPr>
            </w:pPr>
            <w:r>
              <w:rPr>
                <w:rFonts w:ascii="Arial" w:cs="Arial" w:eastAsia="Arial" w:hAnsi="Arial"/>
                <w:sz w:val="14"/>
                <w:szCs w:val="14"/>
                <w:b w:val="1"/>
                <w:bCs w:val="1"/>
                <w:color w:val="auto"/>
              </w:rPr>
              <w:t>Instruments</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2300" w:type="dxa"/>
            <w:vAlign w:val="bottom"/>
          </w:tcPr>
          <w:p>
            <w:pPr>
              <w:ind w:left="160"/>
              <w:spacing w:after="0"/>
              <w:rPr>
                <w:sz w:val="20"/>
                <w:szCs w:val="20"/>
                <w:color w:val="auto"/>
              </w:rPr>
            </w:pPr>
            <w:r>
              <w:rPr>
                <w:rFonts w:ascii="Arial" w:cs="Arial" w:eastAsia="Arial" w:hAnsi="Arial"/>
                <w:sz w:val="14"/>
                <w:szCs w:val="14"/>
                <w:b w:val="1"/>
                <w:bCs w:val="1"/>
                <w:color w:val="auto"/>
              </w:rPr>
              <w:t>Gain (Loss)</w:t>
            </w: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5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77"/>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Commodity contracts</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178.1</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r>
      <w:tr>
        <w:trPr>
          <w:trHeight w:val="250"/>
        </w:trPr>
        <w:tc>
          <w:tcPr>
            <w:tcW w:w="1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gain (loss)</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760" w:type="dxa"/>
            <w:vAlign w:val="bottom"/>
          </w:tcPr>
          <w:p>
            <w:pPr>
              <w:ind w:left="40"/>
              <w:spacing w:after="0"/>
              <w:rPr>
                <w:sz w:val="20"/>
                <w:szCs w:val="20"/>
                <w:color w:val="auto"/>
              </w:rPr>
            </w:pPr>
            <w:r>
              <w:rPr>
                <w:rFonts w:ascii="Arial" w:cs="Arial" w:eastAsia="Arial" w:hAnsi="Arial"/>
                <w:sz w:val="18"/>
                <w:szCs w:val="18"/>
                <w:color w:val="auto"/>
              </w:rPr>
              <w:t>Revenue</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18.1</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77"/>
        </w:trPr>
        <w:tc>
          <w:tcPr>
            <w:tcW w:w="1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Cost of revenue</w:t>
            </w:r>
          </w:p>
        </w:tc>
        <w:tc>
          <w:tcPr>
            <w:tcW w:w="8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r>
      <w:tr>
        <w:trPr>
          <w:trHeight w:val="250"/>
        </w:trPr>
        <w:tc>
          <w:tcPr>
            <w:tcW w:w="1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gain (loss)</w:t>
            </w: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-196850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5" w:lineRule="exact"/>
        <w:rPr>
          <w:sz w:val="20"/>
          <w:szCs w:val="20"/>
          <w:color w:val="auto"/>
        </w:rPr>
      </w:pPr>
    </w:p>
    <w:p>
      <w:pPr>
        <w:jc w:val="right"/>
        <w:ind w:left="2540" w:right="100"/>
        <w:spacing w:after="0" w:line="263" w:lineRule="auto"/>
        <w:rPr>
          <w:sz w:val="20"/>
          <w:szCs w:val="20"/>
          <w:color w:val="auto"/>
        </w:rPr>
      </w:pPr>
      <w:r>
        <w:rPr>
          <w:rFonts w:ascii="Arial" w:cs="Arial" w:eastAsia="Arial" w:hAnsi="Arial"/>
          <w:sz w:val="14"/>
          <w:szCs w:val="14"/>
          <w:b w:val="1"/>
          <w:bCs w:val="1"/>
          <w:color w:val="auto"/>
        </w:rPr>
        <w:t>Amount of Gain (Loss) Recognized in Income (Ineffective Portion and Amount Excluded from Effectiveness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-1270</wp:posOffset>
            </wp:positionV>
            <wp:extent cx="2169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45"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26035</wp:posOffset>
            </wp:positionV>
            <wp:extent cx="2169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5420" w:space="120"/>
            <w:col w:w="5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 of Gain (Loss)</w:t>
            </w:r>
          </w:p>
        </w:tc>
        <w:tc>
          <w:tcPr>
            <w:tcW w:w="3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2014</w:t>
            </w: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Cost of revenue</w:t>
            </w:r>
          </w:p>
        </w:tc>
        <w:tc>
          <w:tcPr>
            <w:tcW w:w="35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0"/>
        </w:trPr>
        <w:tc>
          <w:tcPr>
            <w:tcW w:w="4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gain (loss)</w:t>
            </w:r>
          </w:p>
        </w:tc>
        <w:tc>
          <w:tcPr>
            <w:tcW w:w="3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effective portion of the gains or losses on derivative instruments designated as cash flow hedges of forecasted transactions are initially reported as a component of accumulated other comprehensive income and subsequently reclassified into earnings once the future transaction affects earnings.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346"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Amount of Realized and Unrealized Gain</w:t>
      </w:r>
    </w:p>
    <w:p>
      <w:pPr>
        <w:spacing w:after="0" w:line="19"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(Loss)</w:t>
      </w:r>
    </w:p>
    <w:p>
      <w:pPr>
        <w:spacing w:after="0" w:line="91"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26035</wp:posOffset>
            </wp:positionV>
            <wp:extent cx="1869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49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Location of Gain (Loss)</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4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3"/>
        </w:trPr>
        <w:tc>
          <w:tcPr>
            <w:tcW w:w="3520" w:type="dxa"/>
            <w:vAlign w:val="bottom"/>
          </w:tcPr>
          <w:p>
            <w:pPr>
              <w:spacing w:after="0"/>
              <w:rPr>
                <w:sz w:val="22"/>
                <w:szCs w:val="22"/>
                <w:color w:val="auto"/>
              </w:rPr>
            </w:pPr>
          </w:p>
        </w:tc>
        <w:tc>
          <w:tcPr>
            <w:tcW w:w="4940" w:type="dxa"/>
            <w:vAlign w:val="bottom"/>
          </w:tcPr>
          <w:p>
            <w:pPr>
              <w:ind w:left="7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29.7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64.5</w:t>
            </w:r>
          </w:p>
        </w:tc>
      </w:tr>
      <w:tr>
        <w:trPr>
          <w:trHeight w:val="270"/>
        </w:trPr>
        <w:tc>
          <w:tcPr>
            <w:tcW w:w="3520" w:type="dxa"/>
            <w:vAlign w:val="bottom"/>
            <w:shd w:val="clear" w:color="auto" w:fill="CCEEFF"/>
          </w:tcPr>
          <w:p>
            <w:pPr>
              <w:spacing w:after="0"/>
              <w:rPr>
                <w:sz w:val="23"/>
                <w:szCs w:val="23"/>
                <w:color w:val="auto"/>
              </w:rPr>
            </w:pPr>
          </w:p>
        </w:tc>
        <w:tc>
          <w:tcPr>
            <w:tcW w:w="4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r>
      <w:tr>
        <w:trPr>
          <w:trHeight w:val="250"/>
        </w:trPr>
        <w:tc>
          <w:tcPr>
            <w:tcW w:w="35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32.7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66.7</w:t>
            </w:r>
          </w:p>
        </w:tc>
      </w:tr>
      <w:tr>
        <w:trPr>
          <w:trHeight w:val="27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4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3"/>
        </w:trPr>
        <w:tc>
          <w:tcPr>
            <w:tcW w:w="3520" w:type="dxa"/>
            <w:vAlign w:val="bottom"/>
          </w:tcPr>
          <w:p>
            <w:pPr>
              <w:spacing w:after="0"/>
              <w:rPr>
                <w:sz w:val="22"/>
                <w:szCs w:val="22"/>
                <w:color w:val="auto"/>
              </w:rPr>
            </w:pPr>
          </w:p>
        </w:tc>
        <w:tc>
          <w:tcPr>
            <w:tcW w:w="4940" w:type="dxa"/>
            <w:vAlign w:val="bottom"/>
          </w:tcPr>
          <w:p>
            <w:pPr>
              <w:ind w:left="7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4.3</w:t>
            </w:r>
          </w:p>
        </w:tc>
      </w:tr>
      <w:tr>
        <w:trPr>
          <w:trHeight w:val="270"/>
        </w:trPr>
        <w:tc>
          <w:tcPr>
            <w:tcW w:w="3520" w:type="dxa"/>
            <w:vAlign w:val="bottom"/>
            <w:shd w:val="clear" w:color="auto" w:fill="CCEEFF"/>
          </w:tcPr>
          <w:p>
            <w:pPr>
              <w:spacing w:after="0"/>
              <w:rPr>
                <w:sz w:val="23"/>
                <w:szCs w:val="23"/>
                <w:color w:val="auto"/>
              </w:rPr>
            </w:pPr>
          </w:p>
        </w:tc>
        <w:tc>
          <w:tcPr>
            <w:tcW w:w="4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r>
      <w:tr>
        <w:trPr>
          <w:trHeight w:val="250"/>
        </w:trPr>
        <w:tc>
          <w:tcPr>
            <w:tcW w:w="352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16.9</w:t>
            </w:r>
          </w:p>
        </w:tc>
      </w:tr>
      <w:tr>
        <w:trPr>
          <w:trHeight w:val="264"/>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gain (loss)</w:t>
            </w:r>
          </w:p>
        </w:tc>
        <w:tc>
          <w:tcPr>
            <w:tcW w:w="49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83.6</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These credit events may include the requirement to post additional collateral or the immediate settlement of the derivative instruments upon the occurrence of a credit downgrade or if certain defined financial ratios fall below an established threshold.</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2016, the net liability position for such contracts is $15.2 million, there was no collateral posted, and the maximum potential collateral requirements arising from the credit risk related contingent features to be posted should a credit-risk contingent feature be triggered is $15.2 million. As of December 31, 2015, the net liability position for such contracts is $63.2 million, the collateral posted is $28.1 million and the maximum potential collateral requirements arising from the credit risk related contingent features to be posted should a credit-risk contingent feature be triggered is $35.1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amount of property and equipment and their respective estimated useful lives are as follows (in millions, except estimated useful lives):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As of December 31,</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Estimated</w:t>
            </w:r>
          </w:p>
        </w:tc>
      </w:tr>
      <w:tr>
        <w:trPr>
          <w:trHeight w:val="264"/>
        </w:trPr>
        <w:tc>
          <w:tcPr>
            <w:tcW w:w="64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Useful Lives</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31.6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58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87.3</w:t>
            </w:r>
          </w:p>
        </w:tc>
        <w:tc>
          <w:tcPr>
            <w:tcW w:w="240" w:type="dxa"/>
            <w:vAlign w:val="bottom"/>
          </w:tcPr>
          <w:p>
            <w:pPr>
              <w:spacing w:after="0"/>
              <w:rPr>
                <w:sz w:val="22"/>
                <w:szCs w:val="22"/>
                <w:color w:val="auto"/>
              </w:rPr>
            </w:pPr>
          </w:p>
        </w:tc>
        <w:tc>
          <w:tcPr>
            <w:tcW w:w="1560" w:type="dxa"/>
            <w:vAlign w:val="bottom"/>
          </w:tcPr>
          <w:p>
            <w:pPr>
              <w:jc w:val="right"/>
              <w:ind w:right="114"/>
              <w:spacing w:after="0"/>
              <w:rPr>
                <w:sz w:val="20"/>
                <w:szCs w:val="20"/>
                <w:color w:val="auto"/>
              </w:rPr>
            </w:pPr>
            <w:r>
              <w:rPr>
                <w:rFonts w:ascii="Arial" w:cs="Arial" w:eastAsia="Arial" w:hAnsi="Arial"/>
                <w:sz w:val="18"/>
                <w:szCs w:val="18"/>
                <w:color w:val="auto"/>
              </w:rPr>
              <w:t>41.2</w:t>
            </w:r>
          </w:p>
        </w:tc>
        <w:tc>
          <w:tcPr>
            <w:tcW w:w="1600" w:type="dxa"/>
            <w:vAlign w:val="bottom"/>
          </w:tcPr>
          <w:p>
            <w:pPr>
              <w:jc w:val="right"/>
              <w:spacing w:after="0"/>
              <w:rPr>
                <w:sz w:val="20"/>
                <w:szCs w:val="20"/>
                <w:color w:val="auto"/>
              </w:rPr>
            </w:pPr>
            <w:r>
              <w:rPr>
                <w:rFonts w:ascii="Arial" w:cs="Arial" w:eastAsia="Arial" w:hAnsi="Arial"/>
                <w:sz w:val="18"/>
                <w:szCs w:val="18"/>
                <w:color w:val="auto"/>
              </w:rPr>
              <w:t>3 - 40 years</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 equipment, furniture and fixtures</w:t>
            </w: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3 - 10 years</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Computer equipment and software costs</w:t>
            </w:r>
          </w:p>
        </w:tc>
        <w:tc>
          <w:tcPr>
            <w:tcW w:w="58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140.7</w:t>
            </w:r>
          </w:p>
        </w:tc>
        <w:tc>
          <w:tcPr>
            <w:tcW w:w="240" w:type="dxa"/>
            <w:vAlign w:val="bottom"/>
          </w:tcPr>
          <w:p>
            <w:pPr>
              <w:spacing w:after="0"/>
              <w:rPr>
                <w:sz w:val="22"/>
                <w:szCs w:val="22"/>
                <w:color w:val="auto"/>
              </w:rPr>
            </w:pPr>
          </w:p>
        </w:tc>
        <w:tc>
          <w:tcPr>
            <w:tcW w:w="1560" w:type="dxa"/>
            <w:vAlign w:val="bottom"/>
          </w:tcPr>
          <w:p>
            <w:pPr>
              <w:jc w:val="right"/>
              <w:ind w:right="114"/>
              <w:spacing w:after="0"/>
              <w:rPr>
                <w:sz w:val="20"/>
                <w:szCs w:val="20"/>
                <w:color w:val="auto"/>
              </w:rPr>
            </w:pPr>
            <w:r>
              <w:rPr>
                <w:rFonts w:ascii="Arial" w:cs="Arial" w:eastAsia="Arial" w:hAnsi="Arial"/>
                <w:sz w:val="18"/>
                <w:szCs w:val="18"/>
                <w:color w:val="auto"/>
              </w:rPr>
              <w:t>118.9</w:t>
            </w:r>
          </w:p>
        </w:tc>
        <w:tc>
          <w:tcPr>
            <w:tcW w:w="160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70"/>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vehicles</w:t>
            </w:r>
          </w:p>
        </w:tc>
        <w:tc>
          <w:tcPr>
            <w:tcW w:w="5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217.5</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160.1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3 - 40 years</w:t>
            </w:r>
          </w:p>
        </w:tc>
      </w:tr>
      <w:tr>
        <w:trPr>
          <w:trHeight w:val="263"/>
        </w:trPr>
        <w:tc>
          <w:tcPr>
            <w:tcW w:w="6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488.3</w:t>
            </w:r>
          </w:p>
        </w:tc>
        <w:tc>
          <w:tcPr>
            <w:tcW w:w="240" w:type="dxa"/>
            <w:vAlign w:val="bottom"/>
          </w:tcPr>
          <w:p>
            <w:pPr>
              <w:spacing w:after="0"/>
              <w:rPr>
                <w:sz w:val="22"/>
                <w:szCs w:val="22"/>
                <w:color w:val="auto"/>
              </w:rPr>
            </w:pPr>
          </w:p>
        </w:tc>
        <w:tc>
          <w:tcPr>
            <w:tcW w:w="1560" w:type="dxa"/>
            <w:vAlign w:val="bottom"/>
          </w:tcPr>
          <w:p>
            <w:pPr>
              <w:jc w:val="right"/>
              <w:ind w:right="114"/>
              <w:spacing w:after="0"/>
              <w:rPr>
                <w:sz w:val="20"/>
                <w:szCs w:val="20"/>
                <w:color w:val="auto"/>
              </w:rPr>
            </w:pPr>
            <w:r>
              <w:rPr>
                <w:rFonts w:ascii="Arial" w:cs="Arial" w:eastAsia="Arial" w:hAnsi="Arial"/>
                <w:sz w:val="18"/>
                <w:szCs w:val="18"/>
                <w:color w:val="auto"/>
              </w:rPr>
              <w:t>365.9</w:t>
            </w:r>
          </w:p>
        </w:tc>
        <w:tc>
          <w:tcPr>
            <w:tcW w:w="1600" w:type="dxa"/>
            <w:vAlign w:val="bottom"/>
          </w:tcPr>
          <w:p>
            <w:pPr>
              <w:spacing w:after="0"/>
              <w:rPr>
                <w:sz w:val="22"/>
                <w:szCs w:val="22"/>
                <w:color w:val="auto"/>
              </w:rPr>
            </w:pPr>
          </w:p>
        </w:tc>
      </w:tr>
      <w:tr>
        <w:trPr>
          <w:trHeight w:val="270"/>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5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177.1</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140.3</w:t>
            </w:r>
          </w:p>
        </w:tc>
        <w:tc>
          <w:tcPr>
            <w:tcW w:w="1600" w:type="dxa"/>
            <w:vAlign w:val="bottom"/>
            <w:shd w:val="clear" w:color="auto" w:fill="CCEEFF"/>
          </w:tcPr>
          <w:p>
            <w:pPr>
              <w:spacing w:after="0"/>
              <w:rPr>
                <w:sz w:val="23"/>
                <w:szCs w:val="23"/>
                <w:color w:val="auto"/>
              </w:rPr>
            </w:pPr>
          </w:p>
        </w:tc>
      </w:tr>
      <w:tr>
        <w:trPr>
          <w:trHeight w:val="264"/>
        </w:trPr>
        <w:tc>
          <w:tcPr>
            <w:tcW w:w="64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225.6</w:t>
            </w:r>
          </w:p>
        </w:tc>
        <w:tc>
          <w:tcPr>
            <w:tcW w:w="1600" w:type="dxa"/>
            <w:vAlign w:val="bottom"/>
          </w:tcPr>
          <w:p>
            <w:pPr>
              <w:spacing w:after="0"/>
              <w:rPr>
                <w:sz w:val="22"/>
                <w:szCs w:val="2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2016, 2015 and 2014, we recorded depreciation expense of $42.5 million, $35.1 million and $30.3 million, respectively.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amount of computer software costs, including capitalized internally developed software costs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76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software costs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94.5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91.4</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amortization</w:t>
            </w:r>
          </w:p>
        </w:tc>
        <w:tc>
          <w:tcPr>
            <w:tcW w:w="7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69.5</w:t>
            </w: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55.8</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Computer software costs, net</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35.6</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Included in capitalized computer software costs are costs incurred in connection with software development in progress of $12.5 million and $7.0 million as of December 31, 2016 and 2015, respectively. For 2016, 2015 and 2014, we recorded amortization expense related to computer software costs of $13.7 million, $10.7 million and $9.8 million,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accumulated amortization recorded under capital leases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76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24.4</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23.0</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amortization</w:t>
            </w:r>
          </w:p>
        </w:tc>
        <w:tc>
          <w:tcPr>
            <w:tcW w:w="7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8.2</w:t>
            </w: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11.0</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Capital leases, net</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16.2</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12.0</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Identifiable Intangible Assets</w:t>
      </w:r>
    </w:p>
    <w:p>
      <w:pPr>
        <w:spacing w:after="0" w:line="247"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In 2016, we used quantitative factors to review goodwill for impairment for all of our reporting units and performed a qualitative analysis to review our identifiable intangible assets not subject to amortization for impairment. As a result of performing the aforementioned assessments, we determined that no impairment existed as of December 31, 2016 and, therefore, there were no write-downs to any of our goodwill or identifiable intangible assets not subject to amortization.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changes in goodwill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ind w:right="53"/>
              <w:spacing w:after="0"/>
              <w:rPr>
                <w:sz w:val="20"/>
                <w:szCs w:val="20"/>
                <w:color w:val="auto"/>
              </w:rPr>
            </w:pPr>
            <w:r>
              <w:rPr>
                <w:rFonts w:ascii="Arial" w:cs="Arial" w:eastAsia="Arial" w:hAnsi="Arial"/>
                <w:sz w:val="14"/>
                <w:szCs w:val="14"/>
                <w:b w:val="1"/>
                <w:bCs w:val="1"/>
                <w:color w:val="auto"/>
              </w:rPr>
              <w:t>Aviation</w:t>
            </w:r>
          </w:p>
        </w:tc>
        <w:tc>
          <w:tcPr>
            <w:tcW w:w="460" w:type="dxa"/>
            <w:vAlign w:val="bottom"/>
          </w:tcPr>
          <w:p>
            <w:pPr>
              <w:spacing w:after="0"/>
              <w:rPr>
                <w:sz w:val="14"/>
                <w:szCs w:val="14"/>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Marine</w:t>
            </w:r>
          </w:p>
        </w:tc>
        <w:tc>
          <w:tcPr>
            <w:tcW w:w="460" w:type="dxa"/>
            <w:vAlign w:val="bottom"/>
          </w:tcPr>
          <w:p>
            <w:pPr>
              <w:spacing w:after="0"/>
              <w:rPr>
                <w:sz w:val="14"/>
                <w:szCs w:val="14"/>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b w:val="1"/>
                <w:bCs w:val="1"/>
                <w:color w:val="auto"/>
              </w:rPr>
              <w:t>Land</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5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Segment</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Segment</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Segment</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Total</w:t>
            </w:r>
          </w:p>
        </w:tc>
      </w:tr>
      <w:tr>
        <w:trPr>
          <w:trHeight w:val="270"/>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2014</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174.3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73.1</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405.9</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653.3</w:t>
            </w: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2015 acquisitions</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37.7</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39.4</w:t>
            </w:r>
          </w:p>
        </w:tc>
      </w:tr>
      <w:tr>
        <w:trPr>
          <w:trHeight w:val="27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classified as held for sale</w:t>
            </w: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5220" w:type="dxa"/>
            <w:vAlign w:val="bottom"/>
          </w:tcPr>
          <w:p>
            <w:pPr>
              <w:ind w:left="40"/>
              <w:spacing w:after="0"/>
              <w:rPr>
                <w:sz w:val="20"/>
                <w:szCs w:val="20"/>
                <w:color w:val="auto"/>
              </w:rPr>
            </w:pPr>
            <w:r>
              <w:rPr>
                <w:rFonts w:ascii="Arial" w:cs="Arial" w:eastAsia="Arial" w:hAnsi="Arial"/>
                <w:sz w:val="18"/>
                <w:szCs w:val="18"/>
                <w:color w:val="auto"/>
              </w:rPr>
              <w:t>Foreign currency translation of non-USD functional currency</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subsidiary goodwill</w:t>
            </w: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64"/>
        </w:trPr>
        <w:tc>
          <w:tcPr>
            <w:tcW w:w="5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7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173.7</w:t>
            </w: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71.4</w:t>
            </w: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430.7</w:t>
            </w:r>
          </w:p>
        </w:tc>
        <w:tc>
          <w:tcPr>
            <w:tcW w:w="5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675.8</w:t>
            </w:r>
          </w:p>
        </w:tc>
      </w:tr>
      <w:tr>
        <w:trPr>
          <w:trHeight w:val="270"/>
        </w:trPr>
        <w:tc>
          <w:tcPr>
            <w:tcW w:w="5220" w:type="dxa"/>
            <w:vAlign w:val="bottom"/>
          </w:tcPr>
          <w:p>
            <w:pPr>
              <w:ind w:left="40"/>
              <w:spacing w:after="0"/>
              <w:rPr>
                <w:sz w:val="20"/>
                <w:szCs w:val="20"/>
                <w:color w:val="auto"/>
              </w:rPr>
            </w:pPr>
            <w:r>
              <w:rPr>
                <w:rFonts w:ascii="Arial" w:cs="Arial" w:eastAsia="Arial" w:hAnsi="Arial"/>
                <w:sz w:val="18"/>
                <w:szCs w:val="18"/>
                <w:color w:val="auto"/>
              </w:rPr>
              <w:t>2016 acquisitions</w:t>
            </w:r>
            <w:r>
              <w:rPr>
                <w:rFonts w:ascii="Arial" w:cs="Arial" w:eastAsia="Arial" w:hAnsi="Arial"/>
                <w:sz w:val="21"/>
                <w:szCs w:val="21"/>
                <w:color w:val="auto"/>
                <w:vertAlign w:val="superscript"/>
              </w:rPr>
              <w:t>(a)</w:t>
            </w:r>
          </w:p>
        </w:tc>
        <w:tc>
          <w:tcPr>
            <w:tcW w:w="760" w:type="dxa"/>
            <w:vAlign w:val="bottom"/>
          </w:tcPr>
          <w:p>
            <w:pPr>
              <w:spacing w:after="0"/>
              <w:rPr>
                <w:sz w:val="23"/>
                <w:szCs w:val="23"/>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95.6</w:t>
            </w:r>
          </w:p>
        </w:tc>
        <w:tc>
          <w:tcPr>
            <w:tcW w:w="460" w:type="dxa"/>
            <w:vAlign w:val="bottom"/>
          </w:tcPr>
          <w:p>
            <w:pPr>
              <w:spacing w:after="0"/>
              <w:rPr>
                <w:sz w:val="23"/>
                <w:szCs w:val="23"/>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77.7</w:t>
            </w:r>
          </w:p>
        </w:tc>
        <w:tc>
          <w:tcPr>
            <w:tcW w:w="5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173.3</w:t>
            </w:r>
          </w:p>
        </w:tc>
      </w:tr>
      <w:tr>
        <w:trPr>
          <w:trHeight w:val="270"/>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 of purchase price allocations</w:t>
            </w:r>
            <w:r>
              <w:rPr>
                <w:rFonts w:ascii="Arial" w:cs="Arial" w:eastAsia="Arial" w:hAnsi="Arial"/>
                <w:sz w:val="21"/>
                <w:szCs w:val="21"/>
                <w:color w:val="auto"/>
                <w:vertAlign w:val="superscript"/>
              </w:rPr>
              <w:t>(b)</w:t>
            </w:r>
          </w:p>
        </w:tc>
        <w:tc>
          <w:tcPr>
            <w:tcW w:w="7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r>
      <w:tr>
        <w:trPr>
          <w:trHeight w:val="229"/>
        </w:trPr>
        <w:tc>
          <w:tcPr>
            <w:tcW w:w="5220" w:type="dxa"/>
            <w:vAlign w:val="bottom"/>
          </w:tcPr>
          <w:p>
            <w:pPr>
              <w:ind w:left="40"/>
              <w:spacing w:after="0"/>
              <w:rPr>
                <w:sz w:val="20"/>
                <w:szCs w:val="20"/>
                <w:color w:val="auto"/>
              </w:rPr>
            </w:pPr>
            <w:r>
              <w:rPr>
                <w:rFonts w:ascii="Arial" w:cs="Arial" w:eastAsia="Arial" w:hAnsi="Arial"/>
                <w:sz w:val="18"/>
                <w:szCs w:val="18"/>
                <w:color w:val="auto"/>
              </w:rPr>
              <w:t>Foreign currency translation of non-USD functional currency</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subsidiary goodwill</w:t>
            </w: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0.7</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(17.3)</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64"/>
        </w:trPr>
        <w:tc>
          <w:tcPr>
            <w:tcW w:w="5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7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266.8</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72.3</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496.7</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835.8</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8"/>
        <w:spacing w:after="0" w:line="225" w:lineRule="auto"/>
        <w:tabs>
          <w:tab w:leader="none" w:pos="219"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Primarily reflects our acquisitions of certain ExxonMobil affiliates, PAPCO and APP, and are subject to change until we complete the valuation of assets acquired and liabilities assumed. For additional information, see Note 3.</w:t>
      </w:r>
    </w:p>
    <w:p>
      <w:pPr>
        <w:spacing w:after="0" w:line="181"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Reflects the purchase price allocation adjustments of 2015 acquisitions, including goodwill classified as held for sale.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identifiable intangible assets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As of December 31, 2016</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As of December 31, 2015</w:t>
            </w:r>
          </w:p>
        </w:tc>
      </w:tr>
      <w:tr>
        <w:trPr>
          <w:trHeight w:val="175"/>
        </w:trPr>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2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4"/>
                <w:szCs w:val="14"/>
                <w:color w:val="auto"/>
              </w:rPr>
            </w:pPr>
          </w:p>
        </w:tc>
        <w:tc>
          <w:tcPr>
            <w:tcW w:w="1260" w:type="dxa"/>
            <w:vAlign w:val="bottom"/>
          </w:tcPr>
          <w:p>
            <w:pPr>
              <w:jc w:val="right"/>
              <w:ind w:right="36"/>
              <w:spacing w:after="0"/>
              <w:rPr>
                <w:sz w:val="20"/>
                <w:szCs w:val="20"/>
                <w:color w:val="auto"/>
              </w:rPr>
            </w:pPr>
            <w:r>
              <w:rPr>
                <w:rFonts w:ascii="Arial" w:cs="Arial" w:eastAsia="Arial" w:hAnsi="Arial"/>
                <w:sz w:val="14"/>
                <w:szCs w:val="14"/>
                <w:b w:val="1"/>
                <w:bCs w:val="1"/>
                <w:color w:val="auto"/>
              </w:rPr>
              <w:t>Accumulated</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1260" w:type="dxa"/>
            <w:vAlign w:val="bottom"/>
          </w:tcPr>
          <w:p>
            <w:pPr>
              <w:jc w:val="right"/>
              <w:ind w:right="36"/>
              <w:spacing w:after="0"/>
              <w:rPr>
                <w:sz w:val="20"/>
                <w:szCs w:val="20"/>
                <w:color w:val="auto"/>
              </w:rPr>
            </w:pPr>
            <w:r>
              <w:rPr>
                <w:rFonts w:ascii="Arial" w:cs="Arial" w:eastAsia="Arial" w:hAnsi="Arial"/>
                <w:sz w:val="14"/>
                <w:szCs w:val="14"/>
                <w:b w:val="1"/>
                <w:bCs w:val="1"/>
                <w:color w:val="auto"/>
              </w:rPr>
              <w:t>Accumulated</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2"/>
        </w:trPr>
        <w:tc>
          <w:tcPr>
            <w:tcW w:w="2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17"/>
                <w:szCs w:val="17"/>
                <w:b w:val="1"/>
                <w:bCs w:val="1"/>
                <w:color w:val="auto"/>
                <w:vertAlign w:val="superscript"/>
              </w:rPr>
              <w:t>(1)</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Net</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17"/>
                <w:szCs w:val="17"/>
                <w:b w:val="1"/>
                <w:bCs w:val="1"/>
                <w:color w:val="auto"/>
                <w:vertAlign w:val="superscript"/>
              </w:rPr>
              <w:t>(1)</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Net</w:t>
            </w:r>
          </w:p>
        </w:tc>
      </w:tr>
      <w:tr>
        <w:trPr>
          <w:trHeight w:val="222"/>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subject to</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63"/>
        </w:trPr>
        <w:tc>
          <w:tcPr>
            <w:tcW w:w="26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353.8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155.5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198.3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255.5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125.4</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130.1</w:t>
            </w:r>
          </w:p>
        </w:tc>
      </w:tr>
      <w:tr>
        <w:trPr>
          <w:trHeight w:val="277"/>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Supplier agreements</w:t>
            </w: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38.7</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13.3</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25.4</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38.5</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10.7</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r>
      <w:tr>
        <w:trPr>
          <w:trHeight w:val="264"/>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Others</w:t>
            </w: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37.2</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20.2</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17.0</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37.2</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16.1</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21.1</w:t>
            </w:r>
          </w:p>
        </w:tc>
      </w:tr>
      <w:tr>
        <w:trPr>
          <w:trHeight w:val="270"/>
        </w:trPr>
        <w:tc>
          <w:tcPr>
            <w:tcW w:w="26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429.7</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189.1</w:t>
            </w: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240.7</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331.2</w:t>
            </w: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152.2</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179.0</w:t>
            </w:r>
          </w:p>
        </w:tc>
      </w:tr>
      <w:tr>
        <w:trPr>
          <w:trHeight w:val="229"/>
        </w:trPr>
        <w:tc>
          <w:tcPr>
            <w:tcW w:w="2680" w:type="dxa"/>
            <w:vAlign w:val="bottom"/>
          </w:tcPr>
          <w:p>
            <w:pPr>
              <w:ind w:left="40"/>
              <w:spacing w:after="0"/>
              <w:rPr>
                <w:sz w:val="20"/>
                <w:szCs w:val="20"/>
                <w:color w:val="auto"/>
              </w:rPr>
            </w:pPr>
            <w:r>
              <w:rPr>
                <w:rFonts w:ascii="Arial" w:cs="Arial" w:eastAsia="Arial" w:hAnsi="Arial"/>
                <w:sz w:val="18"/>
                <w:szCs w:val="18"/>
                <w:color w:val="auto"/>
              </w:rPr>
              <w:t>Intangible assets not subject to</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26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0"/>
        </w:trPr>
        <w:tc>
          <w:tcPr>
            <w:tcW w:w="2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Trademark/trade name rights</w:t>
            </w: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41.7</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41.7</w:t>
            </w: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31.9</w:t>
            </w: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31.9</w:t>
            </w:r>
          </w:p>
        </w:tc>
      </w:tr>
      <w:tr>
        <w:trPr>
          <w:trHeight w:val="264"/>
        </w:trPr>
        <w:tc>
          <w:tcPr>
            <w:tcW w:w="26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471.4</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189.1</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282.3</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363.1</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152.2</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210.9</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the impact of foreign exchange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2016, 2015 and 2014 was $39.7 million, $30.4 million and $27.0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future estimated amortization of our identifiable intangible assets is as follows (in millions):</w:t>
      </w: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4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50"/>
        </w:trPr>
        <w:tc>
          <w:tcPr>
            <w:tcW w:w="5240" w:type="dxa"/>
            <w:vAlign w:val="bottom"/>
          </w:tcPr>
          <w:p>
            <w:pPr>
              <w:ind w:left="40"/>
              <w:spacing w:after="0"/>
              <w:rPr>
                <w:sz w:val="20"/>
                <w:szCs w:val="20"/>
                <w:color w:val="auto"/>
              </w:rPr>
            </w:pPr>
            <w:r>
              <w:rPr>
                <w:rFonts w:ascii="Arial" w:cs="Arial" w:eastAsia="Arial" w:hAnsi="Arial"/>
                <w:sz w:val="18"/>
                <w:szCs w:val="18"/>
                <w:color w:val="auto"/>
              </w:rPr>
              <w:t>2018</w:t>
            </w:r>
          </w:p>
        </w:tc>
        <w:tc>
          <w:tcPr>
            <w:tcW w:w="50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63"/>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50"/>
        </w:trPr>
        <w:tc>
          <w:tcPr>
            <w:tcW w:w="5240" w:type="dxa"/>
            <w:vAlign w:val="bottom"/>
          </w:tcPr>
          <w:p>
            <w:pPr>
              <w:ind w:left="40"/>
              <w:spacing w:after="0"/>
              <w:rPr>
                <w:sz w:val="20"/>
                <w:szCs w:val="20"/>
                <w:color w:val="auto"/>
              </w:rPr>
            </w:pPr>
            <w:r>
              <w:rPr>
                <w:rFonts w:ascii="Arial" w:cs="Arial" w:eastAsia="Arial" w:hAnsi="Arial"/>
                <w:sz w:val="18"/>
                <w:szCs w:val="18"/>
                <w:color w:val="auto"/>
              </w:rPr>
              <w:t>2020</w:t>
            </w:r>
          </w:p>
        </w:tc>
        <w:tc>
          <w:tcPr>
            <w:tcW w:w="50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63"/>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50"/>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50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76.7</w:t>
            </w:r>
          </w:p>
        </w:tc>
      </w:tr>
      <w:tr>
        <w:trPr>
          <w:trHeight w:val="264"/>
        </w:trPr>
        <w:tc>
          <w:tcPr>
            <w:tcW w:w="5240" w:type="dxa"/>
            <w:vAlign w:val="bottom"/>
            <w:tcBorders>
              <w:bottom w:val="single" w:sz="8" w:color="auto"/>
            </w:tcBorders>
            <w:shd w:val="clear" w:color="auto" w:fill="CCEEFF"/>
          </w:tcPr>
          <w:p>
            <w:pPr>
              <w:spacing w:after="0"/>
              <w:rPr>
                <w:sz w:val="22"/>
                <w:szCs w:val="22"/>
                <w:color w:val="auto"/>
              </w:rPr>
            </w:pPr>
          </w:p>
        </w:tc>
        <w:tc>
          <w:tcPr>
            <w:tcW w:w="50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240.7</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Credit facility which permits borrowing up to $1.26 billion with a sublimit of $400.0 million for the issuance of letters of credit and bankers’ acceptances. Under the Credit Facility, we have the right to request increases in available borrowings up to an additional $200.0 million, subject to the satisfaction of certain conditions. The Credit Facility matures in October 2021. We had outstanding borrowings under our Credit Facility totaling $325.2 million and $416.0 million as of December 31, 2016 and 2015, respectively.</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issued letters of credit under the Credit Facility totaled $8.3 million and $5.5 million as of December 31, 2016 and 2015, respectively. We also had $840.0 million and $333.2 million in Term Loans outstanding as of December 31, 2016 and 2015, respectively. As of December 31, 2016 and 2015, the unused portion of our Credit Facility was $926.5 million and $838.5 million, respectively. Availability under our Credit Facility is also limited by, among other things our financial leverage ratio, which limits the total amount of indebtedness we may incur, and may therefore fluctuate from period to period.</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2016, the applicable margins for base rate loans and Eurodollar rate loans were 1.25% and 2.25%, respectively. Letters of credit issued under our Credit Facility are subject to letter of credit fees of 2.50% as of December 31, 2016, and the unused portion of our Credit Facility is subject to commitment fees of 0.30% as of December 31, 2016.</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2016, we were in compliance with all financial and other covenants contained in our Credit Facility and our Term Loans.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Outside of our Credit Facility we have other uncommitted credit lines primarily for the issuance of letters of credit, bank guarantees and bankers’ acceptances. These credit lines are renewable on an annual basis and are subject to fees at market rates. As of December 31, 2016 and 2015, our outstanding letters of credit and bank guarantees under these credit lines totaled $176.5 million and $208.4 million, respectively.</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debt consisted of the following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76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325.2</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416.0</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Term Loans</w:t>
            </w:r>
          </w:p>
        </w:tc>
        <w:tc>
          <w:tcPr>
            <w:tcW w:w="62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840.0</w:t>
            </w:r>
          </w:p>
        </w:tc>
        <w:tc>
          <w:tcPr>
            <w:tcW w:w="360" w:type="dxa"/>
            <w:vAlign w:val="bottom"/>
          </w:tcPr>
          <w:p>
            <w:pPr>
              <w:spacing w:after="0"/>
              <w:rPr>
                <w:sz w:val="22"/>
                <w:szCs w:val="22"/>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333.2</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w:t>
            </w: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11.0</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1,186.3</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772.2</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25.5</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1,170.8</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746.7</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capital lease obligations are payable in varying amounts through November 2023 and bear interest at annual rates ranging from 3.0% to 6.7% as of December 31, 2016. The other debt primarily relates to acquisition promissory notes and loans payable to noncontrolling shareholders of a consolidated subsidiary which are payable in varying amounts from July 2017 to October 2017 and bear interest at annual rates ranging from 2.0% to 8.6% as of December 31, 2016. The weighted average interest rate on our short</w:t>
      </w:r>
      <w:r>
        <w:rPr>
          <w:rFonts w:ascii="MS PGothic" w:cs="MS PGothic" w:eastAsia="MS PGothic" w:hAnsi="MS PGothic"/>
          <w:sz w:val="18"/>
          <w:szCs w:val="18"/>
          <w:color w:val="auto"/>
        </w:rPr>
        <w:t>‑</w:t>
      </w:r>
      <w:r>
        <w:rPr>
          <w:rFonts w:ascii="Arial" w:cs="Arial" w:eastAsia="Arial" w:hAnsi="Arial"/>
          <w:sz w:val="18"/>
          <w:szCs w:val="18"/>
          <w:color w:val="auto"/>
        </w:rPr>
        <w:t>term debt was 2.3% and 2.7% as of December 31, 2016 and 2015,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the aggregate annual maturities of debt are as follows (in millions):</w:t>
      </w: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98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50"/>
        </w:trPr>
        <w:tc>
          <w:tcPr>
            <w:tcW w:w="3240" w:type="dxa"/>
            <w:vAlign w:val="bottom"/>
          </w:tcPr>
          <w:p>
            <w:pPr>
              <w:ind w:left="40"/>
              <w:spacing w:after="0"/>
              <w:rPr>
                <w:sz w:val="20"/>
                <w:szCs w:val="20"/>
                <w:color w:val="auto"/>
              </w:rPr>
            </w:pPr>
            <w:r>
              <w:rPr>
                <w:rFonts w:ascii="Arial" w:cs="Arial" w:eastAsia="Arial" w:hAnsi="Arial"/>
                <w:sz w:val="18"/>
                <w:szCs w:val="18"/>
                <w:color w:val="auto"/>
              </w:rPr>
              <w:t>2018</w:t>
            </w:r>
          </w:p>
        </w:tc>
        <w:tc>
          <w:tcPr>
            <w:tcW w:w="69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6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9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r>
      <w:tr>
        <w:trPr>
          <w:trHeight w:val="250"/>
        </w:trPr>
        <w:tc>
          <w:tcPr>
            <w:tcW w:w="3240" w:type="dxa"/>
            <w:vAlign w:val="bottom"/>
          </w:tcPr>
          <w:p>
            <w:pPr>
              <w:ind w:left="40"/>
              <w:spacing w:after="0"/>
              <w:rPr>
                <w:sz w:val="20"/>
                <w:szCs w:val="20"/>
                <w:color w:val="auto"/>
              </w:rPr>
            </w:pPr>
            <w:r>
              <w:rPr>
                <w:rFonts w:ascii="Arial" w:cs="Arial" w:eastAsia="Arial" w:hAnsi="Arial"/>
                <w:sz w:val="18"/>
                <w:szCs w:val="18"/>
                <w:color w:val="auto"/>
              </w:rPr>
              <w:t>2020</w:t>
            </w:r>
          </w:p>
        </w:tc>
        <w:tc>
          <w:tcPr>
            <w:tcW w:w="69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6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9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1,049.0</w:t>
            </w:r>
          </w:p>
        </w:tc>
      </w:tr>
      <w:tr>
        <w:trPr>
          <w:trHeight w:val="250"/>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69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64"/>
        </w:trPr>
        <w:tc>
          <w:tcPr>
            <w:tcW w:w="3240" w:type="dxa"/>
            <w:vAlign w:val="bottom"/>
            <w:tcBorders>
              <w:bottom w:val="single" w:sz="8" w:color="auto"/>
            </w:tcBorders>
            <w:shd w:val="clear" w:color="auto" w:fill="CCEEFF"/>
          </w:tcPr>
          <w:p>
            <w:pPr>
              <w:spacing w:after="0"/>
              <w:rPr>
                <w:sz w:val="22"/>
                <w:szCs w:val="22"/>
                <w:color w:val="auto"/>
              </w:rPr>
            </w:pPr>
          </w:p>
        </w:tc>
        <w:tc>
          <w:tcPr>
            <w:tcW w:w="69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1,186.3</w:t>
            </w: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23"/>
        </w:trPr>
        <w:tc>
          <w:tcPr>
            <w:tcW w:w="3240" w:type="dxa"/>
            <w:vAlign w:val="bottom"/>
          </w:tcPr>
          <w:p>
            <w:pPr>
              <w:spacing w:after="0"/>
              <w:rPr>
                <w:sz w:val="24"/>
                <w:szCs w:val="24"/>
                <w:color w:val="auto"/>
              </w:rPr>
            </w:pPr>
          </w:p>
        </w:tc>
        <w:tc>
          <w:tcPr>
            <w:tcW w:w="6980" w:type="dxa"/>
            <w:vAlign w:val="bottom"/>
          </w:tcPr>
          <w:p>
            <w:pPr>
              <w:jc w:val="right"/>
              <w:ind w:right="4336"/>
              <w:spacing w:after="0"/>
              <w:rPr>
                <w:sz w:val="20"/>
                <w:szCs w:val="20"/>
                <w:color w:val="auto"/>
              </w:rPr>
            </w:pPr>
            <w:r>
              <w:rPr>
                <w:rFonts w:ascii="Arial" w:cs="Arial" w:eastAsia="Arial" w:hAnsi="Arial"/>
                <w:sz w:val="14"/>
                <w:szCs w:val="14"/>
                <w:color w:val="auto"/>
              </w:rPr>
              <w:t>77</w:t>
            </w: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and expense and other financing costs, net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2014</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Interest expense and other financing costs</w:t>
            </w:r>
          </w:p>
        </w:tc>
        <w:tc>
          <w:tcPr>
            <w:tcW w:w="20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(43.7)</w:t>
            </w: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6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64"/>
        </w:trPr>
        <w:tc>
          <w:tcPr>
            <w:tcW w:w="4920" w:type="dxa"/>
            <w:vAlign w:val="bottom"/>
            <w:tcBorders>
              <w:bottom w:val="single" w:sz="8" w:color="auto"/>
            </w:tcBorders>
            <w:shd w:val="clear" w:color="auto" w:fill="CCEEFF"/>
          </w:tcPr>
          <w:p>
            <w:pPr>
              <w:spacing w:after="0"/>
              <w:rPr>
                <w:sz w:val="22"/>
                <w:szCs w:val="22"/>
                <w:color w:val="auto"/>
              </w:rPr>
            </w:pPr>
          </w:p>
        </w:tc>
        <w:tc>
          <w:tcPr>
            <w:tcW w:w="20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c>
          <w:tcPr>
            <w:tcW w:w="6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8360" w:firstLine="8"/>
        <w:spacing w:after="0" w:line="513" w:lineRule="auto"/>
        <w:tabs>
          <w:tab w:leader="none" w:pos="2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Surety Bonds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normal course of business, we are required to post bid, performance and garnishment bonds. The majority of the surety bonds posted relate to our aviation and land segments. As of December 31, 2016 and 2015, we had outstanding bonds that were arranged in order to satisfy various security requirements of $ 52.8 million and $39.1 million, respectively. Most of these bonds provide financial security for obligations which have already been recorded as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our future minimum lease payments under non-cancelable operating leases were as follows (in millions):</w:t>
      </w: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4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r>
      <w:tr>
        <w:trPr>
          <w:trHeight w:val="250"/>
        </w:trPr>
        <w:tc>
          <w:tcPr>
            <w:tcW w:w="5240" w:type="dxa"/>
            <w:vAlign w:val="bottom"/>
          </w:tcPr>
          <w:p>
            <w:pPr>
              <w:ind w:left="40"/>
              <w:spacing w:after="0"/>
              <w:rPr>
                <w:sz w:val="20"/>
                <w:szCs w:val="20"/>
                <w:color w:val="auto"/>
              </w:rPr>
            </w:pPr>
            <w:r>
              <w:rPr>
                <w:rFonts w:ascii="Arial" w:cs="Arial" w:eastAsia="Arial" w:hAnsi="Arial"/>
                <w:sz w:val="18"/>
                <w:szCs w:val="18"/>
                <w:color w:val="auto"/>
              </w:rPr>
              <w:t>2018</w:t>
            </w:r>
          </w:p>
        </w:tc>
        <w:tc>
          <w:tcPr>
            <w:tcW w:w="50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63"/>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50"/>
        </w:trPr>
        <w:tc>
          <w:tcPr>
            <w:tcW w:w="5240" w:type="dxa"/>
            <w:vAlign w:val="bottom"/>
          </w:tcPr>
          <w:p>
            <w:pPr>
              <w:ind w:left="40"/>
              <w:spacing w:after="0"/>
              <w:rPr>
                <w:sz w:val="20"/>
                <w:szCs w:val="20"/>
                <w:color w:val="auto"/>
              </w:rPr>
            </w:pPr>
            <w:r>
              <w:rPr>
                <w:rFonts w:ascii="Arial" w:cs="Arial" w:eastAsia="Arial" w:hAnsi="Arial"/>
                <w:sz w:val="18"/>
                <w:szCs w:val="18"/>
                <w:color w:val="auto"/>
              </w:rPr>
              <w:t>2020</w:t>
            </w:r>
          </w:p>
        </w:tc>
        <w:tc>
          <w:tcPr>
            <w:tcW w:w="50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63"/>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50"/>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50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r>
      <w:tr>
        <w:trPr>
          <w:trHeight w:val="264"/>
        </w:trPr>
        <w:tc>
          <w:tcPr>
            <w:tcW w:w="5240" w:type="dxa"/>
            <w:vAlign w:val="bottom"/>
            <w:tcBorders>
              <w:bottom w:val="single" w:sz="8" w:color="auto"/>
            </w:tcBorders>
            <w:shd w:val="clear" w:color="auto" w:fill="CCEEFF"/>
          </w:tcPr>
          <w:p>
            <w:pPr>
              <w:spacing w:after="0"/>
              <w:rPr>
                <w:sz w:val="22"/>
                <w:szCs w:val="22"/>
                <w:color w:val="auto"/>
              </w:rPr>
            </w:pPr>
          </w:p>
        </w:tc>
        <w:tc>
          <w:tcPr>
            <w:tcW w:w="50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incurred rental expense for all properties and equipment of $36.9 million, $31.6 million and $29.2 million for 2016, 2015 and 2014, respectively. Minimum payments have not been reduced by minimum sublease rentals of $44.1 million due in the future under non-cancelable subleases.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 Commitments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2016, fixed sales and purchase commitments under our derivative programs amounted to $369.6 million and $143.5 million, respectively. Additionally, in connection with the ExxonMobil transaction, we have certain purchase contracts, under which we agreed to purchase between 1.69 million barrels and 2.02 million barrels of aviation fuel at future market prices. The term of those agreement are for 10 years and have a 5-year renewal option, exercisable by mutual agreement.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Key Employees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an agreement with our Chairman, President and Chief Executive Officer, Michael J. Kasbar, for his continued employment with the Company which provides for an annual base salary as determined by our Compensation Committee in its sole discretion (currently $900,000), termination severance benefits, and such incentives and other compensation and amounts as our Compensation Committee may determine from time to time in its sole discretion. The current term of the Kasbar agreement, as amended, expires on December 31, 2017, and automatically extends for successive one-year terms unless either party provides written notice to the other at least one year prior to the expiration of the term that such party does not want to extend the term. Pursuant to his amended agreement, Mr. Kasbar is entitled to receive cash severance payments if: (a) we terminate his employment without cause following a change of control or for any reason other than death, disability or cause; (b) he resigns for good reason (generally a reduction in his responsibilities or compensation, or a breach by us), or resigns following a change of control; or (c) either he elects or we elect not to extend the term of the agreement, as amended. The severance payments are equal to $5.0 million for a termination following a change of control and $3.0 million in the other scenarios described above, a portion of which will be payable two years after the termination of Mr. Kasbar’s employment.</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of Mr. Kasbar’s outstanding SSAR Awards, restricted stock and RSUs (collectively, “outstanding equity awards”) will immediately vest in each scenario described in (a) and (b) above following a change of control, except for awards assumed or substituted by a successor company, in which case, such awards shall continue to vest in accordance with their applicable terms. In each scenario described in (a), (b) or (c) above where there has not been a change of control, Mr. Kasbar’s outstanding equity awards will generally vest over a two year period following termination of his employment, with any remaining unvested awards vesting on the last day of such two year period. For each scenario described above, awards with multiple annual performance conditions must satisfy certain other requirements in order to have their vesting terms accelerated.</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also entered into employment agreements or separation agreements with certain of our other executive officers and key employees. These agreements provide for minimum salary levels, and, in most cases, bonuses which are payable if specified performance goals are attained. Some executive officers and key employees are also entitled to severance benefits upon termination or non-renewal of their contracts under certain circumstances.</w:t>
      </w:r>
    </w:p>
    <w:p>
      <w:pPr>
        <w:spacing w:after="0" w:line="20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December 31, 2016, the approximate future minimum commitments under these agreements, excluding discretionary and performance bonuses, are as follows (in millions):</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9600" w:val="left"/>
          <w:tab w:leader="none" w:pos="1104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Agreement</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March 16, 2015, we entered into an employment termination agreement with the former Aviation Segment President. In connection with the agreement, we recorded a charge totaling $3.8 million in March 2015, which included non-cash expenses of $0.8 million related to previously awarded stock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We are currently making a match contribution of 50% for each 1% of the participants' contributions up to 6% of the participants' contributions. Annual contributions by us are made at our sole discretion, as approved by the Compensation Committee. Additionally, certain of our foreign subsidiaries have defined contribution plans, which allow for voluntary contributions by the employees. In some cases, we make employer contributions on behalf of the employees. The expenses for our contributions under these plans were not significant during each of the years presented on the consolidated statements of income and comprehensive income.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a non-qualified deferred compensation (“NQDC”) plan to certain eligible employees, excluding our named executive officers, whereby the participants may defer a portion of their compensation. We do not match any participant deferrals under the NQDC plan. Participants can elect from a variety of investment choices for their deferred compensation and gains and losses on these investments are credited to their respective accounts. The deferred compensation payable amount under this NQDC plan is subject to the claims of our general creditors and was $4.3 million and $3.3 million as of December 31, 2016 and December 31, 2015, respectively, which was included in other long-term liabilities in the accompanying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provide various services to customers, including into</w:t>
      </w:r>
      <w:r>
        <w:rPr>
          <w:rFonts w:ascii="MS PGothic" w:cs="MS PGothic" w:eastAsia="MS PGothic" w:hAnsi="MS PGothic"/>
          <w:sz w:val="18"/>
          <w:szCs w:val="18"/>
          <w:color w:val="auto"/>
        </w:rPr>
        <w:t>‑</w:t>
      </w:r>
      <w:r>
        <w:rPr>
          <w:rFonts w:ascii="Arial" w:cs="Arial" w:eastAsia="Arial" w:hAnsi="Arial"/>
          <w:sz w:val="18"/>
          <w:szCs w:val="18"/>
          <w:color w:val="auto"/>
        </w:rPr>
        <w:t>plane fueling at airports, fueling of vessels in</w:t>
      </w:r>
      <w:r>
        <w:rPr>
          <w:rFonts w:ascii="MS PGothic" w:cs="MS PGothic" w:eastAsia="MS PGothic" w:hAnsi="MS PGothic"/>
          <w:sz w:val="18"/>
          <w:szCs w:val="18"/>
          <w:color w:val="auto"/>
        </w:rPr>
        <w:t>‑</w:t>
      </w:r>
      <w:r>
        <w:rPr>
          <w:rFonts w:ascii="Arial" w:cs="Arial" w:eastAsia="Arial" w:hAnsi="Arial"/>
          <w:sz w:val="18"/>
          <w:szCs w:val="18"/>
          <w:color w:val="auto"/>
        </w:rPr>
        <w:t>port and at</w:t>
      </w:r>
      <w:r>
        <w:rPr>
          <w:rFonts w:ascii="MS PGothic" w:cs="MS PGothic" w:eastAsia="MS PGothic" w:hAnsi="MS PGothic"/>
          <w:sz w:val="18"/>
          <w:szCs w:val="18"/>
          <w:color w:val="auto"/>
        </w:rPr>
        <w:t>‑</w:t>
      </w:r>
      <w:r>
        <w:rPr>
          <w:rFonts w:ascii="Arial" w:cs="Arial" w:eastAsia="Arial" w:hAnsi="Arial"/>
          <w:sz w:val="18"/>
          <w:szCs w:val="18"/>
          <w:color w:val="auto"/>
        </w:rPr>
        <w:t>sea, and transportation, delivery and storage of fuel and fuel products. We are therefore subject to possible claims by customers, regulators and others who may suffer a loss arising from a fuel spill or other incident. In addition, we may be held liable for damage to the environment arising out of such events. Although we generally maintain liability insurance for these types of events, such insurance may be insufficient to cover certain losses which may be in excess of coverage limits or outside the scope of the coverage. If we are held liable for any damages, and the liability is not adequately covered by insurance and is of sufficient magnitude, our financial position and results of operations will be adversely affected.</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Compliance with existing and future environmental laws regulating underground storage tanks that we operate may require significant capital expenditures and increased operating and maintenance costs. The remediation costs and other costs required to clean up or treat contaminated sites could be substantial. Where available, we pay tank registration fees and other taxes to state trust funds established in our operating areas, and we also maintain private insurance coverage in support of future remediation obligations. These state trust funds or other responsible third parties, including insurers, are expected to pay or reimburse us for remediation expenses in excess of a deductible. To the extent third parties do not pay for remediation as we anticipate, we will be obligated to make these payments, which could materially adversely affect our financial condition, results of operations and cash flows. Reimbursements from state trust funds will be dependent on the maintenance and continued solvency of the various funds.</w:t>
      </w:r>
    </w:p>
    <w:p>
      <w:pPr>
        <w:spacing w:after="0" w:line="20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Although we continuously review the adequacy of our insurance coverage, we may lack adequate coverage for various risks, including environmental claims. Furthermore, our ability to obtain and maintain adequate insurance and the cost of such insurance may be affected by significant claims and conditions in the insurance market over which we have no control. If we are uninsured or under</w:t>
      </w:r>
      <w:r>
        <w:rPr>
          <w:rFonts w:ascii="MS PGothic" w:cs="MS PGothic" w:eastAsia="MS PGothic" w:hAnsi="MS PGothic"/>
          <w:sz w:val="18"/>
          <w:szCs w:val="18"/>
          <w:color w:val="auto"/>
        </w:rPr>
        <w:t>‑</w:t>
      </w:r>
      <w:r>
        <w:rPr>
          <w:rFonts w:ascii="Arial" w:cs="Arial" w:eastAsia="Arial" w:hAnsi="Arial"/>
          <w:sz w:val="18"/>
          <w:szCs w:val="18"/>
          <w:color w:val="auto"/>
        </w:rPr>
        <w:t>insured for a claim or claims of sufficient magnitude arising out of our activities, it will have a material adverse effect on our financial position, results of operations and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a theft of fuel product valued at approximately $ 18.0 million, we recorded an insurance receivable for the full amount of the loss, which is included in other current assets in the accompanying consolidated balance sheets. On July 31, 2014, our insurer, AGCS Marine Insurance Company (“AGCS”), filed a declaratory judgment action against us in the United States District Court for the Southern District of New York (“District Court”) seeking a court ruling that the loss is not covered under our policy. In May 2016, the District Court entered an order granting summary judgment in our favor holding that the loss is covered under the AGCS policy and entered a final order and judgment in November 2016, requiring AGCS to pay us damages and interest in the amount of approximately $24.5 million (the "Judgment").</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AGCS took an appeal from the order granting summary judgment to the United States Court of Appeals for the Second Circuit (the "Appellate Court") and we filed a protective cross-appeal, which was stayed pending the entry of the Judgment in the District Court. In December 2016, AGCS filed a notice of appeal from the Judgment in the Appellate Court. In January 2017, the Appellate Court consolidated the appeal from the Judgment with the earlier appeals from the summary judgment order. The Appellate Court has not yet set a briefing schedule or hearing for the appeals. We believe AGCS’ position is without merit and we intend to continue vigorously pursuing our rights. However, due to the complexities and uncertainties inherent in litigation, we can provide no assurance that we will recover the full amount of the loss.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are under review by various domestic and foreign tax authorities with regards to indirect tax matters and are involved in various challenges and litigation in a number of countries, including, in particular, Brazil and South Korea, where the amounts under controversy may be significant.</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quarter ended December 31, 2016, the Korean branch (“WFSK”) of one of our subsidiaries received assessments of approximately $10.4 million (KRW 11.9 billion) and a pre-assessment notice for an additional $17.6 million (KRW 20.1 billion) from the regional tax authorities of Seoul, South Korea (“SRTO”). The assessments primarily consist of fines and penalties for allegedly failing to issue VAT invoices and report certain transactions during the period 2011-2014. These assessments do not involve failure to pay or collect VAT. We believe that these assessments are without merit and are currently appealing the actions. In addition to these assessments, in November 2016, the SRTO referred the case to the Seoul Central District Prosecutors Office (“SCDPO”) for investigation and determination as to whether the alleged invoicing and reporting violations should be subject to criminal action under Korean law, which may result in additional penalties being assessed against us. We believe any such criminal action is without merit and we intend to defend any such action to the extent pursued by the SCDPO.</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also involved in a number of tax disputes with federal, state and municipal tax authorities in Brazil, relating primarily to VAT (ICMS) tax matters. These disputes are at various stages of the legal process, including the administrative review phase and the collection action phase, and include assessments of fixed amounts of principal and penalties, plus interest.</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would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August 31, 2016, Hanjin Shipping Co., Ltd. (“Hanjin”), one of our customers in our marine segment, filed for bankruptcy protection in South Korea and on September 1, 2016, the Korean Rehabilitation Court accepted Hanjin’s application for rehabilitation. On February 2, 2017, the Korean Rehabilitation Court terminated Hanjin’s rehabilitation process. It is expected that Hanjin will declare bankruptcy on or about, February 17, 2017 and commence liquidation proceedings. During the quarter ended December 31, 2016, we wrote off approximately $5.8 million of Hanjin receivables associated with specific vessels against which enforcement of our maritime liens is unlikely to be successful. As of December 31, 2016, we had outstanding receivables of approximately $7.0 million, net of anticipated insurance recoveries. While we believe we will recover all or substantially all of the outstanding receivables, there can be no assurance that we will be able to recover all of the remaining amounts owed or fully mitigate all losses.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December 31, 2016,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right="9420" w:firstLine="8"/>
        <w:spacing w:after="0" w:line="513" w:lineRule="auto"/>
        <w:tabs>
          <w:tab w:leader="none" w:pos="2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Dividends</w:t>
      </w:r>
    </w:p>
    <w:p>
      <w:pPr>
        <w:spacing w:after="0" w:line="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declared aggregate cash dividends of $ 0.24 per share of common stock for 2016 and 2015, respectively, and $0.15 for 2014. Our Credit Facility and Term Loans have restrictions regarding the maximum amount of cash dividends allowed to be paid. The payment of the above</w:t>
      </w:r>
      <w:r>
        <w:rPr>
          <w:rFonts w:ascii="MS PGothic" w:cs="MS PGothic" w:eastAsia="MS PGothic" w:hAnsi="MS PGothic"/>
          <w:sz w:val="18"/>
          <w:szCs w:val="18"/>
          <w:color w:val="auto"/>
        </w:rPr>
        <w:t>‑</w:t>
      </w:r>
      <w:r>
        <w:rPr>
          <w:rFonts w:ascii="Arial" w:cs="Arial" w:eastAsia="Arial" w:hAnsi="Arial"/>
          <w:sz w:val="18"/>
          <w:szCs w:val="18"/>
          <w:color w:val="auto"/>
        </w:rPr>
        <w:t>referenced cash dividends was in compliance with the Credit Facility and Term Loans.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Board of Directors, from time to time, has authorized stock repurchase programs under the terms of which we may repurchase our common stock, subject to certain restrictions contained in our Credit Facility and Term Loans. In May 2014, our Board of Directors renewed the Company's common stock repurchase program (the "Repurchase Program"), replacing the remainder of the previously authorized October 2008 share repurchase program and authorizing the purchase of up to $65.0 million in common stock. During 2014 and from January 2015 through May 2015, pursuant to the Repurchase Program, we repurchased 227,000 shares of our common stock for an aggregate value of $10.0 million and 584,000 shares of our common stock for an aggregate value of $30.0 million, respectively.</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June 2015, our Board of Directors renewed the Repurchase Program and authorized the purchase of up to $100.0 million in common stock. From July 2015 through August 2016, we repurchased 1,406,773 shares of our common stock for an aggregate value of $ 58.9 million pursuant to the Repurchase Program. In September 2016, our Board of Directors renewed the Repurchase Program by replacing the remainder of the existing program and authorizing the purchase of up to $ 100.0 million in common stock. The Repurchase Program does not require a minimum number of shares of common stock to be purchased, has no expiration date and may be suspended or discontinued at any time. From September 2016 to December 2016, we repurchased 556,000 shares of common stock for an aggregate value of $22.8 million. As of December 31, 2016, $77.2 million remains available for purchase under the Repurchase Program. The timing and amount of shares of common stock to be repurchased under the Repurchase Program will depend on market conditions, share price, securities law and other legal requirements and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Summary and Description</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May 2016, our shareholders approved the 2016 Omnibus Plan (the "2016 Plan"), which replaced our previously adopted 2006 Omnibus Plan, as amended and restated in 2009 (the "2006 Plan"). The 2016 Plan is administered by the Compensation Committee of the Board of Directors (the “Compensation Committee”). The purpose of the 2016 Plan is to (i) attract and retain persons eligible to participate in the 2016 Plan; (ii) motivate participants, by means of appropriate incentives, to achieve long</w:t>
      </w:r>
      <w:r>
        <w:rPr>
          <w:rFonts w:ascii="MS PGothic" w:cs="MS PGothic" w:eastAsia="MS PGothic" w:hAnsi="MS PGothic"/>
          <w:sz w:val="18"/>
          <w:szCs w:val="18"/>
          <w:color w:val="auto"/>
        </w:rPr>
        <w:t>‑</w:t>
      </w:r>
      <w:r>
        <w:rPr>
          <w:rFonts w:ascii="Arial" w:cs="Arial" w:eastAsia="Arial" w:hAnsi="Arial"/>
          <w:sz w:val="18"/>
          <w:szCs w:val="18"/>
          <w:color w:val="auto"/>
        </w:rPr>
        <w:t>range goals; (iii) provide incentive compensation opportunities that are competitive with those of other similar companies; and (iv) further align participants’ interests with those of our other shareholders through compensation that is based on the value of our common stock. The goal is to promote the long</w:t>
      </w:r>
      <w:r>
        <w:rPr>
          <w:rFonts w:ascii="MS PGothic" w:cs="MS PGothic" w:eastAsia="MS PGothic" w:hAnsi="MS PGothic"/>
          <w:sz w:val="18"/>
          <w:szCs w:val="18"/>
          <w:color w:val="auto"/>
        </w:rPr>
        <w:t>‑</w:t>
      </w:r>
      <w:r>
        <w:rPr>
          <w:rFonts w:ascii="Arial" w:cs="Arial" w:eastAsia="Arial" w:hAnsi="Arial"/>
          <w:sz w:val="18"/>
          <w:szCs w:val="18"/>
          <w:color w:val="auto"/>
        </w:rPr>
        <w:t>term financial interest of World Fuel and its subsidiaries, including the growth in value of our equity and enhancement of long</w:t>
      </w:r>
      <w:r>
        <w:rPr>
          <w:rFonts w:ascii="MS PGothic" w:cs="MS PGothic" w:eastAsia="MS PGothic" w:hAnsi="MS PGothic"/>
          <w:sz w:val="18"/>
          <w:szCs w:val="18"/>
          <w:color w:val="auto"/>
        </w:rPr>
        <w:t>‑</w:t>
      </w:r>
      <w:r>
        <w:rPr>
          <w:rFonts w:ascii="Arial" w:cs="Arial" w:eastAsia="Arial" w:hAnsi="Arial"/>
          <w:sz w:val="18"/>
          <w:szCs w:val="18"/>
          <w:color w:val="auto"/>
        </w:rPr>
        <w:t>term shareholder return. The persons eligible to receive awards under the 2016 Plan are our employees, officers, and members of the Board of Directors, or any consultant or other person who performs services for us.</w:t>
      </w:r>
    </w:p>
    <w:p>
      <w:pPr>
        <w:spacing w:after="0" w:line="22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provisions of the 2016 Plan authorize the grant of stock options which can be “qualified” or “nonqualified” under the Internal Revenue Code of 1986, as amended, restricted stock, RSUs, SSAR Awards, performance shares and performance units and other share</w:t>
      </w:r>
      <w:r>
        <w:rPr>
          <w:rFonts w:ascii="MS PGothic" w:cs="MS PGothic" w:eastAsia="MS PGothic" w:hAnsi="MS PGothic"/>
          <w:sz w:val="18"/>
          <w:szCs w:val="18"/>
          <w:color w:val="auto"/>
        </w:rPr>
        <w:t>‑</w:t>
      </w:r>
      <w:r>
        <w:rPr>
          <w:rFonts w:ascii="Arial" w:cs="Arial" w:eastAsia="Arial" w:hAnsi="Arial"/>
          <w:sz w:val="18"/>
          <w:szCs w:val="18"/>
          <w:color w:val="auto"/>
        </w:rPr>
        <w:t>based awards. The 2016 Plan is unlimited in duration and, in the event of its termination, the 2016 Plan will remain in effect as long as any awards granted under it remain outstanding. No awards may be granted under the 2016 Plan after May 2026. The term and vesting period of awards granted under the 2016 Plan are established on a per grant basis, but options and SSAR Awards may not remain exercisable after the seven</w:t>
      </w:r>
      <w:r>
        <w:rPr>
          <w:rFonts w:ascii="MS PGothic" w:cs="MS PGothic" w:eastAsia="MS PGothic" w:hAnsi="MS PGothic"/>
          <w:sz w:val="18"/>
          <w:szCs w:val="18"/>
          <w:color w:val="auto"/>
        </w:rPr>
        <w:t>‑</w:t>
      </w:r>
      <w:r>
        <w:rPr>
          <w:rFonts w:ascii="Arial" w:cs="Arial" w:eastAsia="Arial" w:hAnsi="Arial"/>
          <w:sz w:val="18"/>
          <w:szCs w:val="18"/>
          <w:color w:val="auto"/>
        </w:rPr>
        <w:t>year anniversary of the date of grant.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2016 Plan, 2,500,000 shares of common stock are authorized for issuance plus any shares of common stock with respect to awards that were granted under the 2006 Plan but are forfeited or canceled (e.g., due to the recipient's failure to satisfy applicable service or performance conditions) after May 2016. As of December 31, 2016, approximately 3,108,258 shares of common stock were subject to outstanding awards under the 2006 Plan (assuming maximum achievement of performance goals for restricted stock and target achievement of performance goals for RSUs, where applicable).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outstanding awards issued pursuant to the 2016 Plan described above as of December 31, 2016 and the remaining shares of common stock available for future issuance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jc w:val="right"/>
              <w:ind w:right="22"/>
              <w:spacing w:after="0"/>
              <w:rPr>
                <w:sz w:val="20"/>
                <w:szCs w:val="20"/>
                <w:color w:val="auto"/>
              </w:rPr>
            </w:pPr>
            <w:r>
              <w:rPr>
                <w:rFonts w:ascii="Arial" w:cs="Arial" w:eastAsia="Arial" w:hAnsi="Arial"/>
                <w:sz w:val="14"/>
                <w:szCs w:val="14"/>
                <w:b w:val="1"/>
                <w:bCs w:val="1"/>
                <w:color w:val="auto"/>
              </w:rPr>
              <w:t>Remaining shares</w:t>
            </w:r>
          </w:p>
        </w:tc>
      </w:tr>
      <w:tr>
        <w:trPr>
          <w:trHeight w:val="162"/>
        </w:trPr>
        <w:tc>
          <w:tcPr>
            <w:tcW w:w="5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jc w:val="right"/>
              <w:ind w:right="22"/>
              <w:spacing w:after="0"/>
              <w:rPr>
                <w:sz w:val="20"/>
                <w:szCs w:val="20"/>
                <w:color w:val="auto"/>
              </w:rPr>
            </w:pPr>
            <w:r>
              <w:rPr>
                <w:rFonts w:ascii="Arial" w:cs="Arial" w:eastAsia="Arial" w:hAnsi="Arial"/>
                <w:sz w:val="14"/>
                <w:szCs w:val="14"/>
                <w:b w:val="1"/>
                <w:bCs w:val="1"/>
                <w:color w:val="auto"/>
              </w:rPr>
              <w:t>of common stock</w:t>
            </w:r>
          </w:p>
        </w:tc>
      </w:tr>
      <w:tr>
        <w:trPr>
          <w:trHeight w:val="162"/>
        </w:trPr>
        <w:tc>
          <w:tcPr>
            <w:tcW w:w="5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jc w:val="right"/>
              <w:ind w:right="22"/>
              <w:spacing w:after="0"/>
              <w:rPr>
                <w:sz w:val="20"/>
                <w:szCs w:val="20"/>
                <w:color w:val="auto"/>
              </w:rPr>
            </w:pPr>
            <w:r>
              <w:rPr>
                <w:rFonts w:ascii="Arial" w:cs="Arial" w:eastAsia="Arial" w:hAnsi="Arial"/>
                <w:sz w:val="14"/>
                <w:szCs w:val="14"/>
                <w:b w:val="1"/>
                <w:bCs w:val="1"/>
                <w:color w:val="auto"/>
              </w:rPr>
              <w:t>available for future</w:t>
            </w:r>
          </w:p>
        </w:tc>
      </w:tr>
      <w:tr>
        <w:trPr>
          <w:trHeight w:val="19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Plan name</w:t>
            </w:r>
          </w:p>
        </w:tc>
        <w:tc>
          <w:tcPr>
            <w:tcW w:w="1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Restricted Stock</w:t>
            </w: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RSUs</w:t>
            </w:r>
          </w:p>
        </w:tc>
        <w:tc>
          <w:tcPr>
            <w:tcW w:w="1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SSAR Awards</w:t>
            </w:r>
          </w:p>
        </w:tc>
        <w:tc>
          <w:tcPr>
            <w:tcW w:w="15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issuance</w:t>
            </w:r>
          </w:p>
        </w:tc>
      </w:tr>
      <w:tr>
        <w:trPr>
          <w:trHeight w:val="263"/>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2016 Plan (1)</w:t>
            </w:r>
          </w:p>
        </w:tc>
        <w:tc>
          <w:tcPr>
            <w:tcW w:w="198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4.3</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2006 Plan (amended and restated) (2)</w:t>
            </w:r>
          </w:p>
        </w:tc>
        <w:tc>
          <w:tcPr>
            <w:tcW w:w="198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rPr>
              <w:t>1.2</w:t>
            </w: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1.2</w:t>
            </w:r>
          </w:p>
        </w:tc>
        <w:tc>
          <w:tcPr>
            <w:tcW w:w="1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0.3</w:t>
            </w:r>
          </w:p>
        </w:tc>
        <w:tc>
          <w:tcPr>
            <w:tcW w:w="15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880" w:hanging="872"/>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2016, unvested RSUs will vest between March 2017 and August 2021.</w:t>
      </w:r>
    </w:p>
    <w:p>
      <w:pPr>
        <w:spacing w:after="0" w:line="265" w:lineRule="exact"/>
        <w:rPr>
          <w:rFonts w:ascii="Arial" w:cs="Arial" w:eastAsia="Arial" w:hAnsi="Arial"/>
          <w:sz w:val="18"/>
          <w:szCs w:val="18"/>
          <w:color w:val="auto"/>
        </w:rPr>
      </w:pPr>
    </w:p>
    <w:p>
      <w:pPr>
        <w:jc w:val="both"/>
        <w:ind w:firstLine="8"/>
        <w:spacing w:after="0" w:line="247" w:lineRule="exact"/>
        <w:tabs>
          <w:tab w:leader="none" w:pos="8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2016, unvested restricted stock will vest between February 2017 and March 2021, unvested RSUs will vest between February 2017 and August 2021 and the outstanding SSAR Awards will expire between March 2017 and March 2021. RSUs granted to non</w:t>
      </w:r>
      <w:r>
        <w:rPr>
          <w:rFonts w:ascii="MS PGothic" w:cs="MS PGothic" w:eastAsia="MS PGothic" w:hAnsi="MS PGothic"/>
          <w:sz w:val="18"/>
          <w:szCs w:val="18"/>
          <w:color w:val="auto"/>
        </w:rPr>
        <w:t>‑</w:t>
      </w:r>
      <w:r>
        <w:rPr>
          <w:rFonts w:ascii="Arial" w:cs="Arial" w:eastAsia="Arial" w:hAnsi="Arial"/>
          <w:sz w:val="18"/>
          <w:szCs w:val="18"/>
          <w:color w:val="auto"/>
        </w:rPr>
        <w:t>employee directors under the 2006 Plan prior to 2011 remain outstanding until the date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ceases, for any reason, to be a member of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status of our unvested restricted stock outstanding and related transactions for each of the following years (in millions, except weighted average grant-date fair value price and weighted average remaining vesting term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33"/>
              <w:spacing w:after="0"/>
              <w:rPr>
                <w:sz w:val="20"/>
                <w:szCs w:val="20"/>
                <w:color w:val="auto"/>
              </w:rPr>
            </w:pPr>
            <w:r>
              <w:rPr>
                <w:rFonts w:ascii="Arial" w:cs="Arial" w:eastAsia="Arial" w:hAnsi="Arial"/>
                <w:sz w:val="14"/>
                <w:szCs w:val="14"/>
                <w:b w:val="1"/>
                <w:bCs w:val="1"/>
                <w:color w:val="auto"/>
              </w:rPr>
              <w:t>Weighted Average</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5160" w:type="dxa"/>
            <w:vAlign w:val="bottom"/>
          </w:tcPr>
          <w:p>
            <w:pPr>
              <w:spacing w:after="0"/>
              <w:rPr>
                <w:sz w:val="14"/>
                <w:szCs w:val="14"/>
                <w:color w:val="auto"/>
              </w:rPr>
            </w:pPr>
          </w:p>
        </w:tc>
        <w:tc>
          <w:tcPr>
            <w:tcW w:w="1500" w:type="dxa"/>
            <w:vAlign w:val="bottom"/>
          </w:tcPr>
          <w:p>
            <w:pPr>
              <w:jc w:val="right"/>
              <w:ind w:right="32"/>
              <w:spacing w:after="0"/>
              <w:rPr>
                <w:sz w:val="20"/>
                <w:szCs w:val="20"/>
                <w:color w:val="auto"/>
              </w:rPr>
            </w:pPr>
            <w:r>
              <w:rPr>
                <w:rFonts w:ascii="Arial" w:cs="Arial" w:eastAsia="Arial" w:hAnsi="Arial"/>
                <w:sz w:val="14"/>
                <w:szCs w:val="14"/>
                <w:b w:val="1"/>
                <w:bCs w:val="1"/>
                <w:color w:val="auto"/>
              </w:rPr>
              <w:t>Unvested</w:t>
            </w:r>
          </w:p>
        </w:tc>
        <w:tc>
          <w:tcPr>
            <w:tcW w:w="220" w:type="dxa"/>
            <w:vAlign w:val="bottom"/>
          </w:tcPr>
          <w:p>
            <w:pPr>
              <w:spacing w:after="0"/>
              <w:rPr>
                <w:sz w:val="14"/>
                <w:szCs w:val="14"/>
                <w:color w:val="auto"/>
              </w:rPr>
            </w:pPr>
          </w:p>
        </w:tc>
        <w:tc>
          <w:tcPr>
            <w:tcW w:w="1380" w:type="dxa"/>
            <w:vAlign w:val="bottom"/>
          </w:tcPr>
          <w:p>
            <w:pPr>
              <w:jc w:val="right"/>
              <w:ind w:right="33"/>
              <w:spacing w:after="0"/>
              <w:rPr>
                <w:sz w:val="20"/>
                <w:szCs w:val="20"/>
                <w:color w:val="auto"/>
              </w:rPr>
            </w:pPr>
            <w:r>
              <w:rPr>
                <w:rFonts w:ascii="Arial" w:cs="Arial" w:eastAsia="Arial" w:hAnsi="Arial"/>
                <w:sz w:val="14"/>
                <w:szCs w:val="14"/>
                <w:b w:val="1"/>
                <w:bCs w:val="1"/>
                <w:color w:val="auto"/>
              </w:rPr>
              <w:t>Grant date Fair</w:t>
            </w:r>
          </w:p>
        </w:tc>
        <w:tc>
          <w:tcPr>
            <w:tcW w:w="166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Aggregate Intrinsic</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Remaining Vesting</w:t>
            </w:r>
          </w:p>
        </w:tc>
      </w:tr>
      <w:tr>
        <w:trPr>
          <w:trHeight w:val="196"/>
        </w:trPr>
        <w:tc>
          <w:tcPr>
            <w:tcW w:w="5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Restricted Stock</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Value Price</w:t>
            </w: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Value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Term (in Years)</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2013</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40.07</w:t>
            </w:r>
          </w:p>
        </w:tc>
        <w:tc>
          <w:tcPr>
            <w:tcW w:w="6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59.3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2"/>
                <w:szCs w:val="22"/>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44.18</w:t>
            </w: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38.00</w:t>
            </w:r>
          </w:p>
        </w:tc>
        <w:tc>
          <w:tcPr>
            <w:tcW w:w="6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39.58</w:t>
            </w:r>
          </w:p>
        </w:tc>
        <w:tc>
          <w:tcPr>
            <w:tcW w:w="6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2014</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41.18</w:t>
            </w:r>
          </w:p>
        </w:tc>
        <w:tc>
          <w:tcPr>
            <w:tcW w:w="6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70.2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2"/>
                <w:szCs w:val="22"/>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49.95</w:t>
            </w: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39.63</w:t>
            </w:r>
          </w:p>
        </w:tc>
        <w:tc>
          <w:tcPr>
            <w:tcW w:w="6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41.84</w:t>
            </w:r>
          </w:p>
        </w:tc>
        <w:tc>
          <w:tcPr>
            <w:tcW w:w="6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42.69</w:t>
            </w:r>
          </w:p>
        </w:tc>
        <w:tc>
          <w:tcPr>
            <w:tcW w:w="6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54.9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2"/>
                <w:szCs w:val="22"/>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42.92</w:t>
            </w: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40.40</w:t>
            </w:r>
          </w:p>
        </w:tc>
        <w:tc>
          <w:tcPr>
            <w:tcW w:w="6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43.30</w:t>
            </w:r>
          </w:p>
        </w:tc>
        <w:tc>
          <w:tcPr>
            <w:tcW w:w="6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r>
      <w:tr>
        <w:trPr>
          <w:trHeight w:val="250"/>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43.10</w:t>
            </w:r>
          </w:p>
        </w:tc>
        <w:tc>
          <w:tcPr>
            <w:tcW w:w="6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55.7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aggregate value of restricted stock which vested during 2016, 2015 and 2014 was $9.6 million, $9.9 million and $7.1 million, respectively, based on the average high and low market price of our common stock at the vesting date.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Awards</w:t>
      </w:r>
    </w:p>
    <w:p>
      <w:pPr>
        <w:spacing w:after="0" w:line="24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The following table summarizes the status of our RSUs and related transactions for each of the following years (in millions, except for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data and weighted average remaining contractual life):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RSUs Outstanding</w:t>
            </w:r>
          </w:p>
        </w:tc>
      </w:tr>
      <w:tr>
        <w:trPr>
          <w:trHeight w:val="175"/>
        </w:trPr>
        <w:tc>
          <w:tcPr>
            <w:tcW w:w="5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33"/>
              <w:spacing w:after="0"/>
              <w:rPr>
                <w:sz w:val="20"/>
                <w:szCs w:val="20"/>
                <w:color w:val="auto"/>
              </w:rPr>
            </w:pPr>
            <w:r>
              <w:rPr>
                <w:rFonts w:ascii="Arial" w:cs="Arial" w:eastAsia="Arial" w:hAnsi="Arial"/>
                <w:sz w:val="14"/>
                <w:szCs w:val="14"/>
                <w:b w:val="1"/>
                <w:bCs w:val="1"/>
                <w:color w:val="auto"/>
              </w:rPr>
              <w:t>Weighted Average</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33"/>
              <w:spacing w:after="0"/>
              <w:rPr>
                <w:sz w:val="20"/>
                <w:szCs w:val="20"/>
                <w:color w:val="auto"/>
              </w:rPr>
            </w:pPr>
            <w:r>
              <w:rPr>
                <w:rFonts w:ascii="Arial" w:cs="Arial" w:eastAsia="Arial" w:hAnsi="Arial"/>
                <w:sz w:val="14"/>
                <w:szCs w:val="14"/>
                <w:b w:val="1"/>
                <w:bCs w:val="1"/>
                <w:color w:val="auto"/>
              </w:rPr>
              <w:t>Grant date Fair</w:t>
            </w:r>
          </w:p>
        </w:tc>
        <w:tc>
          <w:tcPr>
            <w:tcW w:w="166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Aggregate Intrinsic</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Contractual Life</w:t>
            </w:r>
          </w:p>
        </w:tc>
      </w:tr>
      <w:tr>
        <w:trPr>
          <w:trHeight w:val="196"/>
        </w:trPr>
        <w:tc>
          <w:tcPr>
            <w:tcW w:w="5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RSUs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Value Price</w:t>
            </w: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Value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Years)</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2013</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35.61</w:t>
            </w:r>
          </w:p>
        </w:tc>
        <w:tc>
          <w:tcPr>
            <w:tcW w:w="6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31.8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2"/>
                <w:szCs w:val="22"/>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44.34</w:t>
            </w: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36.67</w:t>
            </w:r>
          </w:p>
        </w:tc>
        <w:tc>
          <w:tcPr>
            <w:tcW w:w="6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40.25</w:t>
            </w:r>
          </w:p>
        </w:tc>
        <w:tc>
          <w:tcPr>
            <w:tcW w:w="6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2014</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38.55</w:t>
            </w:r>
          </w:p>
        </w:tc>
        <w:tc>
          <w:tcPr>
            <w:tcW w:w="6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36.9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2"/>
                <w:szCs w:val="22"/>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51.00</w:t>
            </w: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38.80</w:t>
            </w:r>
          </w:p>
        </w:tc>
        <w:tc>
          <w:tcPr>
            <w:tcW w:w="6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42.65</w:t>
            </w:r>
          </w:p>
        </w:tc>
        <w:tc>
          <w:tcPr>
            <w:tcW w:w="6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43.10</w:t>
            </w:r>
          </w:p>
        </w:tc>
        <w:tc>
          <w:tcPr>
            <w:tcW w:w="6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28.0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2"/>
                <w:szCs w:val="22"/>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44.23</w:t>
            </w: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42.78</w:t>
            </w:r>
          </w:p>
        </w:tc>
        <w:tc>
          <w:tcPr>
            <w:tcW w:w="6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44.78</w:t>
            </w:r>
          </w:p>
        </w:tc>
        <w:tc>
          <w:tcPr>
            <w:tcW w:w="6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r>
      <w:tr>
        <w:trPr>
          <w:trHeight w:val="250"/>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43.28</w:t>
            </w:r>
          </w:p>
        </w:tc>
        <w:tc>
          <w:tcPr>
            <w:tcW w:w="6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55.7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RSUs issued during 2016, 2015 and 2014 was $6.2 million, $15.3 million and $10.1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SSAR Awards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status of our outstanding and exercisable SSAR Awards and related transactions for each of the following years (in millions, except weighted average exercise price and weighted average remaining contractual life data):</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SSAR Awards Outstanding</w:t>
            </w: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SSAR Awards Exercisable</w:t>
            </w:r>
          </w:p>
        </w:tc>
      </w:tr>
      <w:tr>
        <w:trPr>
          <w:trHeight w:val="175"/>
        </w:trPr>
        <w:tc>
          <w:tcPr>
            <w:tcW w:w="2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4"/>
                <w:szCs w:val="14"/>
                <w:b w:val="1"/>
                <w:bCs w:val="1"/>
                <w:color w:val="auto"/>
              </w:rPr>
              <w:t>Aggregate</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2520" w:type="dxa"/>
            <w:vAlign w:val="bottom"/>
          </w:tcPr>
          <w:p>
            <w:pPr>
              <w:spacing w:after="0"/>
              <w:rPr>
                <w:sz w:val="14"/>
                <w:szCs w:val="14"/>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b w:val="1"/>
                <w:bCs w:val="1"/>
                <w:color w:val="auto"/>
              </w:rPr>
              <w:t>SSAR</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4"/>
                <w:szCs w:val="14"/>
                <w:b w:val="1"/>
                <w:bCs w:val="1"/>
                <w:color w:val="auto"/>
              </w:rPr>
              <w:t>Intrinsic</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Contractual</w:t>
            </w: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rPr>
              <w:t>Aggregate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Contractual</w:t>
            </w:r>
          </w:p>
        </w:tc>
      </w:tr>
      <w:tr>
        <w:trPr>
          <w:trHeight w:val="196"/>
        </w:trPr>
        <w:tc>
          <w:tcPr>
            <w:tcW w:w="2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Awards</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Value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Life (in Years)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SSAR Awards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Exercise Price</w:t>
            </w:r>
          </w:p>
        </w:tc>
        <w:tc>
          <w:tcPr>
            <w:tcW w:w="12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b w:val="1"/>
                <w:bCs w:val="1"/>
                <w:color w:val="auto"/>
              </w:rPr>
              <w:t>Intrinsic Value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Life (in Years)</w:t>
            </w:r>
          </w:p>
        </w:tc>
      </w:tr>
      <w:tr>
        <w:trPr>
          <w:trHeight w:val="256"/>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2013</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22.26</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50"/>
        </w:trPr>
        <w:tc>
          <w:tcPr>
            <w:tcW w:w="2520" w:type="dxa"/>
            <w:vAlign w:val="bottom"/>
          </w:tcPr>
          <w:p>
            <w:pPr>
              <w:ind w:left="40"/>
              <w:spacing w:after="0"/>
              <w:rPr>
                <w:sz w:val="20"/>
                <w:szCs w:val="20"/>
                <w:color w:val="auto"/>
              </w:rPr>
            </w:pPr>
            <w:r>
              <w:rPr>
                <w:rFonts w:ascii="Arial" w:cs="Arial" w:eastAsia="Arial" w:hAnsi="Arial"/>
                <w:sz w:val="18"/>
                <w:szCs w:val="18"/>
                <w:color w:val="auto"/>
              </w:rPr>
              <w:t>As of December 31, 2014</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40.06</w:t>
            </w:r>
          </w:p>
        </w:tc>
        <w:tc>
          <w:tcPr>
            <w:tcW w:w="22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8"/>
                <w:szCs w:val="18"/>
                <w:color w:val="auto"/>
              </w:rPr>
              <w:t>1.5</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35.81</w:t>
            </w:r>
          </w:p>
        </w:tc>
        <w:tc>
          <w:tcPr>
            <w:tcW w:w="260" w:type="dxa"/>
            <w:vAlign w:val="bottom"/>
          </w:tcPr>
          <w:p>
            <w:pPr>
              <w:spacing w:after="0"/>
              <w:rPr>
                <w:sz w:val="21"/>
                <w:szCs w:val="21"/>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0.6</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25.08</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48.58</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50"/>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of December 31, 2016</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0.3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w:t>
            </w:r>
          </w:p>
        </w:tc>
        <w:tc>
          <w:tcPr>
            <w:tcW w:w="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0.7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intrinsic value of SSAR Awards exercised during 2016, 2015 and 2014 was $0.1 million, $0.5 million and $0.8 million, respectively, based on the difference between the average of the high and low market price of our common stock at the exercise date and the SSAR Award exercise price.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discussed in Note 1, we currently use the Black Scholes option pricing model to estimate the fair value of SSAR Awards granted to employees. The weighted average fair value of the SSAR Awards for 2016 was $12.32 and the assumptions used to determine such fair value were as follows: expected term of 4.5 years, volatility of 29.8%, dividend yields of 0.5% and risk-free interest rates of 1.2%. The weighted average fair value of the SSAR Awards for 2015 was $ 14.78 and the assumptions used to determine such fair value were as follows: expected term of 4.3 years, volatility of 30.2%, dividend yields of 0.3% and risk-free interest rates of 1.2%. There were no SSAR Awards issued in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Compensation Cost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2016, there was $42.6 million of total unrecognized compensation cost related to unvested share-based payment awards, which is included as capital in excess of par value in the accompanying consolidated balance sheets. The unrecognized compensation cost as of December 31, 2016 is expected to be recognized as compensation expense over a weighted average period of 1.3 years as follows (in millions):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20" w:type="dxa"/>
            <w:vAlign w:val="bottom"/>
            <w:tcBorders>
              <w:top w:val="single" w:sz="8" w:color="auto"/>
            </w:tcBorders>
            <w:shd w:val="clear" w:color="auto" w:fill="CCEEFF"/>
          </w:tcPr>
          <w:p>
            <w:pPr>
              <w:jc w:val="right"/>
              <w:ind w:right="4490"/>
              <w:spacing w:after="0"/>
              <w:rPr>
                <w:sz w:val="20"/>
                <w:szCs w:val="20"/>
                <w:color w:val="auto"/>
              </w:rPr>
            </w:pPr>
            <w:r>
              <w:rPr>
                <w:rFonts w:ascii="Arial" w:cs="Arial" w:eastAsia="Arial" w:hAnsi="Arial"/>
                <w:sz w:val="18"/>
                <w:szCs w:val="18"/>
                <w:color w:val="auto"/>
              </w:rPr>
              <w:t>2017</w:t>
            </w:r>
          </w:p>
        </w:tc>
        <w:tc>
          <w:tcPr>
            <w:tcW w:w="53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50"/>
        </w:trPr>
        <w:tc>
          <w:tcPr>
            <w:tcW w:w="5020" w:type="dxa"/>
            <w:vAlign w:val="bottom"/>
          </w:tcPr>
          <w:p>
            <w:pPr>
              <w:jc w:val="right"/>
              <w:ind w:right="4490"/>
              <w:spacing w:after="0"/>
              <w:rPr>
                <w:sz w:val="20"/>
                <w:szCs w:val="20"/>
                <w:color w:val="auto"/>
              </w:rPr>
            </w:pPr>
            <w:r>
              <w:rPr>
                <w:rFonts w:ascii="Arial" w:cs="Arial" w:eastAsia="Arial" w:hAnsi="Arial"/>
                <w:sz w:val="18"/>
                <w:szCs w:val="18"/>
                <w:color w:val="auto"/>
              </w:rPr>
              <w:t>2018</w:t>
            </w:r>
          </w:p>
        </w:tc>
        <w:tc>
          <w:tcPr>
            <w:tcW w:w="5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63"/>
        </w:trPr>
        <w:tc>
          <w:tcPr>
            <w:tcW w:w="5020" w:type="dxa"/>
            <w:vAlign w:val="bottom"/>
            <w:shd w:val="clear" w:color="auto" w:fill="CCEEFF"/>
          </w:tcPr>
          <w:p>
            <w:pPr>
              <w:jc w:val="right"/>
              <w:ind w:right="4490"/>
              <w:spacing w:after="0"/>
              <w:rPr>
                <w:sz w:val="20"/>
                <w:szCs w:val="20"/>
                <w:color w:val="auto"/>
              </w:rPr>
            </w:pPr>
            <w:r>
              <w:rPr>
                <w:rFonts w:ascii="Arial" w:cs="Arial" w:eastAsia="Arial" w:hAnsi="Arial"/>
                <w:sz w:val="18"/>
                <w:szCs w:val="18"/>
                <w:color w:val="auto"/>
              </w:rPr>
              <w:t>2019</w:t>
            </w:r>
          </w:p>
        </w:tc>
        <w:tc>
          <w:tcPr>
            <w:tcW w:w="5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50"/>
        </w:trPr>
        <w:tc>
          <w:tcPr>
            <w:tcW w:w="5020" w:type="dxa"/>
            <w:vAlign w:val="bottom"/>
          </w:tcPr>
          <w:p>
            <w:pPr>
              <w:jc w:val="right"/>
              <w:ind w:right="4490"/>
              <w:spacing w:after="0"/>
              <w:rPr>
                <w:sz w:val="20"/>
                <w:szCs w:val="20"/>
                <w:color w:val="auto"/>
              </w:rPr>
            </w:pPr>
            <w:r>
              <w:rPr>
                <w:rFonts w:ascii="Arial" w:cs="Arial" w:eastAsia="Arial" w:hAnsi="Arial"/>
                <w:sz w:val="18"/>
                <w:szCs w:val="18"/>
                <w:color w:val="auto"/>
              </w:rPr>
              <w:t>2020</w:t>
            </w:r>
          </w:p>
        </w:tc>
        <w:tc>
          <w:tcPr>
            <w:tcW w:w="5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57"/>
        </w:trPr>
        <w:tc>
          <w:tcPr>
            <w:tcW w:w="5020" w:type="dxa"/>
            <w:vAlign w:val="bottom"/>
            <w:tcBorders>
              <w:bottom w:val="single" w:sz="8" w:color="auto"/>
            </w:tcBorders>
            <w:shd w:val="clear" w:color="auto" w:fill="CCEEFF"/>
          </w:tcPr>
          <w:p>
            <w:pPr>
              <w:jc w:val="right"/>
              <w:ind w:right="4490"/>
              <w:spacing w:after="0"/>
              <w:rPr>
                <w:sz w:val="20"/>
                <w:szCs w:val="20"/>
                <w:color w:val="auto"/>
              </w:rPr>
            </w:pPr>
            <w:r>
              <w:rPr>
                <w:rFonts w:ascii="Arial" w:cs="Arial" w:eastAsia="Arial" w:hAnsi="Arial"/>
                <w:sz w:val="18"/>
                <w:szCs w:val="18"/>
                <w:color w:val="auto"/>
              </w:rPr>
              <w:t>2021</w:t>
            </w:r>
          </w:p>
        </w:tc>
        <w:tc>
          <w:tcPr>
            <w:tcW w:w="5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50"/>
        </w:trPr>
        <w:tc>
          <w:tcPr>
            <w:tcW w:w="5020" w:type="dxa"/>
            <w:vAlign w:val="bottom"/>
            <w:tcBorders>
              <w:bottom w:val="single" w:sz="8" w:color="auto"/>
            </w:tcBorders>
          </w:tcPr>
          <w:p>
            <w:pPr>
              <w:spacing w:after="0"/>
              <w:rPr>
                <w:sz w:val="21"/>
                <w:szCs w:val="21"/>
                <w:color w:val="auto"/>
              </w:rPr>
            </w:pPr>
          </w:p>
        </w:tc>
        <w:tc>
          <w:tcPr>
            <w:tcW w:w="5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42.6</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and Accumulated Other Comprehensive Loss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cash flow hedges, was as follows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right"/>
              <w:ind w:right="75"/>
              <w:spacing w:after="0"/>
              <w:rPr>
                <w:sz w:val="20"/>
                <w:szCs w:val="20"/>
                <w:color w:val="auto"/>
              </w:rPr>
            </w:pPr>
            <w:r>
              <w:rPr>
                <w:rFonts w:ascii="Arial" w:cs="Arial" w:eastAsia="Arial" w:hAnsi="Arial"/>
                <w:sz w:val="14"/>
                <w:szCs w:val="14"/>
                <w:b w:val="1"/>
                <w:bCs w:val="1"/>
                <w:color w:val="auto"/>
              </w:rPr>
              <w:t>Foreign Currency</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right"/>
              <w:ind w:right="75"/>
              <w:spacing w:after="0"/>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12"/>
              <w:spacing w:after="0"/>
              <w:rPr>
                <w:sz w:val="20"/>
                <w:szCs w:val="20"/>
                <w:color w:val="auto"/>
              </w:rPr>
            </w:pPr>
            <w:r>
              <w:rPr>
                <w:rFonts w:ascii="Arial" w:cs="Arial" w:eastAsia="Arial" w:hAnsi="Arial"/>
                <w:sz w:val="14"/>
                <w:szCs w:val="14"/>
                <w:b w:val="1"/>
                <w:bCs w:val="1"/>
                <w:color w:val="auto"/>
              </w:rPr>
              <w:t>Accumulated Other</w:t>
            </w:r>
          </w:p>
        </w:tc>
      </w:tr>
      <w:tr>
        <w:trPr>
          <w:trHeight w:val="196"/>
        </w:trPr>
        <w:tc>
          <w:tcPr>
            <w:tcW w:w="6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Cash Flow Hedges</w:t>
            </w: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Comprehensive Loss</w:t>
            </w:r>
          </w:p>
        </w:tc>
      </w:t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63"/>
        </w:trPr>
        <w:tc>
          <w:tcPr>
            <w:tcW w:w="62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22"/>
                <w:szCs w:val="22"/>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(45.4)</w:t>
            </w:r>
          </w:p>
        </w:tc>
        <w:tc>
          <w:tcPr>
            <w:tcW w:w="2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70"/>
        </w:trPr>
        <w:tc>
          <w:tcPr>
            <w:tcW w:w="6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Less: Net other comprehensive income attributable to noncontrolling interest</w:t>
            </w: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63"/>
        </w:trPr>
        <w:tc>
          <w:tcPr>
            <w:tcW w:w="626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340" w:type="dxa"/>
            <w:vAlign w:val="bottom"/>
          </w:tcPr>
          <w:p>
            <w:pPr>
              <w:spacing w:after="0"/>
              <w:rPr>
                <w:sz w:val="22"/>
                <w:szCs w:val="22"/>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(108.7)</w:t>
            </w:r>
          </w:p>
        </w:tc>
        <w:tc>
          <w:tcPr>
            <w:tcW w:w="2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(109.5)</w:t>
            </w:r>
          </w:p>
        </w:tc>
      </w:tr>
      <w:tr>
        <w:trPr>
          <w:trHeight w:val="277"/>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64"/>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Net other comprehensive income attributable to noncontrolling interest</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r>
      <w:tr>
        <w:trPr>
          <w:trHeight w:val="264"/>
        </w:trPr>
        <w:tc>
          <w:tcPr>
            <w:tcW w:w="6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foreign currency translation adjustment losses for 2016 were primarily due to the strengthening of the U.S. dollar as compared to the British Pound. The foreign currency translation adjustment losses for 2015 were primarily due to the strengthening of the U.S. dollar as compared to the Brazilian Real and the British Pound.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income before income taxes consist of the following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2014</w:t>
            </w: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(85.4)</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59.7</w:t>
            </w:r>
          </w:p>
        </w:tc>
      </w:tr>
      <w:tr>
        <w:trPr>
          <w:trHeight w:val="264"/>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w:t>
            </w:r>
          </w:p>
        </w:tc>
        <w:tc>
          <w:tcPr>
            <w:tcW w:w="3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227.5</w:t>
            </w: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214.2</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215.1</w:t>
            </w:r>
          </w:p>
        </w:tc>
      </w:tr>
      <w:tr>
        <w:trPr>
          <w:trHeight w:val="264"/>
        </w:trPr>
        <w:tc>
          <w:tcPr>
            <w:tcW w:w="3760" w:type="dxa"/>
            <w:vAlign w:val="bottom"/>
            <w:tcBorders>
              <w:bottom w:val="single" w:sz="8" w:color="auto"/>
            </w:tcBorders>
            <w:shd w:val="clear" w:color="auto" w:fill="CCEEFF"/>
          </w:tcPr>
          <w:p>
            <w:pPr>
              <w:spacing w:after="0"/>
              <w:rPr>
                <w:sz w:val="22"/>
                <w:szCs w:val="22"/>
                <w:color w:val="auto"/>
              </w:rPr>
            </w:pPr>
          </w:p>
        </w:tc>
        <w:tc>
          <w:tcPr>
            <w:tcW w:w="32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142.1</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217.7</w:t>
            </w:r>
          </w:p>
        </w:tc>
        <w:tc>
          <w:tcPr>
            <w:tcW w:w="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274.8</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related to income before income taxes consists of the following components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2014</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U.S. federal statutory tax</w:t>
            </w: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7.5</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13.9</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c>
          <w:tcPr>
            <w:tcW w:w="7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0.7</w:t>
            </w: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w:t>
            </w:r>
          </w:p>
        </w:tc>
        <w:tc>
          <w:tcPr>
            <w:tcW w:w="2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30.4</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27.0</w:t>
            </w:r>
          </w:p>
        </w:tc>
        <w:tc>
          <w:tcPr>
            <w:tcW w:w="7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23.5</w:t>
            </w:r>
          </w:p>
        </w:tc>
      </w:tr>
      <w:tr>
        <w:trPr>
          <w:trHeight w:val="264"/>
        </w:trPr>
        <w:tc>
          <w:tcPr>
            <w:tcW w:w="4580" w:type="dxa"/>
            <w:vAlign w:val="bottom"/>
            <w:tcBorders>
              <w:bottom w:val="single" w:sz="8" w:color="auto"/>
            </w:tcBorders>
            <w:shd w:val="clear" w:color="auto" w:fill="CCEEFF"/>
          </w:tcPr>
          <w:p>
            <w:pPr>
              <w:spacing w:after="0"/>
              <w:rPr>
                <w:sz w:val="22"/>
                <w:szCs w:val="22"/>
                <w:color w:val="auto"/>
              </w:rPr>
            </w:pPr>
          </w:p>
        </w:tc>
        <w:tc>
          <w:tcPr>
            <w:tcW w:w="2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38.7</w:t>
            </w:r>
          </w:p>
        </w:tc>
        <w:tc>
          <w:tcPr>
            <w:tcW w:w="7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17.8</w:t>
            </w:r>
          </w:p>
        </w:tc>
        <w:tc>
          <w:tcPr>
            <w:tcW w:w="7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Deferred:</w:t>
            </w:r>
          </w:p>
        </w:tc>
        <w:tc>
          <w:tcPr>
            <w:tcW w:w="2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federal statutory tax</w:t>
            </w:r>
          </w:p>
        </w:tc>
        <w:tc>
          <w:tcPr>
            <w:tcW w:w="2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7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w:t>
            </w: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State</w:t>
            </w:r>
          </w:p>
        </w:tc>
        <w:tc>
          <w:tcPr>
            <w:tcW w:w="24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0"/>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7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458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(36.0)</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5.3</w:t>
            </w:r>
          </w:p>
        </w:tc>
        <w:tc>
          <w:tcPr>
            <w:tcW w:w="7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w:t>
            </w:r>
          </w:p>
        </w:tc>
      </w:tr>
      <w:tr>
        <w:trPr>
          <w:trHeight w:val="264"/>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Non-current tax expense (income)</w:t>
            </w:r>
          </w:p>
        </w:tc>
        <w:tc>
          <w:tcPr>
            <w:tcW w:w="2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13.0</w:t>
            </w:r>
          </w:p>
        </w:tc>
        <w:tc>
          <w:tcPr>
            <w:tcW w:w="7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24.1</w:t>
            </w:r>
          </w:p>
        </w:tc>
        <w:tc>
          <w:tcPr>
            <w:tcW w:w="7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64"/>
        </w:trPr>
        <w:tc>
          <w:tcPr>
            <w:tcW w:w="458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15.7</w:t>
            </w:r>
          </w:p>
        </w:tc>
        <w:tc>
          <w:tcPr>
            <w:tcW w:w="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47.2</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53.6</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Non-current tax expense (income) is primarily related to income tax associated with the reserve for uncertain tax 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2016</w:t>
            </w:r>
          </w:p>
        </w:tc>
        <w:tc>
          <w:tcPr>
            <w:tcW w:w="17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2015</w:t>
            </w: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r>
      <w:tr>
        <w:trPr>
          <w:trHeight w:val="270"/>
        </w:trPr>
        <w:tc>
          <w:tcPr>
            <w:tcW w:w="5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24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35.0 %</w:t>
            </w:r>
          </w:p>
        </w:tc>
        <w:tc>
          <w:tcPr>
            <w:tcW w:w="17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35.0 %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63"/>
        </w:trPr>
        <w:tc>
          <w:tcPr>
            <w:tcW w:w="5920" w:type="dxa"/>
            <w:vAlign w:val="bottom"/>
          </w:tcPr>
          <w:p>
            <w:pPr>
              <w:ind w:left="40"/>
              <w:spacing w:after="0"/>
              <w:rPr>
                <w:sz w:val="20"/>
                <w:szCs w:val="20"/>
                <w:color w:val="auto"/>
              </w:rPr>
            </w:pPr>
            <w:r>
              <w:rPr>
                <w:rFonts w:ascii="Arial" w:cs="Arial" w:eastAsia="Arial" w:hAnsi="Arial"/>
                <w:sz w:val="18"/>
                <w:szCs w:val="18"/>
                <w:color w:val="auto"/>
              </w:rPr>
              <w:t>Foreign earnings, net of foreign taxes</w:t>
            </w:r>
          </w:p>
        </w:tc>
        <w:tc>
          <w:tcPr>
            <w:tcW w:w="2480" w:type="dxa"/>
            <w:vAlign w:val="bottom"/>
          </w:tcPr>
          <w:p>
            <w:pPr>
              <w:jc w:val="right"/>
              <w:ind w:right="632"/>
              <w:spacing w:after="0"/>
              <w:rPr>
                <w:sz w:val="20"/>
                <w:szCs w:val="20"/>
                <w:color w:val="auto"/>
              </w:rPr>
            </w:pPr>
            <w:r>
              <w:rPr>
                <w:rFonts w:ascii="Arial" w:cs="Arial" w:eastAsia="Arial" w:hAnsi="Arial"/>
                <w:sz w:val="18"/>
                <w:szCs w:val="18"/>
                <w:color w:val="auto"/>
              </w:rPr>
              <w:t>(42.4)</w:t>
            </w:r>
          </w:p>
        </w:tc>
        <w:tc>
          <w:tcPr>
            <w:tcW w:w="1780" w:type="dxa"/>
            <w:vAlign w:val="bottom"/>
          </w:tcPr>
          <w:p>
            <w:pPr>
              <w:jc w:val="right"/>
              <w:ind w:right="632"/>
              <w:spacing w:after="0"/>
              <w:rPr>
                <w:sz w:val="20"/>
                <w:szCs w:val="20"/>
                <w:color w:val="auto"/>
              </w:rPr>
            </w:pPr>
            <w:r>
              <w:rPr>
                <w:rFonts w:ascii="Arial" w:cs="Arial" w:eastAsia="Arial" w:hAnsi="Arial"/>
                <w:sz w:val="18"/>
                <w:szCs w:val="18"/>
                <w:color w:val="auto"/>
              </w:rPr>
              <w:t>(28.3)</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(18.2)</w:t>
            </w:r>
          </w:p>
        </w:tc>
      </w:tr>
      <w:tr>
        <w:trPr>
          <w:trHeight w:val="277"/>
        </w:trPr>
        <w:tc>
          <w:tcPr>
            <w:tcW w:w="5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income taxes, net of U.S. federal income tax benefit</w:t>
            </w:r>
          </w:p>
        </w:tc>
        <w:tc>
          <w:tcPr>
            <w:tcW w:w="248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(1.5)</w:t>
            </w:r>
          </w:p>
        </w:tc>
        <w:tc>
          <w:tcPr>
            <w:tcW w:w="17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1.1</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r>
      <w:tr>
        <w:trPr>
          <w:trHeight w:val="263"/>
        </w:trPr>
        <w:tc>
          <w:tcPr>
            <w:tcW w:w="5920" w:type="dxa"/>
            <w:vAlign w:val="bottom"/>
          </w:tcPr>
          <w:p>
            <w:pPr>
              <w:ind w:left="40"/>
              <w:spacing w:after="0"/>
              <w:rPr>
                <w:sz w:val="20"/>
                <w:szCs w:val="20"/>
                <w:color w:val="auto"/>
              </w:rPr>
            </w:pPr>
            <w:r>
              <w:rPr>
                <w:rFonts w:ascii="Arial" w:cs="Arial" w:eastAsia="Arial" w:hAnsi="Arial"/>
                <w:sz w:val="18"/>
                <w:szCs w:val="18"/>
                <w:color w:val="auto"/>
              </w:rPr>
              <w:t>U.S. tax on deemed dividends</w:t>
            </w:r>
          </w:p>
        </w:tc>
        <w:tc>
          <w:tcPr>
            <w:tcW w:w="2480" w:type="dxa"/>
            <w:vAlign w:val="bottom"/>
          </w:tcPr>
          <w:p>
            <w:pPr>
              <w:jc w:val="right"/>
              <w:ind w:right="692"/>
              <w:spacing w:after="0"/>
              <w:rPr>
                <w:sz w:val="20"/>
                <w:szCs w:val="20"/>
                <w:color w:val="auto"/>
              </w:rPr>
            </w:pPr>
            <w:r>
              <w:rPr>
                <w:rFonts w:ascii="Arial" w:cs="Arial" w:eastAsia="Arial" w:hAnsi="Arial"/>
                <w:sz w:val="18"/>
                <w:szCs w:val="18"/>
                <w:color w:val="auto"/>
              </w:rPr>
              <w:t>1.3</w:t>
            </w:r>
          </w:p>
        </w:tc>
        <w:tc>
          <w:tcPr>
            <w:tcW w:w="1780" w:type="dxa"/>
            <w:vAlign w:val="bottom"/>
          </w:tcPr>
          <w:p>
            <w:pPr>
              <w:jc w:val="right"/>
              <w:ind w:right="692"/>
              <w:spacing w:after="0"/>
              <w:rPr>
                <w:sz w:val="20"/>
                <w:szCs w:val="20"/>
                <w:color w:val="auto"/>
              </w:rPr>
            </w:pPr>
            <w:r>
              <w:rPr>
                <w:rFonts w:ascii="Arial" w:cs="Arial" w:eastAsia="Arial" w:hAnsi="Arial"/>
                <w:sz w:val="18"/>
                <w:szCs w:val="18"/>
                <w:color w:val="auto"/>
              </w:rPr>
              <w:t>1.7</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1.2</w:t>
            </w:r>
          </w:p>
        </w:tc>
      </w:tr>
      <w:tr>
        <w:trPr>
          <w:trHeight w:val="277"/>
        </w:trPr>
        <w:tc>
          <w:tcPr>
            <w:tcW w:w="5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 of subsidiary</w:t>
            </w:r>
          </w:p>
        </w:tc>
        <w:tc>
          <w:tcPr>
            <w:tcW w:w="24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3.8</w:t>
            </w:r>
          </w:p>
        </w:tc>
        <w:tc>
          <w:tcPr>
            <w:tcW w:w="17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57"/>
        </w:trPr>
        <w:tc>
          <w:tcPr>
            <w:tcW w:w="592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2480" w:type="dxa"/>
            <w:vAlign w:val="bottom"/>
          </w:tcPr>
          <w:p>
            <w:pPr>
              <w:jc w:val="right"/>
              <w:ind w:right="692"/>
              <w:spacing w:after="0"/>
              <w:rPr>
                <w:sz w:val="20"/>
                <w:szCs w:val="20"/>
                <w:color w:val="auto"/>
              </w:rPr>
            </w:pPr>
            <w:r>
              <w:rPr>
                <w:rFonts w:ascii="Arial" w:cs="Arial" w:eastAsia="Arial" w:hAnsi="Arial"/>
                <w:sz w:val="18"/>
                <w:szCs w:val="18"/>
                <w:color w:val="auto"/>
              </w:rPr>
              <w:t>9.2</w:t>
            </w:r>
          </w:p>
        </w:tc>
        <w:tc>
          <w:tcPr>
            <w:tcW w:w="1780" w:type="dxa"/>
            <w:vAlign w:val="bottom"/>
          </w:tcPr>
          <w:p>
            <w:pPr>
              <w:jc w:val="right"/>
              <w:ind w:right="692"/>
              <w:spacing w:after="0"/>
              <w:rPr>
                <w:sz w:val="20"/>
                <w:szCs w:val="20"/>
                <w:color w:val="auto"/>
              </w:rPr>
            </w:pPr>
            <w:r>
              <w:rPr>
                <w:rFonts w:ascii="Arial" w:cs="Arial" w:eastAsia="Arial" w:hAnsi="Arial"/>
                <w:sz w:val="18"/>
                <w:szCs w:val="18"/>
                <w:color w:val="auto"/>
              </w:rPr>
              <w:t>10.3</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w:t>
            </w:r>
          </w:p>
        </w:tc>
      </w:tr>
      <w:tr>
        <w:trPr>
          <w:trHeight w:val="277"/>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permanent differences</w:t>
            </w:r>
          </w:p>
        </w:tc>
        <w:tc>
          <w:tcPr>
            <w:tcW w:w="248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rPr>
              <w:t>5.6</w:t>
            </w:r>
          </w:p>
        </w:tc>
        <w:tc>
          <w:tcPr>
            <w:tcW w:w="178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rPr>
              <w:t>1.9</w:t>
            </w: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(0.9)</w:t>
            </w:r>
          </w:p>
        </w:tc>
      </w:tr>
      <w:tr>
        <w:trPr>
          <w:trHeight w:val="264"/>
        </w:trPr>
        <w:tc>
          <w:tcPr>
            <w:tcW w:w="5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24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11.0 %</w:t>
            </w:r>
          </w:p>
        </w:tc>
        <w:tc>
          <w:tcPr>
            <w:tcW w:w="17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21.7 %</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2016, our effective income tax rate was 11.0%, for an income tax provision of $ 15.7 million, as compared to an effective income tax rate of 21.7% and an income tax provision of $47.2 million for 2015. The lower effective income tax rate for 2016, as compared to 2015, resulted principally from differences in the results of our subsidiaries in tax jurisdictions with different income tax rates.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2015, our effective income tax rate was 21.7%, for an income tax provision of $47.2 million, as compared to an effective income tax rate of 19.5% and an income tax provision of $53.6 million for 2014. The higher effective income tax rate for 2015 resulted primarily from differences in the results of our subsidiaries in tax jurisdictions with different income tax rates.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2014, our effective income tax rate was 19.5%, for an income tax provision of $53.6 million, as compared to an effective income tax rate of 18.5% and an income tax provision of $46.0 million for 2013. The effective income tax rate for 2014 remained relatively flat compared to 2013. However, there were underlying differences in the actual results of our subsidiaries in tax jurisdictions with different income tax rates as compared to 2013.</w:t>
      </w:r>
    </w:p>
    <w:p>
      <w:pPr>
        <w:spacing w:after="0" w:line="2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U.S. income taxes have not been provided on undistributed earnings of foreign subsidiaries. As of December 31, 2016 and 2015, we had $1.6 billion and $1.4 billion, respectively, of earnings attributable to foreign subsidiaries. Our intention is to reinvest these earnings permanently in active non</w:t>
      </w:r>
      <w:r>
        <w:rPr>
          <w:rFonts w:ascii="MS PGothic" w:cs="MS PGothic" w:eastAsia="MS PGothic" w:hAnsi="MS PGothic"/>
          <w:sz w:val="18"/>
          <w:szCs w:val="18"/>
          <w:color w:val="auto"/>
        </w:rPr>
        <w:t>‑</w:t>
      </w:r>
      <w:r>
        <w:rPr>
          <w:rFonts w:ascii="Arial" w:cs="Arial" w:eastAsia="Arial" w:hAnsi="Arial"/>
          <w:sz w:val="18"/>
          <w:szCs w:val="18"/>
          <w:color w:val="auto"/>
        </w:rPr>
        <w:t>U.S. business operations. Therefore, no income tax liability has been accrued for these earnings. Because of the availability of U.S. foreign tax credits, it is not practicable to determine the amount of U.S. income tax payable if such earnings are not reinvested indefinitely.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comprise our net deferred tax liabilities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7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2015</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Net operating loss</w:t>
            </w:r>
          </w:p>
        </w:tc>
        <w:tc>
          <w:tcPr>
            <w:tcW w:w="720" w:type="dxa"/>
            <w:vAlign w:val="bottom"/>
          </w:tcPr>
          <w:p>
            <w:pPr>
              <w:spacing w:after="0"/>
              <w:rPr>
                <w:sz w:val="22"/>
                <w:szCs w:val="22"/>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38.6</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and other share-based compensation</w:t>
            </w:r>
          </w:p>
        </w:tc>
        <w:tc>
          <w:tcPr>
            <w:tcW w:w="7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720" w:type="dxa"/>
            <w:vAlign w:val="bottom"/>
          </w:tcPr>
          <w:p>
            <w:pPr>
              <w:spacing w:after="0"/>
              <w:rPr>
                <w:sz w:val="22"/>
                <w:szCs w:val="22"/>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foreign income tax credits</w:t>
            </w:r>
          </w:p>
        </w:tc>
        <w:tc>
          <w:tcPr>
            <w:tcW w:w="7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Other income tax credits</w:t>
            </w:r>
          </w:p>
        </w:tc>
        <w:tc>
          <w:tcPr>
            <w:tcW w:w="720" w:type="dxa"/>
            <w:vAlign w:val="bottom"/>
          </w:tcPr>
          <w:p>
            <w:pPr>
              <w:spacing w:after="0"/>
              <w:rPr>
                <w:sz w:val="22"/>
                <w:szCs w:val="22"/>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7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Installment sale</w:t>
            </w:r>
          </w:p>
        </w:tc>
        <w:tc>
          <w:tcPr>
            <w:tcW w:w="720" w:type="dxa"/>
            <w:vAlign w:val="bottom"/>
          </w:tcPr>
          <w:p>
            <w:pPr>
              <w:spacing w:after="0"/>
              <w:rPr>
                <w:sz w:val="22"/>
                <w:szCs w:val="22"/>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7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Unrealized foreign exchange</w:t>
            </w:r>
          </w:p>
        </w:tc>
        <w:tc>
          <w:tcPr>
            <w:tcW w:w="7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deferred tax assets</w:t>
            </w:r>
          </w:p>
        </w:tc>
        <w:tc>
          <w:tcPr>
            <w:tcW w:w="7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93.2</w:t>
            </w:r>
          </w:p>
        </w:tc>
        <w:tc>
          <w:tcPr>
            <w:tcW w:w="3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Valuation allowance</w:t>
            </w:r>
          </w:p>
        </w:tc>
        <w:tc>
          <w:tcPr>
            <w:tcW w:w="7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7.1</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Gross deferred tax assets, net of valuation allowance</w:t>
            </w:r>
          </w:p>
        </w:tc>
        <w:tc>
          <w:tcPr>
            <w:tcW w:w="7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86.1</w:t>
            </w:r>
          </w:p>
        </w:tc>
        <w:tc>
          <w:tcPr>
            <w:tcW w:w="3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7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Goodwill and intangible assets</w:t>
            </w:r>
          </w:p>
        </w:tc>
        <w:tc>
          <w:tcPr>
            <w:tcW w:w="7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(56.1)</w:t>
            </w:r>
          </w:p>
        </w:tc>
        <w:tc>
          <w:tcPr>
            <w:tcW w:w="3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foreign exchange</w:t>
            </w:r>
          </w:p>
        </w:tc>
        <w:tc>
          <w:tcPr>
            <w:tcW w:w="7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Prepaid expenses, deductible for tax purposes</w:t>
            </w:r>
          </w:p>
        </w:tc>
        <w:tc>
          <w:tcPr>
            <w:tcW w:w="7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7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Unrealized derivatives</w:t>
            </w:r>
          </w:p>
        </w:tc>
        <w:tc>
          <w:tcPr>
            <w:tcW w:w="7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gross deferred tax liabilities</w:t>
            </w:r>
          </w:p>
        </w:tc>
        <w:tc>
          <w:tcPr>
            <w:tcW w:w="7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(81.5)</w:t>
            </w: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91"/>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deferred tax asset</w:t>
            </w:r>
          </w:p>
        </w:tc>
        <w:tc>
          <w:tcPr>
            <w:tcW w:w="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Reported on the consolidated balance sheets as:</w:t>
            </w:r>
          </w:p>
        </w:tc>
        <w:tc>
          <w:tcPr>
            <w:tcW w:w="7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30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Identifiable intangible and other non-current assets for deferred tax assets, non-current</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r>
      <w:tr>
        <w:trPr>
          <w:trHeight w:val="257"/>
        </w:trPr>
        <w:tc>
          <w:tcPr>
            <w:tcW w:w="76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spacing w:after="0"/>
              <w:rPr>
                <w:sz w:val="22"/>
                <w:szCs w:val="22"/>
                <w:color w:val="auto"/>
              </w:rPr>
            </w:pP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Non-current income tax liabilities, net for deferred tax liabilities, non-current</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36.6</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623"/>
        </w:trPr>
        <w:tc>
          <w:tcPr>
            <w:tcW w:w="7640" w:type="dxa"/>
            <w:vAlign w:val="bottom"/>
          </w:tcPr>
          <w:p>
            <w:pPr>
              <w:ind w:left="5640"/>
              <w:spacing w:after="0"/>
              <w:rPr>
                <w:sz w:val="20"/>
                <w:szCs w:val="20"/>
                <w:color w:val="auto"/>
              </w:rPr>
            </w:pPr>
            <w:r>
              <w:rPr>
                <w:rFonts w:ascii="Arial" w:cs="Arial" w:eastAsia="Arial" w:hAnsi="Arial"/>
                <w:sz w:val="14"/>
                <w:szCs w:val="14"/>
                <w:color w:val="auto"/>
              </w:rPr>
              <w:t>87</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2016 and 2015, we had net operating losses (“NOLs”) of approximately $106.2 million and $42.2 million, respectively. The NOLs as of December 31, 2016 originated in various countries including the United States, Brazil, Puerto Rico, France, and The Netherlands. We have recorded a deferred tax asset of $38.6 million reflecting the benefit of the NOL carryforward as of December 31, 2016. This deferred tax asset expires as follows (in millions):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5000" w:type="dxa"/>
            <w:vAlign w:val="bottom"/>
          </w:tcPr>
          <w:p>
            <w:pPr>
              <w:ind w:left="4000"/>
              <w:spacing w:after="0"/>
              <w:rPr>
                <w:sz w:val="20"/>
                <w:szCs w:val="20"/>
                <w:color w:val="auto"/>
              </w:rPr>
            </w:pPr>
            <w:r>
              <w:rPr>
                <w:rFonts w:ascii="Arial" w:cs="Arial" w:eastAsia="Arial" w:hAnsi="Arial"/>
                <w:sz w:val="14"/>
                <w:szCs w:val="14"/>
                <w:b w:val="1"/>
                <w:bCs w:val="1"/>
                <w:color w:val="auto"/>
              </w:rPr>
              <w:t>Deferred</w:t>
            </w:r>
          </w:p>
        </w:tc>
        <w:tc>
          <w:tcPr>
            <w:tcW w:w="800" w:type="dxa"/>
            <w:vAlign w:val="bottom"/>
          </w:tcPr>
          <w:p>
            <w:pPr>
              <w:spacing w:after="0"/>
              <w:rPr>
                <w:sz w:val="14"/>
                <w:szCs w:val="14"/>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Expiration Date</w:t>
            </w:r>
          </w:p>
        </w:tc>
        <w:tc>
          <w:tcPr>
            <w:tcW w:w="5000" w:type="dxa"/>
            <w:vAlign w:val="bottom"/>
            <w:tcBorders>
              <w:bottom w:val="single" w:sz="8" w:color="auto"/>
            </w:tcBorders>
          </w:tcPr>
          <w:p>
            <w:pPr>
              <w:ind w:left="4000"/>
              <w:spacing w:after="0"/>
              <w:rPr>
                <w:sz w:val="20"/>
                <w:szCs w:val="20"/>
                <w:color w:val="auto"/>
              </w:rPr>
            </w:pPr>
            <w:r>
              <w:rPr>
                <w:rFonts w:ascii="Arial" w:cs="Arial" w:eastAsia="Arial" w:hAnsi="Arial"/>
                <w:sz w:val="14"/>
                <w:szCs w:val="14"/>
                <w:b w:val="1"/>
                <w:bCs w:val="1"/>
                <w:color w:val="auto"/>
              </w:rPr>
              <w:t>Tax Asset</w:t>
            </w:r>
          </w:p>
        </w:tc>
        <w:tc>
          <w:tcPr>
            <w:tcW w:w="800" w:type="dxa"/>
            <w:vAlign w:val="bottom"/>
            <w:tcBorders>
              <w:bottom w:val="single" w:sz="8" w:color="auto"/>
            </w:tcBorders>
          </w:tcPr>
          <w:p>
            <w:pPr>
              <w:spacing w:after="0"/>
              <w:rPr>
                <w:sz w:val="17"/>
                <w:szCs w:val="17"/>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2021</w:t>
            </w:r>
          </w:p>
        </w:tc>
        <w:tc>
          <w:tcPr>
            <w:tcW w:w="5000" w:type="dxa"/>
            <w:vAlign w:val="bottom"/>
            <w:shd w:val="clear" w:color="auto" w:fill="CCEEFF"/>
          </w:tcPr>
          <w:p>
            <w:pPr>
              <w:ind w:left="40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50"/>
        </w:trPr>
        <w:tc>
          <w:tcPr>
            <w:tcW w:w="5620" w:type="dxa"/>
            <w:vAlign w:val="bottom"/>
          </w:tcPr>
          <w:p>
            <w:pPr>
              <w:ind w:left="40"/>
              <w:spacing w:after="0"/>
              <w:rPr>
                <w:sz w:val="20"/>
                <w:szCs w:val="20"/>
                <w:color w:val="auto"/>
              </w:rPr>
            </w:pPr>
            <w:r>
              <w:rPr>
                <w:rFonts w:ascii="Arial" w:cs="Arial" w:eastAsia="Arial" w:hAnsi="Arial"/>
                <w:sz w:val="18"/>
                <w:szCs w:val="18"/>
                <w:color w:val="auto"/>
              </w:rPr>
              <w:t>December 31, 2022</w:t>
            </w:r>
          </w:p>
        </w:tc>
        <w:tc>
          <w:tcPr>
            <w:tcW w:w="50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6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2023</w:t>
            </w:r>
          </w:p>
        </w:tc>
        <w:tc>
          <w:tcPr>
            <w:tcW w:w="50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50"/>
        </w:trPr>
        <w:tc>
          <w:tcPr>
            <w:tcW w:w="5620" w:type="dxa"/>
            <w:vAlign w:val="bottom"/>
          </w:tcPr>
          <w:p>
            <w:pPr>
              <w:ind w:left="40"/>
              <w:spacing w:after="0"/>
              <w:rPr>
                <w:sz w:val="20"/>
                <w:szCs w:val="20"/>
                <w:color w:val="auto"/>
              </w:rPr>
            </w:pPr>
            <w:r>
              <w:rPr>
                <w:rFonts w:ascii="Arial" w:cs="Arial" w:eastAsia="Arial" w:hAnsi="Arial"/>
                <w:sz w:val="18"/>
                <w:szCs w:val="18"/>
                <w:color w:val="auto"/>
              </w:rPr>
              <w:t>December 31, 2024</w:t>
            </w:r>
          </w:p>
        </w:tc>
        <w:tc>
          <w:tcPr>
            <w:tcW w:w="50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6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2025</w:t>
            </w:r>
          </w:p>
        </w:tc>
        <w:tc>
          <w:tcPr>
            <w:tcW w:w="50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50"/>
        </w:trPr>
        <w:tc>
          <w:tcPr>
            <w:tcW w:w="5620" w:type="dxa"/>
            <w:vAlign w:val="bottom"/>
          </w:tcPr>
          <w:p>
            <w:pPr>
              <w:ind w:left="40"/>
              <w:spacing w:after="0"/>
              <w:rPr>
                <w:sz w:val="20"/>
                <w:szCs w:val="20"/>
                <w:color w:val="auto"/>
              </w:rPr>
            </w:pPr>
            <w:r>
              <w:rPr>
                <w:rFonts w:ascii="Arial" w:cs="Arial" w:eastAsia="Arial" w:hAnsi="Arial"/>
                <w:sz w:val="18"/>
                <w:szCs w:val="18"/>
                <w:color w:val="auto"/>
              </w:rPr>
              <w:t>December 31, 2036</w:t>
            </w:r>
          </w:p>
        </w:tc>
        <w:tc>
          <w:tcPr>
            <w:tcW w:w="50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57"/>
        </w:trPr>
        <w:tc>
          <w:tcPr>
            <w:tcW w:w="5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Indefinite</w:t>
            </w:r>
          </w:p>
        </w:tc>
        <w:tc>
          <w:tcPr>
            <w:tcW w:w="50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50"/>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5000" w:type="dxa"/>
            <w:vAlign w:val="bottom"/>
            <w:tcBorders>
              <w:bottom w:val="single" w:sz="8" w:color="auto"/>
            </w:tcBorders>
          </w:tcPr>
          <w:p>
            <w:pPr>
              <w:ind w:left="40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assessed the available positive and negative evidence to estimate if sufficient future taxable income will be generated to use the existing deferred tax assets. On the basis of this evaluation, as of December 31, 2016, a valuation allowance of $7.1 million has been recorded to recognize only the portion of the deferred tax asset that is more likely than not to be realized. The amount of the deferred tax asset considered realizable could be adjusted if estimates of future taxable income during the carryforward period change or if objective negative evidence in the form of cumulative losses is no longer present and additional weight may be given to subjective evidence such as growth projections.</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operated under a special income tax concession in Singapore which began January 1, 2008. Our current five year special income tax concession was effective on January 1, 2013. The special income tax concession is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derivative gains and losses. The impact of this income tax concession decreased (increased) foreign income taxes by $ 2.7 million, $(7.7) million, and $6.3 million for 2016, 2015 and 2014 respectively. The impact of the income tax concession on basic earnings per common share was $ 0.04, $(0.11), and $ 0.09 for 2016, 2015 and 2014 respectively. On a diluted earnings per common share basis, the impact was $0.04, $(0.11), and $0.09 for 2016, 2015 and 2014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Contingencies</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recorded an increase of $11.2 million of liabilities related to unrecognized income tax benefits (“Unrecognized Tax Liabilities”) and a decrease of $0.1 million of assets related to unrecognized income tax benefits (“Unrecognized Tax Assets”) during 2016. In addition, during 2016, we recorded a decrease of $0.1 million to our Unrecognized Tax Liabilities related to a foreign currency translation gain, which is included in other income (expense), net, in the accompanying consolidated statements of income and comprehensive income. As of December 31, 2016, our Unrecognized Tax Liabilities, including penalties and interest, were $68.6 million and our Unrecognized Tax Assets were $1.6 million.</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recorded an increase of $22.4 million of liabilities related to unrecognized income tax benefits (“Unrecognized Tax Liabilities”) and a decrease of $0.4 million of assets related to unrecognized income tax benefits (“Unrecognized Tax Assets”) during 2015. In addition, during 2015, we recorded a decrease of $0.7 million to our Unrecognized Tax Liabilities related to a foreign currency translation gain, which is included in other income (expense), net, in the accompanying consolidated statements of income and comprehensive income. As of December 31, 2015, our Unrecognized Tax Liabilities, including penalties and interest, were $56.1 million and our Unrecognized Tax Assets were $1.9 million.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unrecognized income tax benefits for the year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2014</w:t>
            </w: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Liabilities – opening balance</w:t>
            </w:r>
          </w:p>
        </w:tc>
        <w:tc>
          <w:tcPr>
            <w:tcW w:w="1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46.7</w:t>
            </w:r>
          </w:p>
        </w:tc>
        <w:tc>
          <w:tcPr>
            <w:tcW w:w="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24.3</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r>
      <w:tr>
        <w:trPr>
          <w:trHeight w:val="263"/>
        </w:trPr>
        <w:tc>
          <w:tcPr>
            <w:tcW w:w="5180" w:type="dxa"/>
            <w:vAlign w:val="bottom"/>
          </w:tcPr>
          <w:p>
            <w:pPr>
              <w:ind w:left="40"/>
              <w:spacing w:after="0"/>
              <w:rPr>
                <w:sz w:val="20"/>
                <w:szCs w:val="20"/>
                <w:color w:val="auto"/>
              </w:rPr>
            </w:pPr>
            <w:r>
              <w:rPr>
                <w:rFonts w:ascii="Arial" w:cs="Arial" w:eastAsia="Arial" w:hAnsi="Arial"/>
                <w:sz w:val="18"/>
                <w:szCs w:val="18"/>
                <w:color w:val="auto"/>
              </w:rPr>
              <w:t>Gross increases – tax positions in prior period</w:t>
            </w:r>
          </w:p>
        </w:tc>
        <w:tc>
          <w:tcPr>
            <w:tcW w:w="1820" w:type="dxa"/>
            <w:vAlign w:val="bottom"/>
          </w:tcPr>
          <w:p>
            <w:pPr>
              <w:spacing w:after="0"/>
              <w:rPr>
                <w:sz w:val="22"/>
                <w:szCs w:val="22"/>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18.0</w:t>
            </w:r>
          </w:p>
        </w:tc>
        <w:tc>
          <w:tcPr>
            <w:tcW w:w="70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72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decreases – tax positions in prior period</w:t>
            </w:r>
          </w:p>
        </w:tc>
        <w:tc>
          <w:tcPr>
            <w:tcW w:w="18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7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5180" w:type="dxa"/>
            <w:vAlign w:val="bottom"/>
          </w:tcPr>
          <w:p>
            <w:pPr>
              <w:ind w:left="40"/>
              <w:spacing w:after="0"/>
              <w:rPr>
                <w:sz w:val="20"/>
                <w:szCs w:val="20"/>
                <w:color w:val="auto"/>
              </w:rPr>
            </w:pPr>
            <w:r>
              <w:rPr>
                <w:rFonts w:ascii="Arial" w:cs="Arial" w:eastAsia="Arial" w:hAnsi="Arial"/>
                <w:sz w:val="18"/>
                <w:szCs w:val="18"/>
                <w:color w:val="auto"/>
              </w:rPr>
              <w:t>Gross increases – tax positions in current period</w:t>
            </w:r>
          </w:p>
        </w:tc>
        <w:tc>
          <w:tcPr>
            <w:tcW w:w="1820" w:type="dxa"/>
            <w:vAlign w:val="bottom"/>
          </w:tcPr>
          <w:p>
            <w:pPr>
              <w:spacing w:after="0"/>
              <w:rPr>
                <w:sz w:val="22"/>
                <w:szCs w:val="22"/>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11.3</w:t>
            </w:r>
          </w:p>
        </w:tc>
        <w:tc>
          <w:tcPr>
            <w:tcW w:w="70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20.9</w:t>
            </w:r>
          </w:p>
        </w:tc>
        <w:tc>
          <w:tcPr>
            <w:tcW w:w="72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w:t>
            </w:r>
          </w:p>
        </w:tc>
      </w:tr>
      <w:tr>
        <w:trPr>
          <w:trHeight w:val="277"/>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decreases – tax positions in current period</w:t>
            </w:r>
          </w:p>
        </w:tc>
        <w:tc>
          <w:tcPr>
            <w:tcW w:w="18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18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1820" w:type="dxa"/>
            <w:vAlign w:val="bottom"/>
          </w:tcPr>
          <w:p>
            <w:pPr>
              <w:spacing w:after="0"/>
              <w:rPr>
                <w:sz w:val="22"/>
                <w:szCs w:val="22"/>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18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7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Unrecognized Tax Liabilities – ending balance</w:t>
            </w: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57.8</w:t>
            </w:r>
          </w:p>
        </w:tc>
        <w:tc>
          <w:tcPr>
            <w:tcW w:w="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46.7</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24.3</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If our uncertain tax positions as of December 31, 2016 are settled by the taxing authorities in our favor, our income tax expense would be reduced by $56.6 million (exclusive of interest and penalties) in the period the matter is considered settled in accordance with Accounting Standards Codification 740. This would have the impact of reducing our 2015 effective income tax rate by 39.8%. As of December 31, 2016, it does not appear that the total amount of our unrecognized income tax benefits will significantly increase or decrease within the next twelve months.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accrued interest and penalties related to unrecognized income tax benefits as income tax expense. Related to the uncertain income tax benefits noted above, for interest we recorded expense of $(0.7) million during 2016 and income of $0.9 million and $0.6 million during 2015 and 2014, respectively. For penalties, we recorded income of $2.3 million, $0.3 million and $0.3 million during 2016, 2015 and 2014, respectively. As of December 31, 2016 and 2015, we had recognized liabilities of $4.3 million and $5.2 million for interest and $6.5 million and $4.2 million for penalties, respectively.</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quarter ended December 31, 2016, we reached an agreement with the IRS on the outstanding audit issues for 2011 and 2012. The matter had previously been provided for within our reserve estimates.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during the quarter ended December 31, 2016, the Korean Branch of one of our subsidiaries received an income tax pre-assessment notice for $8.0 million (KRW 9.2 billion) for the years 2011 through 2014 from the South Korea tax authorities. We disagree with the Korean tax authorities' assessment and are appealing.</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many cases, our uncertain tax positions are related to tax years that remain subject to examination by the relevant taxing authorities. The following table summarizes these open tax years by jurisdiction with major uncertain tax positions: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Open Tax Year</w:t>
            </w:r>
          </w:p>
        </w:tc>
      </w:tr>
      <w:tr>
        <w:trPr>
          <w:trHeight w:val="175"/>
        </w:trPr>
        <w:tc>
          <w:tcPr>
            <w:tcW w:w="34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200" w:type="dxa"/>
            <w:vAlign w:val="bottom"/>
          </w:tcPr>
          <w:p>
            <w:pPr>
              <w:jc w:val="right"/>
              <w:ind w:right="316"/>
              <w:spacing w:after="0"/>
              <w:rPr>
                <w:sz w:val="20"/>
                <w:szCs w:val="20"/>
                <w:color w:val="auto"/>
              </w:rPr>
            </w:pPr>
            <w:r>
              <w:rPr>
                <w:rFonts w:ascii="Arial" w:cs="Arial" w:eastAsia="Arial" w:hAnsi="Arial"/>
                <w:sz w:val="14"/>
                <w:szCs w:val="14"/>
                <w:b w:val="1"/>
                <w:bCs w:val="1"/>
                <w:color w:val="auto"/>
              </w:rPr>
              <w:t>Examination</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Examination not</w:t>
            </w:r>
          </w:p>
        </w:tc>
      </w:tr>
      <w:tr>
        <w:trPr>
          <w:trHeight w:val="196"/>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Jurisdiction</w:t>
            </w:r>
          </w:p>
        </w:tc>
        <w:tc>
          <w:tcPr>
            <w:tcW w:w="41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in progress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yet initiated</w:t>
            </w:r>
          </w:p>
        </w:tc>
      </w:tr>
      <w:tr>
        <w:trPr>
          <w:trHeight w:val="270"/>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6380" w:type="dxa"/>
            <w:vAlign w:val="bottom"/>
            <w:gridSpan w:val="2"/>
            <w:shd w:val="clear" w:color="auto" w:fill="CCEEFF"/>
          </w:tcPr>
          <w:p>
            <w:pPr>
              <w:jc w:val="right"/>
              <w:ind w:right="316"/>
              <w:spacing w:after="0"/>
              <w:rPr>
                <w:sz w:val="20"/>
                <w:szCs w:val="20"/>
                <w:color w:val="auto"/>
              </w:rPr>
            </w:pPr>
            <w:r>
              <w:rPr>
                <w:rFonts w:ascii="Arial" w:cs="Arial" w:eastAsia="Arial" w:hAnsi="Arial"/>
                <w:sz w:val="18"/>
                <w:szCs w:val="18"/>
                <w:color w:val="auto"/>
              </w:rPr>
              <w:t>2011 - 2012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2013 - 2016</w:t>
            </w:r>
          </w:p>
        </w:tc>
      </w:tr>
      <w:tr>
        <w:trPr>
          <w:trHeight w:val="257"/>
        </w:trPr>
        <w:tc>
          <w:tcPr>
            <w:tcW w:w="3480" w:type="dxa"/>
            <w:vAlign w:val="bottom"/>
          </w:tcPr>
          <w:p>
            <w:pPr>
              <w:ind w:left="40"/>
              <w:spacing w:after="0"/>
              <w:rPr>
                <w:sz w:val="20"/>
                <w:szCs w:val="20"/>
                <w:color w:val="auto"/>
              </w:rPr>
            </w:pPr>
            <w:r>
              <w:rPr>
                <w:rFonts w:ascii="Arial" w:cs="Arial" w:eastAsia="Arial" w:hAnsi="Arial"/>
                <w:sz w:val="18"/>
                <w:szCs w:val="18"/>
                <w:color w:val="auto"/>
              </w:rPr>
              <w:t>Korea</w:t>
            </w:r>
          </w:p>
        </w:tc>
        <w:tc>
          <w:tcPr>
            <w:tcW w:w="6380" w:type="dxa"/>
            <w:vAlign w:val="bottom"/>
            <w:gridSpan w:val="2"/>
          </w:tcPr>
          <w:p>
            <w:pPr>
              <w:jc w:val="right"/>
              <w:ind w:right="316"/>
              <w:spacing w:after="0"/>
              <w:rPr>
                <w:sz w:val="20"/>
                <w:szCs w:val="20"/>
                <w:color w:val="auto"/>
              </w:rPr>
            </w:pPr>
            <w:r>
              <w:rPr>
                <w:rFonts w:ascii="Arial" w:cs="Arial" w:eastAsia="Arial" w:hAnsi="Arial"/>
                <w:sz w:val="18"/>
                <w:szCs w:val="18"/>
                <w:color w:val="auto"/>
              </w:rPr>
              <w:t>2011 - 2014</w:t>
            </w:r>
          </w:p>
        </w:tc>
        <w:tc>
          <w:tcPr>
            <w:tcW w:w="1560" w:type="dxa"/>
            <w:vAlign w:val="bottom"/>
          </w:tcPr>
          <w:p>
            <w:pPr>
              <w:jc w:val="right"/>
              <w:spacing w:after="0"/>
              <w:rPr>
                <w:sz w:val="20"/>
                <w:szCs w:val="20"/>
                <w:color w:val="auto"/>
              </w:rPr>
            </w:pPr>
            <w:r>
              <w:rPr>
                <w:rFonts w:ascii="Arial" w:cs="Arial" w:eastAsia="Arial" w:hAnsi="Arial"/>
                <w:sz w:val="18"/>
                <w:szCs w:val="18"/>
                <w:color w:val="auto"/>
              </w:rPr>
              <w:t>2015 - 2016</w:t>
            </w:r>
          </w:p>
        </w:tc>
      </w:tr>
      <w:tr>
        <w:trPr>
          <w:trHeight w:val="277"/>
        </w:trPr>
        <w:tc>
          <w:tcPr>
            <w:tcW w:w="3480" w:type="dxa"/>
            <w:vAlign w:val="bottom"/>
          </w:tcPr>
          <w:p>
            <w:pPr>
              <w:ind w:left="40"/>
              <w:spacing w:after="0"/>
              <w:rPr>
                <w:sz w:val="20"/>
                <w:szCs w:val="20"/>
                <w:color w:val="auto"/>
              </w:rPr>
            </w:pPr>
            <w:r>
              <w:rPr>
                <w:rFonts w:ascii="Arial" w:cs="Arial" w:eastAsia="Arial" w:hAnsi="Arial"/>
                <w:sz w:val="18"/>
                <w:szCs w:val="18"/>
                <w:color w:val="auto"/>
              </w:rPr>
              <w:t>Singapore</w:t>
            </w:r>
          </w:p>
        </w:tc>
        <w:tc>
          <w:tcPr>
            <w:tcW w:w="4180" w:type="dxa"/>
            <w:vAlign w:val="bottom"/>
          </w:tcPr>
          <w:p>
            <w:pPr>
              <w:spacing w:after="0"/>
              <w:rPr>
                <w:sz w:val="24"/>
                <w:szCs w:val="24"/>
                <w:color w:val="auto"/>
              </w:rPr>
            </w:pPr>
          </w:p>
        </w:tc>
        <w:tc>
          <w:tcPr>
            <w:tcW w:w="2200" w:type="dxa"/>
            <w:vAlign w:val="bottom"/>
          </w:tcPr>
          <w:p>
            <w:pPr>
              <w:jc w:val="right"/>
              <w:ind w:right="316"/>
              <w:spacing w:after="0"/>
              <w:rPr>
                <w:sz w:val="20"/>
                <w:szCs w:val="20"/>
                <w:color w:val="auto"/>
              </w:rPr>
            </w:pPr>
            <w:r>
              <w:rPr>
                <w:rFonts w:ascii="Arial" w:cs="Arial" w:eastAsia="Arial" w:hAnsi="Arial"/>
                <w:sz w:val="18"/>
                <w:szCs w:val="18"/>
                <w:color w:val="auto"/>
              </w:rPr>
              <w:t>None</w:t>
            </w:r>
          </w:p>
        </w:tc>
        <w:tc>
          <w:tcPr>
            <w:tcW w:w="1560" w:type="dxa"/>
            <w:vAlign w:val="bottom"/>
          </w:tcPr>
          <w:p>
            <w:pPr>
              <w:jc w:val="right"/>
              <w:spacing w:after="0"/>
              <w:rPr>
                <w:sz w:val="20"/>
                <w:szCs w:val="20"/>
                <w:color w:val="auto"/>
              </w:rPr>
            </w:pPr>
            <w:r>
              <w:rPr>
                <w:rFonts w:ascii="Arial" w:cs="Arial" w:eastAsia="Arial" w:hAnsi="Arial"/>
                <w:sz w:val="18"/>
                <w:szCs w:val="18"/>
                <w:color w:val="auto"/>
              </w:rPr>
              <w:t>2011 - 2016</w:t>
            </w:r>
          </w:p>
        </w:tc>
      </w:tr>
      <w:tr>
        <w:trPr>
          <w:trHeight w:val="27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6380" w:type="dxa"/>
            <w:vAlign w:val="bottom"/>
            <w:gridSpan w:val="2"/>
            <w:shd w:val="clear" w:color="auto" w:fill="CCEEFF"/>
          </w:tcPr>
          <w:p>
            <w:pPr>
              <w:jc w:val="right"/>
              <w:ind w:right="316"/>
              <w:spacing w:after="0"/>
              <w:rPr>
                <w:sz w:val="20"/>
                <w:szCs w:val="20"/>
                <w:color w:val="auto"/>
              </w:rPr>
            </w:pPr>
            <w:r>
              <w:rPr>
                <w:rFonts w:ascii="Arial" w:cs="Arial" w:eastAsia="Arial" w:hAnsi="Arial"/>
                <w:sz w:val="18"/>
                <w:szCs w:val="18"/>
                <w:color w:val="auto"/>
              </w:rPr>
              <w:t>2014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2012 - 2016</w:t>
            </w:r>
          </w:p>
        </w:tc>
      </w:tr>
      <w:tr>
        <w:trPr>
          <w:trHeight w:val="263"/>
        </w:trPr>
        <w:tc>
          <w:tcPr>
            <w:tcW w:w="3480" w:type="dxa"/>
            <w:vAlign w:val="bottom"/>
          </w:tcPr>
          <w:p>
            <w:pPr>
              <w:ind w:left="40"/>
              <w:spacing w:after="0"/>
              <w:rPr>
                <w:sz w:val="20"/>
                <w:szCs w:val="20"/>
                <w:color w:val="auto"/>
              </w:rPr>
            </w:pPr>
            <w:r>
              <w:rPr>
                <w:rFonts w:ascii="Arial" w:cs="Arial" w:eastAsia="Arial" w:hAnsi="Arial"/>
                <w:sz w:val="18"/>
                <w:szCs w:val="18"/>
                <w:color w:val="auto"/>
              </w:rPr>
              <w:t>Brazil</w:t>
            </w:r>
          </w:p>
        </w:tc>
        <w:tc>
          <w:tcPr>
            <w:tcW w:w="4180" w:type="dxa"/>
            <w:vAlign w:val="bottom"/>
          </w:tcPr>
          <w:p>
            <w:pPr>
              <w:spacing w:after="0"/>
              <w:rPr>
                <w:sz w:val="22"/>
                <w:szCs w:val="22"/>
                <w:color w:val="auto"/>
              </w:rPr>
            </w:pPr>
          </w:p>
        </w:tc>
        <w:tc>
          <w:tcPr>
            <w:tcW w:w="2200" w:type="dxa"/>
            <w:vAlign w:val="bottom"/>
          </w:tcPr>
          <w:p>
            <w:pPr>
              <w:jc w:val="right"/>
              <w:ind w:right="316"/>
              <w:spacing w:after="0"/>
              <w:rPr>
                <w:sz w:val="20"/>
                <w:szCs w:val="20"/>
                <w:color w:val="auto"/>
              </w:rPr>
            </w:pPr>
            <w:r>
              <w:rPr>
                <w:rFonts w:ascii="Arial" w:cs="Arial" w:eastAsia="Arial" w:hAnsi="Arial"/>
                <w:sz w:val="18"/>
                <w:szCs w:val="18"/>
                <w:color w:val="auto"/>
              </w:rPr>
              <w:t>None</w:t>
            </w:r>
          </w:p>
        </w:tc>
        <w:tc>
          <w:tcPr>
            <w:tcW w:w="1560" w:type="dxa"/>
            <w:vAlign w:val="bottom"/>
          </w:tcPr>
          <w:p>
            <w:pPr>
              <w:jc w:val="right"/>
              <w:spacing w:after="0"/>
              <w:rPr>
                <w:sz w:val="20"/>
                <w:szCs w:val="20"/>
                <w:color w:val="auto"/>
              </w:rPr>
            </w:pPr>
            <w:r>
              <w:rPr>
                <w:rFonts w:ascii="Arial" w:cs="Arial" w:eastAsia="Arial" w:hAnsi="Arial"/>
                <w:sz w:val="18"/>
                <w:szCs w:val="18"/>
                <w:color w:val="auto"/>
              </w:rPr>
              <w:t>2011 - 2016</w:t>
            </w:r>
          </w:p>
        </w:tc>
      </w:tr>
      <w:tr>
        <w:trPr>
          <w:trHeight w:val="27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Chile</w:t>
            </w:r>
          </w:p>
        </w:tc>
        <w:tc>
          <w:tcPr>
            <w:tcW w:w="4180" w:type="dxa"/>
            <w:vAlign w:val="bottom"/>
            <w:shd w:val="clear" w:color="auto" w:fill="CCEEFF"/>
          </w:tcPr>
          <w:p>
            <w:pPr>
              <w:spacing w:after="0"/>
              <w:rPr>
                <w:sz w:val="24"/>
                <w:szCs w:val="24"/>
                <w:color w:val="auto"/>
              </w:rPr>
            </w:pPr>
          </w:p>
        </w:tc>
        <w:tc>
          <w:tcPr>
            <w:tcW w:w="22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None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2014 - 2016</w:t>
            </w: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Denmark</w:t>
            </w:r>
          </w:p>
        </w:tc>
        <w:tc>
          <w:tcPr>
            <w:tcW w:w="4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None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2012 - 2016</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23"/>
        </w:trPr>
        <w:tc>
          <w:tcPr>
            <w:tcW w:w="3480" w:type="dxa"/>
            <w:vAlign w:val="bottom"/>
          </w:tcPr>
          <w:p>
            <w:pPr>
              <w:spacing w:after="0"/>
              <w:rPr>
                <w:sz w:val="24"/>
                <w:szCs w:val="24"/>
                <w:color w:val="auto"/>
              </w:rPr>
            </w:pPr>
          </w:p>
        </w:tc>
        <w:tc>
          <w:tcPr>
            <w:tcW w:w="4180" w:type="dxa"/>
            <w:vAlign w:val="bottom"/>
          </w:tcPr>
          <w:p>
            <w:pPr>
              <w:jc w:val="right"/>
              <w:ind w:right="1774"/>
              <w:spacing w:after="0"/>
              <w:rPr>
                <w:sz w:val="20"/>
                <w:szCs w:val="20"/>
                <w:color w:val="auto"/>
              </w:rPr>
            </w:pPr>
            <w:r>
              <w:rPr>
                <w:rFonts w:ascii="Arial" w:cs="Arial" w:eastAsia="Arial" w:hAnsi="Arial"/>
                <w:sz w:val="14"/>
                <w:szCs w:val="14"/>
                <w:color w:val="auto"/>
              </w:rPr>
              <w:t>89</w:t>
            </w:r>
          </w:p>
        </w:tc>
        <w:tc>
          <w:tcPr>
            <w:tcW w:w="22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carrying amounts of cash and cash equivalents, accounts receivable, net, accounts payable and accrued expenses and other current liabilities approximate fair value based on the short</w:t>
      </w:r>
      <w:r>
        <w:rPr>
          <w:rFonts w:ascii="MS PGothic" w:cs="MS PGothic" w:eastAsia="MS PGothic" w:hAnsi="MS PGothic"/>
          <w:sz w:val="18"/>
          <w:szCs w:val="18"/>
          <w:color w:val="auto"/>
        </w:rPr>
        <w:t>‑</w:t>
      </w:r>
      <w:r>
        <w:rPr>
          <w:rFonts w:ascii="Arial" w:cs="Arial" w:eastAsia="Arial" w:hAnsi="Arial"/>
          <w:sz w:val="18"/>
          <w:szCs w:val="18"/>
          <w:color w:val="auto"/>
        </w:rPr>
        <w:t>term maturities of these instruments. The carrying values of our debt and notes receivables approximate fair value since these instruments bear interest either at variable rates or fixed rates which are not significantly different than market rates. Based on the fair value hierarchy, our debt of $1.2 billion and $772.2 million as of December 31, 2016 and December 31, 2015, respectively, and our notes receivable of $16.9 million and $12.7 million as of December 31, 2016 and December 31, 2015, respectively are categorized in Level 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gross assets and liabilities that are measured at fair value on a recurring basis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 (in millions):</w:t>
      </w:r>
    </w:p>
    <w:p>
      <w:pPr>
        <w:spacing w:after="0" w:line="200" w:lineRule="exact"/>
        <w:rPr>
          <w:sz w:val="20"/>
          <w:szCs w:val="20"/>
          <w:color w:val="auto"/>
        </w:rPr>
      </w:pPr>
    </w:p>
    <w:p>
      <w:pPr>
        <w:spacing w:after="0" w:line="229"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Fair Value Measurements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 Inputs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 Inputs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 Inputs</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Total Fair Value</w:t>
            </w:r>
          </w:p>
        </w:tc>
      </w:t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50"/>
        </w:trPr>
        <w:tc>
          <w:tcPr>
            <w:tcW w:w="572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273.6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331.2</w:t>
            </w:r>
          </w:p>
        </w:tc>
      </w:tr>
      <w:tr>
        <w:trPr>
          <w:trHeight w:val="27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surrender value of life insurance</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r>
      <w:tr>
        <w:trPr>
          <w:trHeight w:val="250"/>
        </w:trPr>
        <w:tc>
          <w:tcPr>
            <w:tcW w:w="5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351.2</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50"/>
        </w:trPr>
        <w:tc>
          <w:tcPr>
            <w:tcW w:w="572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236.6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326.1</w:t>
            </w:r>
          </w:p>
        </w:tc>
      </w:tr>
      <w:tr>
        <w:trPr>
          <w:trHeight w:val="270"/>
        </w:trPr>
        <w:tc>
          <w:tcPr>
            <w:tcW w:w="5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50"/>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at fair value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332.5</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gridSpan w:val="5"/>
          </w:tcPr>
          <w:p>
            <w:pPr>
              <w:spacing w:after="0" w:line="20" w:lineRule="exact"/>
              <w:rPr>
                <w:sz w:val="1"/>
                <w:szCs w:val="1"/>
                <w:color w:val="auto"/>
              </w:rPr>
            </w:pPr>
          </w:p>
        </w:tc>
      </w:tr>
      <w:tr>
        <w:trPr>
          <w:trHeight w:val="602"/>
        </w:trPr>
        <w:tc>
          <w:tcPr>
            <w:tcW w:w="5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rPr>
              <w:t>Fair Value Measurements as of December 31, 2015</w:t>
            </w:r>
          </w:p>
        </w:tc>
      </w:tr>
      <w:tr>
        <w:trPr>
          <w:trHeight w:val="264"/>
        </w:trPr>
        <w:tc>
          <w:tcPr>
            <w:tcW w:w="57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 Inputs</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 Inputs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 Inputs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Total Fair Value</w:t>
            </w:r>
          </w:p>
        </w:tc>
      </w:t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50"/>
        </w:trPr>
        <w:tc>
          <w:tcPr>
            <w:tcW w:w="572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517.3</w:t>
            </w:r>
          </w:p>
        </w:tc>
      </w:tr>
      <w:tr>
        <w:trPr>
          <w:trHeight w:val="27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surrender value of life insurance</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r>
      <w:tr>
        <w:trPr>
          <w:trHeight w:val="250"/>
        </w:trPr>
        <w:tc>
          <w:tcPr>
            <w:tcW w:w="5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532.1</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50"/>
        </w:trPr>
        <w:tc>
          <w:tcPr>
            <w:tcW w:w="572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339.8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463.4</w:t>
            </w:r>
          </w:p>
        </w:tc>
      </w:tr>
      <w:tr>
        <w:trPr>
          <w:trHeight w:val="270"/>
        </w:trPr>
        <w:tc>
          <w:tcPr>
            <w:tcW w:w="5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50"/>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at fair value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468.5</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Level 1 items consist of exchange traded futures. Our Level 2 items consist of commodity swaps, commodity collars, physical forward purchases and sales commitments, and foreign currency forward contracts. Our level 3 items consist of physical forward purchase or sales commitments. The cash surrender value of life insurance is in connection with the NQDC plan and was included in identifiable intangible and other non-current assets in the accompanying consolidated balance sheets.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 The following tables summarize those commodity derivative balances subject to the right of setoff as presented on our consolidated balance sheet. We have elected to offset the recognized fair value amounts for multiple derivative instruments executed with the same counterparty in our financial statements when a legal right offset exists.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Fair Value as of December 31, 2016</w:t>
            </w:r>
          </w:p>
        </w:tc>
      </w:tr>
      <w:tr>
        <w:trPr>
          <w:trHeight w:val="716"/>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Gross Amounts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Gross Amounts</w:t>
            </w: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Amounts</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333333"/>
              </w:rPr>
              <w:t>Net Amounts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Without Right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Recognized</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Offset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33333"/>
              </w:rPr>
              <w:t>Presented</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Cash Collateral</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Offset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333333"/>
              </w:rPr>
              <w:t>Net Amounts</w:t>
            </w: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50"/>
        </w:trPr>
        <w:tc>
          <w:tcPr>
            <w:tcW w:w="252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331.2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249.7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54.5</w:t>
            </w:r>
          </w:p>
        </w:tc>
      </w:tr>
      <w:tr>
        <w:trPr>
          <w:trHeight w:val="270"/>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r>
      <w:tr>
        <w:trPr>
          <w:trHeight w:val="290"/>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 at fair value</w:t>
            </w: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65.3</w:t>
            </w:r>
          </w:p>
        </w:tc>
      </w:tr>
      <w:tr>
        <w:trPr>
          <w:trHeight w:val="311"/>
        </w:trPr>
        <w:tc>
          <w:tcPr>
            <w:tcW w:w="2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63"/>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Commodities contracts</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74.5</w:t>
            </w:r>
          </w:p>
        </w:tc>
      </w:tr>
      <w:tr>
        <w:trPr>
          <w:trHeight w:val="26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r>
      <w:tr>
        <w:trPr>
          <w:trHeight w:val="250"/>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75.7</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3"/>
          </w:tcPr>
          <w:p>
            <w:pPr>
              <w:spacing w:after="0" w:line="20" w:lineRule="exact"/>
              <w:rPr>
                <w:sz w:val="1"/>
                <w:szCs w:val="1"/>
                <w:color w:val="auto"/>
              </w:rPr>
            </w:pPr>
          </w:p>
        </w:tc>
      </w:tr>
      <w:tr>
        <w:trPr>
          <w:trHeight w:val="602"/>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Fair Value as of December 31, 2015</w:t>
            </w:r>
          </w:p>
        </w:tc>
      </w:tr>
      <w:tr>
        <w:trPr>
          <w:trHeight w:val="716"/>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Gross Amounts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Gross Amounts</w:t>
            </w: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Amounts</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333333"/>
              </w:rPr>
              <w:t>Net Amounts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Without Right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Recognized</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Offset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33333"/>
              </w:rPr>
              <w:t>Presented</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Cash Collateral</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Offset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333333"/>
              </w:rPr>
              <w:t>Net Amounts</w:t>
            </w: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50"/>
        </w:trPr>
        <w:tc>
          <w:tcPr>
            <w:tcW w:w="252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517.3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260.1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231.7</w:t>
            </w:r>
          </w:p>
        </w:tc>
      </w:tr>
      <w:tr>
        <w:trPr>
          <w:trHeight w:val="270"/>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r>
      <w:tr>
        <w:trPr>
          <w:trHeight w:val="290"/>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 at fair value</w:t>
            </w: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240.0</w:t>
            </w:r>
          </w:p>
        </w:tc>
      </w:tr>
      <w:tr>
        <w:trPr>
          <w:trHeight w:val="311"/>
        </w:trPr>
        <w:tc>
          <w:tcPr>
            <w:tcW w:w="2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63"/>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Commodities contracts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65.5</w:t>
            </w:r>
          </w:p>
        </w:tc>
      </w:tr>
      <w:tr>
        <w:trPr>
          <w:trHeight w:val="26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0.9</w:t>
            </w:r>
          </w:p>
        </w:tc>
      </w:tr>
      <w:tr>
        <w:trPr>
          <w:trHeight w:val="250"/>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66.4</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2016 and December 31, 2015, we did not present any amounts gross on our consolidated balance sheet where we had the right of setoff.</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Information.</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a reconciliation of beginning and ending balances of assets and liabilities that are measured at fair value on a recurring basis that utilized significant Level 3 inputs for the periods presented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382270</wp:posOffset>
            </wp:positionV>
            <wp:extent cx="16122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333333"/>
              </w:rPr>
              <w:t>2016</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333333"/>
              </w:rPr>
              <w:t>2015</w:t>
            </w:r>
          </w:p>
        </w:tc>
      </w:tr>
      <w:tr>
        <w:trPr>
          <w:trHeight w:val="25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beginning of the period</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Included in earnings</w:t>
            </w: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63"/>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5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Transfers in</w:t>
            </w:r>
          </w:p>
        </w:tc>
        <w:tc>
          <w:tcPr>
            <w:tcW w:w="5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0.9</w:t>
            </w:r>
          </w:p>
        </w:tc>
      </w:tr>
      <w:tr>
        <w:trPr>
          <w:trHeight w:val="257"/>
        </w:trPr>
        <w:tc>
          <w:tcPr>
            <w:tcW w:w="8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Transfers out</w:t>
            </w:r>
          </w:p>
        </w:tc>
        <w:tc>
          <w:tcPr>
            <w:tcW w:w="5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5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0"/>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Fair value at end of period</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r>
      <w:tr>
        <w:trPr>
          <w:trHeight w:val="311"/>
        </w:trPr>
        <w:tc>
          <w:tcPr>
            <w:tcW w:w="87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r>
      <w:tr>
        <w:trPr>
          <w:trHeight w:val="222"/>
        </w:trPr>
        <w:tc>
          <w:tcPr>
            <w:tcW w:w="8780" w:type="dxa"/>
            <w:vAlign w:val="bottom"/>
          </w:tcPr>
          <w:p>
            <w:pPr>
              <w:ind w:left="40"/>
              <w:spacing w:after="0"/>
              <w:rPr>
                <w:sz w:val="20"/>
                <w:szCs w:val="20"/>
                <w:color w:val="auto"/>
              </w:rPr>
            </w:pPr>
            <w:r>
              <w:rPr>
                <w:rFonts w:ascii="Arial" w:cs="Arial" w:eastAsia="Arial" w:hAnsi="Arial"/>
                <w:sz w:val="18"/>
                <w:szCs w:val="18"/>
                <w:color w:val="auto"/>
              </w:rPr>
              <w:t>Gains for the period included in earnings attributable to the change in unrealized gains relating to derivatives</w:t>
            </w: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still held at the reporting date</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nature of inputs that are considered Level 3 are modeled inputs. Contracts are categorized in Level 3 due to the significance of the unobservable model inputs to their respective fair values. The unobservable model inputs, such as basis differentials, are based on the difference between the historical prices of our prior transactions and the underlying observable data as well as certain risk related to non-performance. The effect on our income before income taxes of a 10% change in the model input for non-performance risk would not be significant. There were no transfers between Level 1 and Level 2 during the periods presented. Transfers between Level 2 and Level 3 were due to the increased significance of basis adjustments which are Level 3 measurements.</w:t>
      </w:r>
    </w:p>
    <w:p>
      <w:pPr>
        <w:spacing w:after="0" w:line="187" w:lineRule="exact"/>
        <w:rPr>
          <w:sz w:val="20"/>
          <w:szCs w:val="20"/>
          <w:color w:val="auto"/>
        </w:rPr>
      </w:pPr>
    </w:p>
    <w:p>
      <w:pPr>
        <w:ind w:right="5320" w:firstLine="8"/>
        <w:spacing w:after="0" w:line="513" w:lineRule="auto"/>
        <w:tabs>
          <w:tab w:leader="none" w:pos="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Geographic Information, and Major Customers Business Segments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on the nature of operations and quantitative thresholds pursuant to the accounting guidance on segment reporting, we have three reportable operating business segments: aviation, marine and land. Corporate expenses are allocated to the segments based on usage, where possible, or on other factors according to the nature of the activity. Please refer to Note 1 for the dates that the results of operations and related assets and liabilities of our acquisitions have been included in our operating segments. The accounting policies of the reportable operating segments are the same as those described in the Summary of Significant Accounting Policies (see Note 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Information concerning our revenue, gross profit, income from operations, depreciation and amortization and capital expenditures by segment is as follows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49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2014</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Aviation segment</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10,914.4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11,739.8</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17,268.8</w:t>
            </w: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1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7,182.5</w:t>
            </w: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9,367.2</w:t>
            </w: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13,843.3</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Land segment</w:t>
            </w:r>
          </w:p>
        </w:tc>
        <w:tc>
          <w:tcPr>
            <w:tcW w:w="14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8,918.8</w:t>
            </w: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9,274.3</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12,279.6</w:t>
            </w:r>
          </w:p>
        </w:tc>
      </w:tr>
      <w:tr>
        <w:trPr>
          <w:trHeight w:val="264"/>
        </w:trPr>
        <w:tc>
          <w:tcPr>
            <w:tcW w:w="492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27,015.8</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30,381.4</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43,391.8</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401.0</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361.9</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323.4</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Marine segment</w:t>
            </w:r>
          </w:p>
        </w:tc>
        <w:tc>
          <w:tcPr>
            <w:tcW w:w="1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149.5</w:t>
            </w:r>
          </w:p>
        </w:tc>
        <w:tc>
          <w:tcPr>
            <w:tcW w:w="52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189.6</w:t>
            </w:r>
          </w:p>
        </w:tc>
        <w:tc>
          <w:tcPr>
            <w:tcW w:w="5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207.8</w:t>
            </w:r>
          </w:p>
        </w:tc>
      </w:tr>
      <w:tr>
        <w:trPr>
          <w:trHeight w:val="270"/>
        </w:trPr>
        <w:tc>
          <w:tcPr>
            <w:tcW w:w="4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14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348.5</w:t>
            </w:r>
          </w:p>
        </w:tc>
        <w:tc>
          <w:tcPr>
            <w:tcW w:w="5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309.5</w:t>
            </w:r>
          </w:p>
        </w:tc>
        <w:tc>
          <w:tcPr>
            <w:tcW w:w="5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287.9</w:t>
            </w:r>
          </w:p>
        </w:tc>
      </w:tr>
      <w:tr>
        <w:trPr>
          <w:trHeight w:val="304"/>
        </w:trPr>
        <w:tc>
          <w:tcPr>
            <w:tcW w:w="49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899.0</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861.0</w:t>
            </w: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819.1</w:t>
            </w:r>
          </w:p>
        </w:tc>
      </w:tr>
      <w:tr>
        <w:trPr>
          <w:trHeight w:val="25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4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Aviation segment</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160.5</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132.2</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144.1</w:t>
            </w: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1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30.2</w:t>
            </w: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73.0</w:t>
            </w: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Land segment</w:t>
            </w:r>
          </w:p>
        </w:tc>
        <w:tc>
          <w:tcPr>
            <w:tcW w:w="14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70.8</w:t>
            </w: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101.4</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93.9</w:t>
            </w:r>
          </w:p>
        </w:tc>
      </w:tr>
      <w:tr>
        <w:trPr>
          <w:trHeight w:val="270"/>
        </w:trPr>
        <w:tc>
          <w:tcPr>
            <w:tcW w:w="49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261.5</w:t>
            </w:r>
          </w:p>
        </w:tc>
        <w:tc>
          <w:tcPr>
            <w:tcW w:w="5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306.5</w:t>
            </w:r>
          </w:p>
        </w:tc>
        <w:tc>
          <w:tcPr>
            <w:tcW w:w="5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330.2</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overhead - unallocated</w:t>
            </w:r>
          </w:p>
        </w:tc>
        <w:tc>
          <w:tcPr>
            <w:tcW w:w="14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(72.7)</w:t>
            </w: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r>
      <w:tr>
        <w:trPr>
          <w:trHeight w:val="264"/>
        </w:trPr>
        <w:tc>
          <w:tcPr>
            <w:tcW w:w="492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188.9</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245.7</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276.7</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 includes allocation from corporate</w:t>
            </w: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24.2</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22.6</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Marine segment, includes allocation from corporate</w:t>
            </w:r>
          </w:p>
        </w:tc>
        <w:tc>
          <w:tcPr>
            <w:tcW w:w="1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6.6</w:t>
            </w:r>
          </w:p>
        </w:tc>
        <w:tc>
          <w:tcPr>
            <w:tcW w:w="52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6.4</w:t>
            </w:r>
          </w:p>
        </w:tc>
        <w:tc>
          <w:tcPr>
            <w:tcW w:w="5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segment, includes allocation from corporate</w:t>
            </w:r>
          </w:p>
        </w:tc>
        <w:tc>
          <w:tcPr>
            <w:tcW w:w="1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47.1</w:t>
            </w: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32.9</w:t>
            </w: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w:t>
            </w:r>
          </w:p>
        </w:tc>
        <w:tc>
          <w:tcPr>
            <w:tcW w:w="14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4.4</w:t>
            </w: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3.7</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r>
      <w:tr>
        <w:trPr>
          <w:trHeight w:val="264"/>
        </w:trPr>
        <w:tc>
          <w:tcPr>
            <w:tcW w:w="492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82.3</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65.5</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57.3</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13.4</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Marine segment</w:t>
            </w:r>
          </w:p>
        </w:tc>
        <w:tc>
          <w:tcPr>
            <w:tcW w:w="1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8.0</w:t>
            </w:r>
          </w:p>
        </w:tc>
        <w:tc>
          <w:tcPr>
            <w:tcW w:w="5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13.9</w:t>
            </w: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1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12.3</w:t>
            </w:r>
          </w:p>
        </w:tc>
        <w:tc>
          <w:tcPr>
            <w:tcW w:w="5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16.4</w:t>
            </w: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w:t>
            </w:r>
          </w:p>
        </w:tc>
        <w:tc>
          <w:tcPr>
            <w:tcW w:w="14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14.5</w:t>
            </w: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10.6</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w:t>
            </w:r>
          </w:p>
        </w:tc>
      </w:tr>
      <w:tr>
        <w:trPr>
          <w:trHeight w:val="264"/>
        </w:trPr>
        <w:tc>
          <w:tcPr>
            <w:tcW w:w="492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37.7</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48.4</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23"/>
        </w:trPr>
        <w:tc>
          <w:tcPr>
            <w:tcW w:w="4920" w:type="dxa"/>
            <w:vAlign w:val="bottom"/>
          </w:tcPr>
          <w:p>
            <w:pPr>
              <w:spacing w:after="0"/>
              <w:rPr>
                <w:sz w:val="24"/>
                <w:szCs w:val="24"/>
                <w:color w:val="auto"/>
              </w:rPr>
            </w:pPr>
          </w:p>
        </w:tc>
        <w:tc>
          <w:tcPr>
            <w:tcW w:w="1460" w:type="dxa"/>
            <w:vAlign w:val="bottom"/>
          </w:tcPr>
          <w:p>
            <w:pPr>
              <w:jc w:val="right"/>
              <w:ind w:right="492"/>
              <w:spacing w:after="0"/>
              <w:rPr>
                <w:sz w:val="20"/>
                <w:szCs w:val="20"/>
                <w:color w:val="auto"/>
              </w:rPr>
            </w:pPr>
            <w:r>
              <w:rPr>
                <w:rFonts w:ascii="Arial" w:cs="Arial" w:eastAsia="Arial" w:hAnsi="Arial"/>
                <w:sz w:val="14"/>
                <w:szCs w:val="14"/>
                <w:color w:val="auto"/>
              </w:rPr>
              <w:t>93</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concerning our accounts receivable, net, goodwill, identifiable intangible assets, net and total assets by segment is as follows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76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29"/>
        </w:trPr>
        <w:tc>
          <w:tcPr>
            <w:tcW w:w="7640" w:type="dxa"/>
            <w:vAlign w:val="bottom"/>
          </w:tcPr>
          <w:p>
            <w:pPr>
              <w:ind w:left="40"/>
              <w:spacing w:after="0"/>
              <w:rPr>
                <w:sz w:val="20"/>
                <w:szCs w:val="20"/>
                <w:color w:val="auto"/>
              </w:rPr>
            </w:pPr>
            <w:r>
              <w:rPr>
                <w:rFonts w:ascii="Arial" w:cs="Arial" w:eastAsia="Arial" w:hAnsi="Arial"/>
                <w:sz w:val="18"/>
                <w:szCs w:val="18"/>
                <w:color w:val="auto"/>
              </w:rPr>
              <w:t>Aviation segment, net of allowance for bad debt of $6.6 and $6.1 as of December 31, 2016 and</w:t>
            </w: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4"/>
        </w:trPr>
        <w:tc>
          <w:tcPr>
            <w:tcW w:w="7640" w:type="dxa"/>
            <w:vAlign w:val="bottom"/>
          </w:tcPr>
          <w:p>
            <w:pPr>
              <w:ind w:left="40"/>
              <w:spacing w:after="0"/>
              <w:rPr>
                <w:sz w:val="20"/>
                <w:szCs w:val="20"/>
                <w:color w:val="auto"/>
              </w:rPr>
            </w:pPr>
            <w:r>
              <w:rPr>
                <w:rFonts w:ascii="Arial" w:cs="Arial" w:eastAsia="Arial" w:hAnsi="Arial"/>
                <w:sz w:val="18"/>
                <w:szCs w:val="18"/>
                <w:color w:val="auto"/>
              </w:rPr>
              <w:t>December 31, 2015, respectively</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776.0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571.6</w:t>
            </w:r>
          </w:p>
        </w:tc>
      </w:tr>
      <w:tr>
        <w:trPr>
          <w:trHeight w:val="23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Marine segment, net of allowance for bad debt of $10.2 and $10.7 as of December 31, 2016</w:t>
            </w:r>
          </w:p>
        </w:tc>
        <w:tc>
          <w:tcPr>
            <w:tcW w:w="6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 December 31, 2015, respectively</w:t>
            </w:r>
          </w:p>
        </w:tc>
        <w:tc>
          <w:tcPr>
            <w:tcW w:w="6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830.5</w:t>
            </w:r>
          </w:p>
        </w:tc>
        <w:tc>
          <w:tcPr>
            <w:tcW w:w="36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611.2</w:t>
            </w:r>
          </w:p>
        </w:tc>
      </w:tr>
      <w:tr>
        <w:trPr>
          <w:trHeight w:val="229"/>
        </w:trPr>
        <w:tc>
          <w:tcPr>
            <w:tcW w:w="7640" w:type="dxa"/>
            <w:vAlign w:val="bottom"/>
          </w:tcPr>
          <w:p>
            <w:pPr>
              <w:ind w:left="40"/>
              <w:spacing w:after="0"/>
              <w:rPr>
                <w:sz w:val="20"/>
                <w:szCs w:val="20"/>
                <w:color w:val="auto"/>
              </w:rPr>
            </w:pPr>
            <w:r>
              <w:rPr>
                <w:rFonts w:ascii="Arial" w:cs="Arial" w:eastAsia="Arial" w:hAnsi="Arial"/>
                <w:sz w:val="18"/>
                <w:szCs w:val="18"/>
                <w:color w:val="auto"/>
              </w:rPr>
              <w:t>Land segment, net of allowance for bad debt of $8.2 and $8.2 as of December 31, 2016 and</w:t>
            </w: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December 31, 2015, respectively</w:t>
            </w: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737.5</w:t>
            </w: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629.8</w:t>
            </w:r>
          </w:p>
        </w:tc>
      </w:tr>
      <w:tr>
        <w:trPr>
          <w:trHeight w:val="264"/>
        </w:trPr>
        <w:tc>
          <w:tcPr>
            <w:tcW w:w="76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2,344.0</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1,812.6</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266.8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173.7</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Marine segment</w:t>
            </w:r>
          </w:p>
        </w:tc>
        <w:tc>
          <w:tcPr>
            <w:tcW w:w="62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72.3</w:t>
            </w:r>
          </w:p>
        </w:tc>
        <w:tc>
          <w:tcPr>
            <w:tcW w:w="36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71.4</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6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496.7</w:t>
            </w:r>
          </w:p>
        </w:tc>
        <w:tc>
          <w:tcPr>
            <w:tcW w:w="3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430.7</w:t>
            </w:r>
          </w:p>
        </w:tc>
      </w:tr>
      <w:tr>
        <w:trPr>
          <w:trHeight w:val="304"/>
        </w:trPr>
        <w:tc>
          <w:tcPr>
            <w:tcW w:w="7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835.8</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675.8</w:t>
            </w: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Identifiable intangible assets, net:</w:t>
            </w:r>
          </w:p>
        </w:tc>
        <w:tc>
          <w:tcPr>
            <w:tcW w:w="6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Aviation segment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72.1</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64.7</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Land segment</w:t>
            </w:r>
          </w:p>
        </w:tc>
        <w:tc>
          <w:tcPr>
            <w:tcW w:w="6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205.2</w:t>
            </w: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140.2</w:t>
            </w:r>
          </w:p>
        </w:tc>
      </w:tr>
      <w:tr>
        <w:trPr>
          <w:trHeight w:val="264"/>
        </w:trPr>
        <w:tc>
          <w:tcPr>
            <w:tcW w:w="76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282.3</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210.9</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2,050.6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1,546.9</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Marine segment</w:t>
            </w:r>
          </w:p>
        </w:tc>
        <w:tc>
          <w:tcPr>
            <w:tcW w:w="62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1,287.7</w:t>
            </w:r>
          </w:p>
        </w:tc>
        <w:tc>
          <w:tcPr>
            <w:tcW w:w="36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1,149.5</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1,928.5</w:t>
            </w: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1,651.5</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w:t>
            </w:r>
          </w:p>
        </w:tc>
        <w:tc>
          <w:tcPr>
            <w:tcW w:w="6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145.8</w:t>
            </w: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177.3</w:t>
            </w:r>
          </w:p>
        </w:tc>
      </w:tr>
      <w:tr>
        <w:trPr>
          <w:trHeight w:val="264"/>
        </w:trPr>
        <w:tc>
          <w:tcPr>
            <w:tcW w:w="76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5,412.6</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4,525.3</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concerning our revenue, income from operations, non-current assets and total assets, as segregated between the Americas, EMEA (Europe, Middle East and Africa) and the Asia/Pacific regions, is presented as follows, based on the country of incorporation of the relevant subsidiary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63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2014</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14,368.8</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15,496.3</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21,519.6</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21"/>
                <w:szCs w:val="21"/>
                <w:color w:val="auto"/>
                <w:vertAlign w:val="superscript"/>
              </w:rPr>
              <w:t>(1)</w:t>
            </w: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6,018.6</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6,382.2</w:t>
            </w: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8,613.1</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21"/>
                <w:szCs w:val="21"/>
                <w:color w:val="auto"/>
                <w:vertAlign w:val="superscript"/>
              </w:rPr>
              <w:t>(2)</w:t>
            </w:r>
          </w:p>
        </w:tc>
        <w:tc>
          <w:tcPr>
            <w:tcW w:w="460" w:type="dxa"/>
            <w:vAlign w:val="bottom"/>
          </w:tcPr>
          <w:p>
            <w:pPr>
              <w:spacing w:after="0"/>
              <w:rPr>
                <w:sz w:val="23"/>
                <w:szCs w:val="23"/>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4,271.1</w:t>
            </w:r>
          </w:p>
        </w:tc>
        <w:tc>
          <w:tcPr>
            <w:tcW w:w="5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5,863.4</w:t>
            </w:r>
          </w:p>
        </w:tc>
        <w:tc>
          <w:tcPr>
            <w:tcW w:w="5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9,844.7</w:t>
            </w:r>
          </w:p>
        </w:tc>
      </w:tr>
      <w:tr>
        <w:trPr>
          <w:trHeight w:val="264"/>
        </w:trPr>
        <w:tc>
          <w:tcPr>
            <w:tcW w:w="6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Americas, excluding United States</w:t>
            </w:r>
          </w:p>
        </w:tc>
        <w:tc>
          <w:tcPr>
            <w:tcW w:w="4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2,357.2</w:t>
            </w:r>
          </w:p>
        </w:tc>
        <w:tc>
          <w:tcPr>
            <w:tcW w:w="5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2,639.5</w:t>
            </w:r>
          </w:p>
        </w:tc>
        <w:tc>
          <w:tcPr>
            <w:tcW w:w="5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3,414.4</w:t>
            </w:r>
          </w:p>
        </w:tc>
      </w:tr>
      <w:tr>
        <w:trPr>
          <w:trHeight w:val="30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27,015.8</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30,381.4</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43,391.8</w:t>
            </w: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19.2</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51.8</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155.3</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153.8</w:t>
            </w: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123.7</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46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38.3</w:t>
            </w:r>
          </w:p>
        </w:tc>
        <w:tc>
          <w:tcPr>
            <w:tcW w:w="520" w:type="dxa"/>
            <w:vAlign w:val="bottom"/>
          </w:tcPr>
          <w:p>
            <w:pPr>
              <w:spacing w:after="0"/>
              <w:rPr>
                <w:sz w:val="22"/>
                <w:szCs w:val="22"/>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54.4</w:t>
            </w:r>
          </w:p>
        </w:tc>
        <w:tc>
          <w:tcPr>
            <w:tcW w:w="56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76.2</w:t>
            </w:r>
          </w:p>
        </w:tc>
      </w:tr>
      <w:tr>
        <w:trPr>
          <w:trHeight w:val="270"/>
        </w:trPr>
        <w:tc>
          <w:tcPr>
            <w:tcW w:w="6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Americas, excluding United States</w:t>
            </w:r>
          </w:p>
        </w:tc>
        <w:tc>
          <w:tcPr>
            <w:tcW w:w="4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21.3</w:t>
            </w:r>
          </w:p>
        </w:tc>
        <w:tc>
          <w:tcPr>
            <w:tcW w:w="5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18.2</w:t>
            </w:r>
          </w:p>
        </w:tc>
        <w:tc>
          <w:tcPr>
            <w:tcW w:w="5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188.9</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245.7</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276.7</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76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799.2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639.9</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587.4</w:t>
            </w: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604.6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62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22"/>
                <w:szCs w:val="22"/>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5.3</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Americas, excluding United States</w:t>
            </w:r>
          </w:p>
        </w:tc>
        <w:tc>
          <w:tcPr>
            <w:tcW w:w="6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172.4</w:t>
            </w:r>
          </w:p>
        </w:tc>
        <w:tc>
          <w:tcPr>
            <w:tcW w:w="3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r>
      <w:tr>
        <w:trPr>
          <w:trHeight w:val="30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1,576.1</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1,279.3</w:t>
            </w: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2,462.0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1,890.5</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1,805.6</w:t>
            </w: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1,719.5</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62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661.2</w:t>
            </w:r>
          </w:p>
        </w:tc>
        <w:tc>
          <w:tcPr>
            <w:tcW w:w="360" w:type="dxa"/>
            <w:vAlign w:val="bottom"/>
          </w:tcPr>
          <w:p>
            <w:pPr>
              <w:spacing w:after="0"/>
              <w:rPr>
                <w:sz w:val="22"/>
                <w:szCs w:val="22"/>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614.9</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Americas, excluding United States</w:t>
            </w:r>
          </w:p>
        </w:tc>
        <w:tc>
          <w:tcPr>
            <w:tcW w:w="6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483.9</w:t>
            </w:r>
          </w:p>
        </w:tc>
        <w:tc>
          <w:tcPr>
            <w:tcW w:w="3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300.2</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5,412.6</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4,525.3</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revenue related to the U.K. of $4.1 billion, $4.7 billion and $6.2 billion for 2016, 2015 and 2014, respectively.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revenue related to Singapore of $4.2 billion, $5.8 billion and $9.7 billion for 2016, 2015 and 2014,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each of the years presented on the consolidated statements of income and comprehensive income, none of our customers accounted for more than 10% of total consolidated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Summary Quarterly Information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unaudited quarterly results for 2016 and 2015 (in millions, except earnings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6"/>
                <w:szCs w:val="16"/>
                <w:color w:val="auto"/>
              </w:rPr>
            </w:pPr>
          </w:p>
        </w:tc>
        <w:tc>
          <w:tcPr>
            <w:tcW w:w="1100" w:type="dxa"/>
            <w:vAlign w:val="bottom"/>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6"/>
                <w:szCs w:val="16"/>
                <w:color w:val="auto"/>
              </w:rPr>
            </w:pPr>
          </w:p>
        </w:tc>
        <w:tc>
          <w:tcPr>
            <w:tcW w:w="1300" w:type="dxa"/>
            <w:vAlign w:val="bottom"/>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6"/>
                <w:szCs w:val="16"/>
                <w:color w:val="auto"/>
              </w:rPr>
            </w:pPr>
          </w:p>
        </w:tc>
        <w:tc>
          <w:tcPr>
            <w:tcW w:w="1260" w:type="dxa"/>
            <w:vAlign w:val="bottom"/>
          </w:tcPr>
          <w:p>
            <w:pPr>
              <w:jc w:val="right"/>
              <w:ind w:right="18"/>
              <w:spacing w:after="0"/>
              <w:rPr>
                <w:sz w:val="20"/>
                <w:szCs w:val="20"/>
                <w:color w:val="auto"/>
              </w:rPr>
            </w:pPr>
            <w:r>
              <w:rPr>
                <w:rFonts w:ascii="Arial" w:cs="Arial" w:eastAsia="Arial" w:hAnsi="Arial"/>
                <w:sz w:val="14"/>
                <w:szCs w:val="14"/>
                <w:b w:val="1"/>
                <w:bCs w:val="1"/>
                <w:color w:val="auto"/>
              </w:rPr>
              <w:t>December 31,</w:t>
            </w:r>
          </w:p>
        </w:tc>
      </w:tr>
      <w:tr>
        <w:trPr>
          <w:trHeight w:val="282"/>
        </w:trPr>
        <w:tc>
          <w:tcPr>
            <w:tcW w:w="4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7"/>
                <w:szCs w:val="17"/>
                <w:b w:val="1"/>
                <w:bCs w:val="1"/>
                <w:color w:val="auto"/>
                <w:vertAlign w:val="superscript"/>
              </w:rPr>
              <w:t>(1)</w:t>
            </w: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8"/>
              <w:spacing w:after="0" w:line="282" w:lineRule="exact"/>
              <w:rPr>
                <w:sz w:val="20"/>
                <w:szCs w:val="20"/>
                <w:color w:val="auto"/>
              </w:rPr>
            </w:pPr>
            <w:r>
              <w:rPr>
                <w:rFonts w:ascii="Arial" w:cs="Arial" w:eastAsia="Arial" w:hAnsi="Arial"/>
                <w:sz w:val="28"/>
                <w:szCs w:val="28"/>
                <w:b w:val="1"/>
                <w:bCs w:val="1"/>
                <w:color w:val="auto"/>
                <w:vertAlign w:val="subscript"/>
              </w:rPr>
              <w:t>2016</w:t>
            </w:r>
            <w:r>
              <w:rPr>
                <w:rFonts w:ascii="Arial" w:cs="Arial" w:eastAsia="Arial" w:hAnsi="Arial"/>
                <w:sz w:val="9"/>
                <w:szCs w:val="9"/>
                <w:b w:val="1"/>
                <w:bCs w:val="1"/>
                <w:color w:val="auto"/>
              </w:rPr>
              <w:t xml:space="preserve"> (1)(2)</w:t>
            </w:r>
          </w:p>
        </w:tc>
      </w:tr>
      <w:tr>
        <w:trPr>
          <w:trHeight w:val="257"/>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5,190.8</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6,633.0</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7,399.8</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7,792.1</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221.5</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218.5</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236.7</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222.3</w:t>
            </w:r>
          </w:p>
        </w:tc>
      </w:tr>
      <w:tr>
        <w:trPr>
          <w:trHeight w:val="251"/>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51.6</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43.0</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2.1</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World Fuel</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51.8</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30.0</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42.7</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2.2</w:t>
            </w:r>
          </w:p>
        </w:tc>
      </w:tr>
      <w:tr>
        <w:trPr>
          <w:trHeight w:val="257"/>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Basic earnings per common share </w:t>
            </w:r>
            <w:r>
              <w:rPr>
                <w:rFonts w:ascii="Arial" w:cs="Arial" w:eastAsia="Arial" w:hAnsi="Arial"/>
                <w:sz w:val="18"/>
                <w:szCs w:val="18"/>
                <w:color w:val="auto"/>
                <w:vertAlign w:val="superscript"/>
              </w:rPr>
              <w:t>(5)</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0.74</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0.43</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0.62</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0.03</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Diluted earnings per common share </w:t>
            </w:r>
            <w:r>
              <w:rPr>
                <w:rFonts w:ascii="Arial" w:cs="Arial" w:eastAsia="Arial" w:hAnsi="Arial"/>
                <w:sz w:val="18"/>
                <w:szCs w:val="18"/>
                <w:color w:val="auto"/>
                <w:vertAlign w:val="superscript"/>
              </w:rPr>
              <w:t>(5)</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0.74</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0.43</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0.61</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0.03</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90"/>
        </w:trPr>
        <w:tc>
          <w:tcPr>
            <w:tcW w:w="4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24"/>
                <w:szCs w:val="24"/>
                <w:color w:val="auto"/>
              </w:rPr>
            </w:pPr>
          </w:p>
        </w:tc>
        <w:tc>
          <w:tcPr>
            <w:tcW w:w="1100" w:type="dxa"/>
            <w:vAlign w:val="bottom"/>
          </w:tcPr>
          <w:p>
            <w:pPr>
              <w:jc w:val="right"/>
              <w:ind w:right="34"/>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24"/>
                <w:szCs w:val="24"/>
                <w:color w:val="auto"/>
              </w:rPr>
            </w:pPr>
          </w:p>
        </w:tc>
        <w:tc>
          <w:tcPr>
            <w:tcW w:w="1300" w:type="dxa"/>
            <w:vAlign w:val="bottom"/>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1260" w:type="dxa"/>
            <w:vAlign w:val="bottom"/>
          </w:tcPr>
          <w:p>
            <w:pPr>
              <w:jc w:val="right"/>
              <w:ind w:right="18"/>
              <w:spacing w:after="0"/>
              <w:rPr>
                <w:sz w:val="20"/>
                <w:szCs w:val="20"/>
                <w:color w:val="auto"/>
              </w:rPr>
            </w:pPr>
            <w:r>
              <w:rPr>
                <w:rFonts w:ascii="Arial" w:cs="Arial" w:eastAsia="Arial" w:hAnsi="Arial"/>
                <w:sz w:val="14"/>
                <w:szCs w:val="14"/>
                <w:b w:val="1"/>
                <w:bCs w:val="1"/>
                <w:color w:val="auto"/>
              </w:rPr>
              <w:t>December 31,</w:t>
            </w:r>
          </w:p>
        </w:tc>
      </w:tr>
      <w:tr>
        <w:trPr>
          <w:trHeight w:val="282"/>
        </w:trPr>
        <w:tc>
          <w:tcPr>
            <w:tcW w:w="4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17"/>
                <w:szCs w:val="17"/>
                <w:b w:val="1"/>
                <w:bCs w:val="1"/>
                <w:color w:val="auto"/>
                <w:vertAlign w:val="superscript"/>
              </w:rPr>
              <w:t>(3)</w:t>
            </w:r>
          </w:p>
        </w:tc>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17"/>
                <w:szCs w:val="17"/>
                <w:b w:val="1"/>
                <w:bCs w:val="1"/>
                <w:color w:val="auto"/>
                <w:vertAlign w:val="superscript"/>
              </w:rPr>
              <w:t>(3)</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6"/>
              <w:spacing w:after="0" w:line="282" w:lineRule="exact"/>
              <w:rPr>
                <w:sz w:val="20"/>
                <w:szCs w:val="20"/>
                <w:color w:val="auto"/>
              </w:rPr>
            </w:pPr>
            <w:r>
              <w:rPr>
                <w:rFonts w:ascii="Arial" w:cs="Arial" w:eastAsia="Arial" w:hAnsi="Arial"/>
                <w:sz w:val="28"/>
                <w:szCs w:val="28"/>
                <w:b w:val="1"/>
                <w:bCs w:val="1"/>
                <w:color w:val="auto"/>
                <w:vertAlign w:val="subscript"/>
              </w:rPr>
              <w:t>2015</w:t>
            </w:r>
            <w:r>
              <w:rPr>
                <w:rFonts w:ascii="Arial" w:cs="Arial" w:eastAsia="Arial" w:hAnsi="Arial"/>
                <w:sz w:val="9"/>
                <w:szCs w:val="9"/>
                <w:b w:val="1"/>
                <w:bCs w:val="1"/>
                <w:color w:val="auto"/>
              </w:rPr>
              <w:t xml:space="preserve"> (3)(4)</w:t>
            </w: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8"/>
              <w:spacing w:after="0" w:line="282" w:lineRule="exact"/>
              <w:rPr>
                <w:sz w:val="20"/>
                <w:szCs w:val="20"/>
                <w:color w:val="auto"/>
              </w:rPr>
            </w:pPr>
            <w:r>
              <w:rPr>
                <w:rFonts w:ascii="Arial" w:cs="Arial" w:eastAsia="Arial" w:hAnsi="Arial"/>
                <w:sz w:val="28"/>
                <w:szCs w:val="28"/>
                <w:b w:val="1"/>
                <w:bCs w:val="1"/>
                <w:color w:val="auto"/>
                <w:vertAlign w:val="subscript"/>
              </w:rPr>
              <w:t>2015</w:t>
            </w:r>
            <w:r>
              <w:rPr>
                <w:rFonts w:ascii="Arial" w:cs="Arial" w:eastAsia="Arial" w:hAnsi="Arial"/>
                <w:sz w:val="9"/>
                <w:szCs w:val="9"/>
                <w:b w:val="1"/>
                <w:bCs w:val="1"/>
                <w:color w:val="auto"/>
              </w:rPr>
              <w:t xml:space="preserve"> (3)(4)</w:t>
            </w:r>
          </w:p>
        </w:tc>
      </w:tr>
      <w:tr>
        <w:trPr>
          <w:trHeight w:val="257"/>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7,340.7</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8,496.4</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7,810.7</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6,733.6</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213.6</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190.4</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226.7</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230.2</w:t>
            </w:r>
          </w:p>
        </w:tc>
      </w:tr>
      <w:tr>
        <w:trPr>
          <w:trHeight w:val="251"/>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49.3</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29.0</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42.7</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49.6</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World Fuel</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50.3</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30.5</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43.7</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49.9</w:t>
            </w:r>
          </w:p>
        </w:tc>
      </w:tr>
      <w:tr>
        <w:trPr>
          <w:trHeight w:val="257"/>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Basic earnings per common share </w:t>
            </w:r>
            <w:r>
              <w:rPr>
                <w:rFonts w:ascii="Arial" w:cs="Arial" w:eastAsia="Arial" w:hAnsi="Arial"/>
                <w:sz w:val="18"/>
                <w:szCs w:val="18"/>
                <w:color w:val="auto"/>
                <w:vertAlign w:val="superscript"/>
              </w:rPr>
              <w:t>(5)</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0.71</w:t>
            </w:r>
          </w:p>
        </w:tc>
        <w:tc>
          <w:tcPr>
            <w:tcW w:w="6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0.43</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0.62</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0.72</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earnings per common share</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0.70</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0.43</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0.62</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0.71</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880" w:hanging="87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the PAPCO and APP operations since July 1, 2016 as a result of the two acquisitions.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93" w:lineRule="exact"/>
        <w:rPr>
          <w:sz w:val="20"/>
          <w:szCs w:val="20"/>
          <w:color w:val="auto"/>
        </w:rPr>
      </w:pPr>
    </w:p>
    <w:p>
      <w:pPr>
        <w:ind w:firstLine="8"/>
        <w:spacing w:after="0" w:line="309" w:lineRule="auto"/>
        <w:tabs>
          <w:tab w:leader="none" w:pos="8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operating results of certain affiliates from ExxonMobil in Canada and France since November 1, 2016 and additional affiliates from ExxonMobil in the U.K. and France since December 1, 2016 as a result of the acquisition.</w:t>
      </w:r>
    </w:p>
    <w:p>
      <w:pPr>
        <w:spacing w:after="0" w:line="196" w:lineRule="exact"/>
        <w:rPr>
          <w:rFonts w:ascii="Arial" w:cs="Arial" w:eastAsia="Arial" w:hAnsi="Arial"/>
          <w:sz w:val="18"/>
          <w:szCs w:val="18"/>
          <w:color w:val="auto"/>
        </w:rPr>
      </w:pPr>
    </w:p>
    <w:p>
      <w:pPr>
        <w:ind w:left="880" w:hanging="872"/>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after-tax termination of employment agreement of $2.3 million, or $0.03 per basic and diluted share in the first quarter</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of 2015.</w:t>
      </w:r>
    </w:p>
    <w:p>
      <w:pPr>
        <w:spacing w:after="0" w:line="265" w:lineRule="exact"/>
        <w:rPr>
          <w:rFonts w:ascii="Arial" w:cs="Arial" w:eastAsia="Arial" w:hAnsi="Arial"/>
          <w:sz w:val="18"/>
          <w:szCs w:val="18"/>
          <w:color w:val="auto"/>
        </w:rPr>
      </w:pPr>
    </w:p>
    <w:p>
      <w:pPr>
        <w:ind w:left="880" w:hanging="872"/>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Pester Marketing Company operations since September 1, 2015 as a result of the acquisition.</w:t>
      </w:r>
    </w:p>
    <w:p>
      <w:pPr>
        <w:spacing w:after="0" w:line="265" w:lineRule="exact"/>
        <w:rPr>
          <w:rFonts w:ascii="Arial" w:cs="Arial" w:eastAsia="Arial" w:hAnsi="Arial"/>
          <w:sz w:val="18"/>
          <w:szCs w:val="18"/>
          <w:color w:val="auto"/>
        </w:rPr>
      </w:pPr>
    </w:p>
    <w:p>
      <w:pPr>
        <w:jc w:val="both"/>
        <w:ind w:firstLine="8"/>
        <w:spacing w:after="0" w:line="303" w:lineRule="auto"/>
        <w:tabs>
          <w:tab w:leader="none" w:pos="8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Basic and diluted earnings per share are computed independently for each quarter and the full year based upon respective weighted average shares outstanding. Therefore, the sum of the quarterly basic and diluted earnings per share amounts may not equal the annual basic and diluted earnings per share amounts reported.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Correction of Previously Issued Financial Information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second quarter of 2016, we identified a correction to our provision for income taxes for certain prior periods, due to the accounting for the tax effects of foreign currency translation changes on intercompany loans that are considered to be of a long-term investment nature. The Company determined that it had incorrectly applied the accounting guidance in ASC 740, Income Taxes and recorded a deferred tax asset related to foreign currency translation losses in the provision for income taxes, resulting in the Company reporting a lower provision for income taxes in the periods that were impacted.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accordance with Staff Accounting Bulletin (“SAB”) No. 99,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and SAB No. 108, </w:t>
      </w:r>
      <w:r>
        <w:rPr>
          <w:rFonts w:ascii="Arial" w:cs="Arial" w:eastAsia="Arial" w:hAnsi="Arial"/>
          <w:sz w:val="18"/>
          <w:szCs w:val="18"/>
          <w:i w:val="1"/>
          <w:iCs w:val="1"/>
          <w:color w:val="auto"/>
        </w:rPr>
        <w:t>Considering the Effects of Prior Year Misstatements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when Quantifying Misstatements in Current Year Financial Statements</w:t>
      </w:r>
      <w:r>
        <w:rPr>
          <w:rFonts w:ascii="Arial" w:cs="Arial" w:eastAsia="Arial" w:hAnsi="Arial"/>
          <w:sz w:val="18"/>
          <w:szCs w:val="18"/>
          <w:color w:val="auto"/>
        </w:rPr>
        <w:t>, management evaluated the materiality of the error from qualitative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quantitative perspectives, and concluded the error was not material to its previously issued annual and interim financial statements. The cumulative amounts of the total corrections were approximately $20.0 million, of which approximately $12.5 million was attributable to the year ended December 31, 2015. The cumulative amount of the prior period adjustments would have been material to our Statement of Income and Comprehensive Income for the quarter ended June 30, 2016, had we made the correction in that period. Accordingly, we have revised our previously issued financial statements prospectively to correct these errors.</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corrections associated with the provision for income taxes line items as well as other immaterial adjustments are reflected in this 10-K Report for all periods presented and those corrections will be reflected in our future fillings.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presents the effect of the correction on the previously reported consolidated balance sheet as of December 31, 2015 and the statements of income and comprehensive income for the years ended 2015 and 2014. The corrections did not have an impact on net cash provided by (used in) operating activities, investing activities or financing activities as presented in the cash flow statement for the years ended 2015 and 2014.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6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 December 31, 2015</w:t>
            </w:r>
          </w:p>
        </w:tc>
      </w:tr>
      <w:tr>
        <w:trPr>
          <w:trHeight w:val="264"/>
        </w:trPr>
        <w:tc>
          <w:tcPr>
            <w:tcW w:w="68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As Reported</w:t>
            </w: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Adjustment</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Revised</w:t>
            </w:r>
          </w:p>
        </w:tc>
      </w:tr>
      <w:tr>
        <w:trPr>
          <w:trHeight w:val="258"/>
        </w:trPr>
        <w:tc>
          <w:tcPr>
            <w:tcW w:w="6880" w:type="dxa"/>
            <w:vAlign w:val="bottom"/>
          </w:tcPr>
          <w:p>
            <w:pPr>
              <w:ind w:left="20"/>
              <w:spacing w:after="0"/>
              <w:rPr>
                <w:sz w:val="20"/>
                <w:szCs w:val="20"/>
                <w:color w:val="auto"/>
              </w:rPr>
            </w:pPr>
            <w:r>
              <w:rPr>
                <w:rFonts w:ascii="Arial" w:cs="Arial" w:eastAsia="Arial" w:hAnsi="Arial"/>
                <w:sz w:val="14"/>
                <w:szCs w:val="14"/>
                <w:color w:val="auto"/>
              </w:rPr>
              <w:t>Assets: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68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6"/>
        </w:trPr>
        <w:tc>
          <w:tcPr>
            <w:tcW w:w="6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582.5</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582.5</w:t>
            </w:r>
          </w:p>
        </w:tc>
      </w:tr>
      <w:tr>
        <w:trPr>
          <w:trHeight w:val="264"/>
        </w:trPr>
        <w:tc>
          <w:tcPr>
            <w:tcW w:w="6880" w:type="dxa"/>
            <w:vAlign w:val="bottom"/>
          </w:tcPr>
          <w:p>
            <w:pPr>
              <w:ind w:left="160"/>
              <w:spacing w:after="0"/>
              <w:rPr>
                <w:sz w:val="20"/>
                <w:szCs w:val="20"/>
                <w:color w:val="auto"/>
              </w:rPr>
            </w:pPr>
            <w:r>
              <w:rPr>
                <w:rFonts w:ascii="Arial" w:cs="Arial" w:eastAsia="Arial" w:hAnsi="Arial"/>
                <w:sz w:val="14"/>
                <w:szCs w:val="14"/>
                <w:color w:val="auto"/>
              </w:rPr>
              <w:t>Accounts receivable, net</w:t>
            </w:r>
          </w:p>
        </w:tc>
        <w:tc>
          <w:tcPr>
            <w:tcW w:w="200" w:type="dxa"/>
            <w:vAlign w:val="bottom"/>
          </w:tcPr>
          <w:p>
            <w:pPr>
              <w:spacing w:after="0"/>
              <w:rPr>
                <w:sz w:val="22"/>
                <w:szCs w:val="22"/>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1,812.6</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1,812.6</w:t>
            </w:r>
          </w:p>
        </w:tc>
      </w:tr>
      <w:tr>
        <w:trPr>
          <w:trHeight w:val="276"/>
        </w:trPr>
        <w:tc>
          <w:tcPr>
            <w:tcW w:w="6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359.1</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359.1</w:t>
            </w:r>
          </w:p>
        </w:tc>
      </w:tr>
      <w:tr>
        <w:trPr>
          <w:trHeight w:val="264"/>
        </w:trPr>
        <w:tc>
          <w:tcPr>
            <w:tcW w:w="6880" w:type="dxa"/>
            <w:vAlign w:val="bottom"/>
          </w:tcPr>
          <w:p>
            <w:pPr>
              <w:ind w:left="160"/>
              <w:spacing w:after="0"/>
              <w:rPr>
                <w:sz w:val="20"/>
                <w:szCs w:val="20"/>
                <w:color w:val="auto"/>
              </w:rPr>
            </w:pPr>
            <w:r>
              <w:rPr>
                <w:rFonts w:ascii="Arial" w:cs="Arial" w:eastAsia="Arial" w:hAnsi="Arial"/>
                <w:sz w:val="14"/>
                <w:szCs w:val="14"/>
                <w:color w:val="auto"/>
              </w:rPr>
              <w:t>Prepaid expenses</w:t>
            </w:r>
          </w:p>
        </w:tc>
        <w:tc>
          <w:tcPr>
            <w:tcW w:w="200" w:type="dxa"/>
            <w:vAlign w:val="bottom"/>
          </w:tcPr>
          <w:p>
            <w:pPr>
              <w:spacing w:after="0"/>
              <w:rPr>
                <w:sz w:val="22"/>
                <w:szCs w:val="22"/>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57.9</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57.9</w:t>
            </w:r>
          </w:p>
        </w:tc>
      </w:tr>
      <w:tr>
        <w:trPr>
          <w:trHeight w:val="276"/>
        </w:trPr>
        <w:tc>
          <w:tcPr>
            <w:tcW w:w="6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Short-term derivative assets, net</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227.2</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220.4</w:t>
            </w:r>
          </w:p>
        </w:tc>
      </w:tr>
      <w:tr>
        <w:trPr>
          <w:trHeight w:val="264"/>
        </w:trPr>
        <w:tc>
          <w:tcPr>
            <w:tcW w:w="6880" w:type="dxa"/>
            <w:vAlign w:val="bottom"/>
          </w:tcPr>
          <w:p>
            <w:pPr>
              <w:ind w:left="160"/>
              <w:spacing w:after="0"/>
              <w:rPr>
                <w:sz w:val="20"/>
                <w:szCs w:val="20"/>
                <w:color w:val="auto"/>
              </w:rPr>
            </w:pPr>
            <w:r>
              <w:rPr>
                <w:rFonts w:ascii="Arial" w:cs="Arial" w:eastAsia="Arial" w:hAnsi="Arial"/>
                <w:sz w:val="14"/>
                <w:szCs w:val="14"/>
                <w:color w:val="auto"/>
              </w:rPr>
              <w:t>Other current assets</w:t>
            </w:r>
          </w:p>
        </w:tc>
        <w:tc>
          <w:tcPr>
            <w:tcW w:w="200" w:type="dxa"/>
            <w:vAlign w:val="bottom"/>
          </w:tcPr>
          <w:p>
            <w:pPr>
              <w:spacing w:after="0"/>
              <w:rPr>
                <w:sz w:val="22"/>
                <w:szCs w:val="22"/>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209.8</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4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208.0</w:t>
            </w:r>
          </w:p>
        </w:tc>
      </w:tr>
      <w:tr>
        <w:trPr>
          <w:trHeight w:val="270"/>
        </w:trPr>
        <w:tc>
          <w:tcPr>
            <w:tcW w:w="6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Current assets held for sale</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5.5</w:t>
            </w:r>
          </w:p>
        </w:tc>
        <w:tc>
          <w:tcPr>
            <w:tcW w:w="1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r>
      <w:tr>
        <w:trPr>
          <w:trHeight w:val="264"/>
        </w:trPr>
        <w:tc>
          <w:tcPr>
            <w:tcW w:w="6880" w:type="dxa"/>
            <w:vAlign w:val="bottom"/>
          </w:tcPr>
          <w:p>
            <w:pPr>
              <w:ind w:left="26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22"/>
                <w:szCs w:val="22"/>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3,254.6</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4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3,246.0</w:t>
            </w:r>
          </w:p>
        </w:tc>
      </w:tr>
      <w:tr>
        <w:trPr>
          <w:trHeight w:val="276"/>
        </w:trPr>
        <w:tc>
          <w:tcPr>
            <w:tcW w:w="6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68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22"/>
                <w:szCs w:val="22"/>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225.6</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225.6</w:t>
            </w:r>
          </w:p>
        </w:tc>
      </w:tr>
      <w:tr>
        <w:trPr>
          <w:trHeight w:val="276"/>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675.8</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675.8</w:t>
            </w:r>
          </w:p>
        </w:tc>
      </w:tr>
      <w:tr>
        <w:trPr>
          <w:trHeight w:val="264"/>
        </w:trPr>
        <w:tc>
          <w:tcPr>
            <w:tcW w:w="6880" w:type="dxa"/>
            <w:vAlign w:val="bottom"/>
          </w:tcPr>
          <w:p>
            <w:pPr>
              <w:ind w:left="20"/>
              <w:spacing w:after="0"/>
              <w:rPr>
                <w:sz w:val="20"/>
                <w:szCs w:val="20"/>
                <w:color w:val="auto"/>
              </w:rPr>
            </w:pPr>
            <w:r>
              <w:rPr>
                <w:rFonts w:ascii="Arial" w:cs="Arial" w:eastAsia="Arial" w:hAnsi="Arial"/>
                <w:sz w:val="14"/>
                <w:szCs w:val="14"/>
                <w:color w:val="auto"/>
              </w:rPr>
              <w:t>Identifiable intangible and other non-current assets</w:t>
            </w:r>
          </w:p>
        </w:tc>
        <w:tc>
          <w:tcPr>
            <w:tcW w:w="200" w:type="dxa"/>
            <w:vAlign w:val="bottom"/>
          </w:tcPr>
          <w:p>
            <w:pPr>
              <w:spacing w:after="0"/>
              <w:rPr>
                <w:sz w:val="22"/>
                <w:szCs w:val="22"/>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356.9</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4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341.4</w:t>
            </w:r>
          </w:p>
        </w:tc>
      </w:tr>
      <w:tr>
        <w:trPr>
          <w:trHeight w:val="27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Non-current assets held for sale</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36.5</w:t>
            </w:r>
          </w:p>
        </w:tc>
        <w:tc>
          <w:tcPr>
            <w:tcW w:w="1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r>
      <w:tr>
        <w:trPr>
          <w:trHeight w:val="304"/>
        </w:trPr>
        <w:tc>
          <w:tcPr>
            <w:tcW w:w="68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4,549.4</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w:t>
            </w: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4,525.3</w:t>
            </w:r>
          </w:p>
        </w:tc>
      </w:tr>
      <w:tr>
        <w:trPr>
          <w:trHeight w:val="257"/>
        </w:trPr>
        <w:tc>
          <w:tcPr>
            <w:tcW w:w="6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688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6880" w:type="dxa"/>
            <w:vAlign w:val="bottom"/>
          </w:tcPr>
          <w:p>
            <w:pPr>
              <w:ind w:left="160"/>
              <w:spacing w:after="0"/>
              <w:rPr>
                <w:sz w:val="20"/>
                <w:szCs w:val="20"/>
                <w:color w:val="auto"/>
              </w:rPr>
            </w:pPr>
            <w:r>
              <w:rPr>
                <w:rFonts w:ascii="Arial" w:cs="Arial" w:eastAsia="Arial" w:hAnsi="Arial"/>
                <w:sz w:val="14"/>
                <w:szCs w:val="14"/>
                <w:color w:val="auto"/>
              </w:rPr>
              <w:t>Short-term debt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25.5</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25.5</w:t>
            </w:r>
          </w:p>
        </w:tc>
      </w:tr>
      <w:tr>
        <w:trPr>
          <w:trHeight w:val="276"/>
        </w:trPr>
        <w:tc>
          <w:tcPr>
            <w:tcW w:w="6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1,349.6</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1,349.6</w:t>
            </w:r>
          </w:p>
        </w:tc>
      </w:tr>
      <w:tr>
        <w:trPr>
          <w:trHeight w:val="264"/>
        </w:trPr>
        <w:tc>
          <w:tcPr>
            <w:tcW w:w="6880" w:type="dxa"/>
            <w:vAlign w:val="bottom"/>
          </w:tcPr>
          <w:p>
            <w:pPr>
              <w:ind w:left="160"/>
              <w:spacing w:after="0"/>
              <w:rPr>
                <w:sz w:val="20"/>
                <w:szCs w:val="20"/>
                <w:color w:val="auto"/>
              </w:rPr>
            </w:pPr>
            <w:r>
              <w:rPr>
                <w:rFonts w:ascii="Arial" w:cs="Arial" w:eastAsia="Arial" w:hAnsi="Arial"/>
                <w:sz w:val="14"/>
                <w:szCs w:val="14"/>
                <w:color w:val="auto"/>
              </w:rPr>
              <w:t>Customer deposits</w:t>
            </w:r>
          </w:p>
        </w:tc>
        <w:tc>
          <w:tcPr>
            <w:tcW w:w="200" w:type="dxa"/>
            <w:vAlign w:val="bottom"/>
          </w:tcPr>
          <w:p>
            <w:pPr>
              <w:spacing w:after="0"/>
              <w:rPr>
                <w:sz w:val="22"/>
                <w:szCs w:val="22"/>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118.3</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118.3</w:t>
            </w:r>
          </w:p>
        </w:tc>
      </w:tr>
      <w:tr>
        <w:trPr>
          <w:trHeight w:val="276"/>
        </w:trPr>
        <w:tc>
          <w:tcPr>
            <w:tcW w:w="6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263.8</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255.2</w:t>
            </w:r>
          </w:p>
        </w:tc>
      </w:tr>
      <w:tr>
        <w:trPr>
          <w:trHeight w:val="264"/>
        </w:trPr>
        <w:tc>
          <w:tcPr>
            <w:tcW w:w="68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Current liabilities held for sale</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5.6</w:t>
            </w: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r>
      <w:tr>
        <w:trPr>
          <w:trHeight w:val="270"/>
        </w:trPr>
        <w:tc>
          <w:tcPr>
            <w:tcW w:w="6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1,762.8</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1,754.2</w:t>
            </w:r>
          </w:p>
        </w:tc>
      </w:tr>
      <w:tr>
        <w:trPr>
          <w:trHeight w:val="270"/>
        </w:trPr>
        <w:tc>
          <w:tcPr>
            <w:tcW w:w="6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746.7</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746.7</w:t>
            </w:r>
          </w:p>
        </w:tc>
      </w:tr>
      <w:tr>
        <w:trPr>
          <w:trHeight w:val="264"/>
        </w:trPr>
        <w:tc>
          <w:tcPr>
            <w:tcW w:w="6880" w:type="dxa"/>
            <w:vAlign w:val="bottom"/>
          </w:tcPr>
          <w:p>
            <w:pPr>
              <w:ind w:left="20"/>
              <w:spacing w:after="0"/>
              <w:rPr>
                <w:sz w:val="20"/>
                <w:szCs w:val="20"/>
                <w:color w:val="auto"/>
              </w:rPr>
            </w:pPr>
            <w:r>
              <w:rPr>
                <w:rFonts w:ascii="Arial" w:cs="Arial" w:eastAsia="Arial" w:hAnsi="Arial"/>
                <w:sz w:val="14"/>
                <w:szCs w:val="14"/>
                <w:color w:val="auto"/>
              </w:rPr>
              <w:t>Non-current income tax liabilities, net</w:t>
            </w:r>
          </w:p>
        </w:tc>
        <w:tc>
          <w:tcPr>
            <w:tcW w:w="200" w:type="dxa"/>
            <w:vAlign w:val="bottom"/>
          </w:tcPr>
          <w:p>
            <w:pPr>
              <w:spacing w:after="0"/>
              <w:rPr>
                <w:sz w:val="22"/>
                <w:szCs w:val="22"/>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87.7</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87.7</w:t>
            </w:r>
          </w:p>
        </w:tc>
      </w:tr>
      <w:tr>
        <w:trPr>
          <w:trHeight w:val="276"/>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25.8</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w:t>
            </w:r>
          </w:p>
        </w:tc>
      </w:tr>
      <w:tr>
        <w:trPr>
          <w:trHeight w:val="264"/>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Non-current liabilities held for sale</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5.0</w:t>
            </w:r>
          </w:p>
        </w:tc>
        <w:tc>
          <w:tcPr>
            <w:tcW w:w="1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r>
      <w:tr>
        <w:trPr>
          <w:trHeight w:val="264"/>
        </w:trPr>
        <w:tc>
          <w:tcPr>
            <w:tcW w:w="68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2,628.0</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4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2,619.4</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6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97"/>
        </w:trPr>
        <w:tc>
          <w:tcPr>
            <w:tcW w:w="6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6880" w:type="dxa"/>
            <w:vAlign w:val="bottom"/>
          </w:tcPr>
          <w:p>
            <w:pPr>
              <w:ind w:left="20"/>
              <w:spacing w:after="0"/>
              <w:rPr>
                <w:sz w:val="20"/>
                <w:szCs w:val="20"/>
                <w:color w:val="auto"/>
              </w:rPr>
            </w:pPr>
            <w:r>
              <w:rPr>
                <w:rFonts w:ascii="Arial" w:cs="Arial" w:eastAsia="Arial" w:hAnsi="Arial"/>
                <w:sz w:val="14"/>
                <w:szCs w:val="14"/>
                <w:color w:val="auto"/>
              </w:rPr>
              <w:t>World Fuel shareholders' equity:</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6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Preferred stock, $1.00 par value; 0.1 shares authorized, none issued</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94"/>
        </w:trPr>
        <w:tc>
          <w:tcPr>
            <w:tcW w:w="6880" w:type="dxa"/>
            <w:vAlign w:val="bottom"/>
          </w:tcPr>
          <w:p>
            <w:pPr>
              <w:ind w:left="160"/>
              <w:spacing w:after="0"/>
              <w:rPr>
                <w:sz w:val="20"/>
                <w:szCs w:val="20"/>
                <w:color w:val="auto"/>
              </w:rPr>
            </w:pPr>
            <w:r>
              <w:rPr>
                <w:rFonts w:ascii="Arial" w:cs="Arial" w:eastAsia="Arial" w:hAnsi="Arial"/>
                <w:sz w:val="14"/>
                <w:szCs w:val="14"/>
                <w:color w:val="auto"/>
              </w:rPr>
              <w:t>Common stock, $0.01 par value; 100.0 shares authorized, 70.8 and 72.1 issued and outstanding as of</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8"/>
        </w:trPr>
        <w:tc>
          <w:tcPr>
            <w:tcW w:w="6880" w:type="dxa"/>
            <w:vAlign w:val="bottom"/>
          </w:tcPr>
          <w:p>
            <w:pPr>
              <w:ind w:left="160"/>
              <w:spacing w:after="0"/>
              <w:rPr>
                <w:sz w:val="20"/>
                <w:szCs w:val="20"/>
                <w:color w:val="auto"/>
              </w:rPr>
            </w:pPr>
            <w:r>
              <w:rPr>
                <w:rFonts w:ascii="Arial" w:cs="Arial" w:eastAsia="Arial" w:hAnsi="Arial"/>
                <w:sz w:val="14"/>
                <w:szCs w:val="14"/>
                <w:color w:val="auto"/>
              </w:rPr>
              <w:t>December 31, 2015 and December 31, 2014, respectively</w:t>
            </w:r>
          </w:p>
        </w:tc>
        <w:tc>
          <w:tcPr>
            <w:tcW w:w="200" w:type="dxa"/>
            <w:vAlign w:val="bottom"/>
          </w:tcPr>
          <w:p>
            <w:pPr>
              <w:spacing w:after="0"/>
              <w:rPr>
                <w:sz w:val="15"/>
                <w:szCs w:val="15"/>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0.7</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0.7</w:t>
            </w:r>
          </w:p>
        </w:tc>
      </w:tr>
      <w:tr>
        <w:trPr>
          <w:trHeight w:val="276"/>
        </w:trPr>
        <w:tc>
          <w:tcPr>
            <w:tcW w:w="6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in excess of par value</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435.3</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435.3</w:t>
            </w:r>
          </w:p>
        </w:tc>
      </w:tr>
      <w:tr>
        <w:trPr>
          <w:trHeight w:val="264"/>
        </w:trPr>
        <w:tc>
          <w:tcPr>
            <w:tcW w:w="6880" w:type="dxa"/>
            <w:vAlign w:val="bottom"/>
          </w:tcPr>
          <w:p>
            <w:pPr>
              <w:ind w:left="16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22"/>
                <w:szCs w:val="22"/>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1,588.6</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4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1,569.4</w:t>
            </w:r>
          </w:p>
        </w:tc>
      </w:tr>
      <w:tr>
        <w:trPr>
          <w:trHeight w:val="270"/>
        </w:trPr>
        <w:tc>
          <w:tcPr>
            <w:tcW w:w="6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(113.2)</w:t>
            </w:r>
          </w:p>
        </w:tc>
        <w:tc>
          <w:tcPr>
            <w:tcW w:w="1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4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r>
      <w:tr>
        <w:trPr>
          <w:trHeight w:val="264"/>
        </w:trPr>
        <w:tc>
          <w:tcPr>
            <w:tcW w:w="6880" w:type="dxa"/>
            <w:vAlign w:val="bottom"/>
          </w:tcPr>
          <w:p>
            <w:pPr>
              <w:ind w:left="260"/>
              <w:spacing w:after="0"/>
              <w:rPr>
                <w:sz w:val="20"/>
                <w:szCs w:val="20"/>
                <w:color w:val="auto"/>
              </w:rPr>
            </w:pPr>
            <w:r>
              <w:rPr>
                <w:rFonts w:ascii="Arial" w:cs="Arial" w:eastAsia="Arial" w:hAnsi="Arial"/>
                <w:sz w:val="14"/>
                <w:szCs w:val="14"/>
                <w:color w:val="auto"/>
              </w:rPr>
              <w:t>Total World Fuel shareholders' equity</w:t>
            </w:r>
          </w:p>
        </w:tc>
        <w:tc>
          <w:tcPr>
            <w:tcW w:w="200" w:type="dxa"/>
            <w:vAlign w:val="bottom"/>
          </w:tcPr>
          <w:p>
            <w:pPr>
              <w:spacing w:after="0"/>
              <w:rPr>
                <w:sz w:val="22"/>
                <w:szCs w:val="22"/>
                <w:color w:val="auto"/>
              </w:rPr>
            </w:pP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1,911.4</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4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1,895.9</w:t>
            </w:r>
          </w:p>
        </w:tc>
      </w:tr>
      <w:tr>
        <w:trPr>
          <w:trHeight w:val="27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 equity</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10.0</w:t>
            </w:r>
          </w:p>
        </w:tc>
        <w:tc>
          <w:tcPr>
            <w:tcW w:w="1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r>
      <w:tr>
        <w:trPr>
          <w:trHeight w:val="264"/>
        </w:trPr>
        <w:tc>
          <w:tcPr>
            <w:tcW w:w="68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Total equity</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1,921.4</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1,905.9</w:t>
            </w:r>
          </w:p>
        </w:tc>
      </w:tr>
      <w:tr>
        <w:trPr>
          <w:trHeight w:val="264"/>
        </w:trPr>
        <w:tc>
          <w:tcPr>
            <w:tcW w:w="68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Total liabilities and equity</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4,549.4</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4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4,525.3</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545"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125" w:right="239" w:bottom="545"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Year ended</w:t>
            </w:r>
          </w:p>
        </w:tc>
      </w:tr>
      <w:tr>
        <w:trPr>
          <w:trHeight w:val="276"/>
        </w:trPr>
        <w:tc>
          <w:tcPr>
            <w:tcW w:w="4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 2014</w:t>
            </w:r>
          </w:p>
        </w:tc>
      </w:tr>
      <w:tr>
        <w:trPr>
          <w:trHeight w:val="264"/>
        </w:trPr>
        <w:tc>
          <w:tcPr>
            <w:tcW w:w="4420" w:type="dxa"/>
            <w:vAlign w:val="bottom"/>
          </w:tcPr>
          <w:p>
            <w:pPr>
              <w:spacing w:after="0"/>
              <w:rPr>
                <w:sz w:val="22"/>
                <w:szCs w:val="22"/>
                <w:color w:val="auto"/>
              </w:rPr>
            </w:pPr>
          </w:p>
        </w:tc>
        <w:tc>
          <w:tcPr>
            <w:tcW w:w="11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As Reported</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auto"/>
              </w:rPr>
              <w:t>Adjustment</w:t>
            </w:r>
          </w:p>
        </w:tc>
        <w:tc>
          <w:tcPr>
            <w:tcW w:w="3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Revised</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Reported</w:t>
            </w: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Adjustment</w:t>
            </w:r>
          </w:p>
        </w:tc>
        <w:tc>
          <w:tcPr>
            <w:tcW w:w="3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Revised</w:t>
            </w:r>
          </w:p>
        </w:tc>
      </w:tr>
      <w:tr>
        <w:trPr>
          <w:trHeight w:val="270"/>
        </w:trPr>
        <w:tc>
          <w:tcPr>
            <w:tcW w:w="4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30,379.7</w:t>
            </w:r>
          </w:p>
        </w:tc>
        <w:tc>
          <w:tcPr>
            <w:tcW w:w="11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c>
          <w:tcPr>
            <w:tcW w:w="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30,381.4</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43,386.4</w:t>
            </w:r>
          </w:p>
        </w:tc>
        <w:tc>
          <w:tcPr>
            <w:tcW w:w="1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43,391.8</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29,519.2</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29,520.4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42,572.8</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42,572.7</w:t>
            </w:r>
          </w:p>
        </w:tc>
      </w:tr>
      <w:tr>
        <w:trPr>
          <w:trHeight w:val="264"/>
        </w:trPr>
        <w:tc>
          <w:tcPr>
            <w:tcW w:w="4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860.5</w:t>
            </w: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0.5</w:t>
            </w: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861.0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813.6</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w:t>
            </w: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819.1</w:t>
            </w:r>
          </w:p>
        </w:tc>
      </w:tr>
      <w:tr>
        <w:trPr>
          <w:trHeight w:val="264"/>
        </w:trPr>
        <w:tc>
          <w:tcPr>
            <w:tcW w:w="44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365.8</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319.8</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319.8</w:t>
            </w:r>
          </w:p>
        </w:tc>
      </w:tr>
      <w:tr>
        <w:trPr>
          <w:trHeight w:val="264"/>
        </w:trPr>
        <w:tc>
          <w:tcPr>
            <w:tcW w:w="4420" w:type="dxa"/>
            <w:vAlign w:val="bottom"/>
          </w:tcPr>
          <w:p>
            <w:pPr>
              <w:ind w:left="180"/>
              <w:spacing w:after="0"/>
              <w:rPr>
                <w:sz w:val="20"/>
                <w:szCs w:val="20"/>
                <w:color w:val="auto"/>
              </w:rPr>
            </w:pPr>
            <w:r>
              <w:rPr>
                <w:rFonts w:ascii="Arial" w:cs="Arial" w:eastAsia="Arial" w:hAnsi="Arial"/>
                <w:sz w:val="14"/>
                <w:szCs w:val="14"/>
                <w:color w:val="auto"/>
              </w:rPr>
              <w:t>Provision for bad debt</w:t>
            </w:r>
          </w:p>
        </w:tc>
        <w:tc>
          <w:tcPr>
            <w:tcW w:w="240" w:type="dxa"/>
            <w:vAlign w:val="bottom"/>
          </w:tcPr>
          <w:p>
            <w:pPr>
              <w:spacing w:after="0"/>
              <w:rPr>
                <w:sz w:val="22"/>
                <w:szCs w:val="22"/>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7.5</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3.8</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0"/>
        </w:trPr>
        <w:tc>
          <w:tcPr>
            <w:tcW w:w="4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240.0</w:t>
            </w: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220.9</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218.8</w:t>
            </w:r>
          </w:p>
        </w:tc>
      </w:tr>
      <w:tr>
        <w:trPr>
          <w:trHeight w:val="264"/>
        </w:trPr>
        <w:tc>
          <w:tcPr>
            <w:tcW w:w="44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613.3</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615.3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544.5</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542.4</w:t>
            </w:r>
          </w:p>
        </w:tc>
      </w:tr>
      <w:tr>
        <w:trPr>
          <w:trHeight w:val="264"/>
        </w:trPr>
        <w:tc>
          <w:tcPr>
            <w:tcW w:w="4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Income from operations</w:t>
            </w: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247.2</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269.1</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w:t>
            </w: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276.7</w:t>
            </w:r>
          </w:p>
        </w:tc>
      </w:tr>
      <w:tr>
        <w:trPr>
          <w:trHeight w:val="264"/>
        </w:trPr>
        <w:tc>
          <w:tcPr>
            <w:tcW w:w="4420" w:type="dxa"/>
            <w:vAlign w:val="bottom"/>
          </w:tcPr>
          <w:p>
            <w:pPr>
              <w:ind w:left="40"/>
              <w:spacing w:after="0"/>
              <w:rPr>
                <w:sz w:val="20"/>
                <w:szCs w:val="20"/>
                <w:color w:val="auto"/>
              </w:rPr>
            </w:pPr>
            <w:r>
              <w:rPr>
                <w:rFonts w:ascii="Arial" w:cs="Arial" w:eastAsia="Arial" w:hAnsi="Arial"/>
                <w:sz w:val="14"/>
                <w:szCs w:val="14"/>
                <w:color w:val="auto"/>
              </w:rPr>
              <w:t>Non-operating expenses, net:</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(29.9)</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264"/>
        </w:trPr>
        <w:tc>
          <w:tcPr>
            <w:tcW w:w="44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income, net</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25.6</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w:t>
            </w:r>
          </w:p>
        </w:tc>
      </w:tr>
      <w:tr>
        <w:trPr>
          <w:trHeight w:val="264"/>
        </w:trPr>
        <w:tc>
          <w:tcPr>
            <w:tcW w:w="44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(27.9)</w:t>
            </w: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0.4</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64"/>
        </w:trPr>
        <w:tc>
          <w:tcPr>
            <w:tcW w:w="442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40" w:type="dxa"/>
            <w:vAlign w:val="bottom"/>
          </w:tcPr>
          <w:p>
            <w:pPr>
              <w:spacing w:after="0"/>
              <w:rPr>
                <w:sz w:val="22"/>
                <w:szCs w:val="22"/>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219.3</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217.7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269.5</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3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274.8</w:t>
            </w:r>
          </w:p>
        </w:tc>
      </w:tr>
      <w:tr>
        <w:trPr>
          <w:trHeight w:val="270"/>
        </w:trPr>
        <w:tc>
          <w:tcPr>
            <w:tcW w:w="4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36.3</w:t>
            </w: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10.9</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51.1</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53.6</w:t>
            </w:r>
          </w:p>
        </w:tc>
      </w:tr>
      <w:tr>
        <w:trPr>
          <w:trHeight w:val="264"/>
        </w:trPr>
        <w:tc>
          <w:tcPr>
            <w:tcW w:w="442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240" w:type="dxa"/>
            <w:vAlign w:val="bottom"/>
          </w:tcPr>
          <w:p>
            <w:pPr>
              <w:spacing w:after="0"/>
              <w:rPr>
                <w:sz w:val="22"/>
                <w:szCs w:val="22"/>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183.0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3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218.4</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3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221.1</w:t>
            </w:r>
          </w:p>
        </w:tc>
      </w:tr>
      <w:tr>
        <w:trPr>
          <w:trHeight w:val="270"/>
        </w:trPr>
        <w:tc>
          <w:tcPr>
            <w:tcW w:w="4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(3.9)</w:t>
            </w: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30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World Fuel</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186.9</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221.7</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224.5</w:t>
            </w: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30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2.66</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(0.17)</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3.13</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0.04</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w:t>
            </w: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30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weighted average common shares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70.2</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70.8</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70.8</w:t>
            </w: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30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2.64</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(0.17)</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3.11</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0.04</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3.15</w:t>
            </w: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30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weighted average common shares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70.7</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71.3</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71.3</w:t>
            </w: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4"/>
        </w:trPr>
        <w:tc>
          <w:tcPr>
            <w:tcW w:w="442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183.0</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218.4</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221.1</w:t>
            </w:r>
          </w:p>
        </w:tc>
      </w:tr>
      <w:tr>
        <w:trPr>
          <w:trHeight w:val="264"/>
        </w:trPr>
        <w:tc>
          <w:tcPr>
            <w:tcW w:w="442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4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(49.6)</w:t>
            </w: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(30.9)</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r>
      <w:tr>
        <w:trPr>
          <w:trHeight w:val="264"/>
        </w:trPr>
        <w:tc>
          <w:tcPr>
            <w:tcW w:w="44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Cash Flow hedge, net</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0.6</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4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(49.0)</w:t>
            </w: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(30.9)</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r>
      <w:tr>
        <w:trPr>
          <w:trHeight w:val="264"/>
        </w:trPr>
        <w:tc>
          <w:tcPr>
            <w:tcW w:w="4420" w:type="dxa"/>
            <w:vAlign w:val="bottom"/>
          </w:tcPr>
          <w:p>
            <w:pPr>
              <w:ind w:left="40"/>
              <w:spacing w:after="0"/>
              <w:rPr>
                <w:sz w:val="20"/>
                <w:szCs w:val="20"/>
                <w:color w:val="auto"/>
              </w:rPr>
            </w:pPr>
            <w:r>
              <w:rPr>
                <w:rFonts w:ascii="Arial" w:cs="Arial" w:eastAsia="Arial" w:hAnsi="Arial"/>
                <w:sz w:val="14"/>
                <w:szCs w:val="14"/>
                <w:color w:val="auto"/>
              </w:rPr>
              <w:t>Comprehensive income including noncontrolling interest</w:t>
            </w:r>
          </w:p>
        </w:tc>
        <w:tc>
          <w:tcPr>
            <w:tcW w:w="240" w:type="dxa"/>
            <w:vAlign w:val="bottom"/>
          </w:tcPr>
          <w:p>
            <w:pPr>
              <w:spacing w:after="0"/>
              <w:rPr>
                <w:sz w:val="22"/>
                <w:szCs w:val="22"/>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134.0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3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187.5</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3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190.4</w:t>
            </w:r>
          </w:p>
        </w:tc>
      </w:tr>
      <w:tr>
        <w:trPr>
          <w:trHeight w:val="20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noncontrolling</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78"/>
        </w:trPr>
        <w:tc>
          <w:tcPr>
            <w:tcW w:w="4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0.1</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3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133.9</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126.4</w:t>
            </w:r>
          </w:p>
        </w:tc>
        <w:tc>
          <w:tcPr>
            <w:tcW w:w="100" w:type="dxa"/>
            <w:vAlign w:val="bottom"/>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190.8</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191.4</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include the voluntary, summary information required by Form 10-K under this Item 16.</w:t>
      </w:r>
    </w:p>
    <w:p>
      <w:pPr>
        <w:sectPr>
          <w:pgSz w:w="11900" w:h="16838" w:orient="portrait"/>
          <w:cols w:equalWidth="0" w:num="1">
            <w:col w:w="11300"/>
          </w:cols>
          <w:pgMar w:left="240" w:top="125"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300"/>
          </w:cols>
          <w:pgMar w:left="240" w:top="125" w:right="35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ind w:right="20"/>
        <w:spacing w:after="0" w:line="192" w:lineRule="exact"/>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w:t>
      </w:r>
      <w:r>
        <w:rPr>
          <w:rFonts w:ascii="MS PGothic" w:cs="MS PGothic" w:eastAsia="MS PGothic" w:hAnsi="MS PGothic"/>
          <w:sz w:val="16"/>
          <w:szCs w:val="16"/>
          <w:color w:val="auto"/>
        </w:rPr>
        <w:t>‑</w:t>
      </w:r>
      <w:r>
        <w:rPr>
          <w:rFonts w:ascii="Arial" w:cs="Arial" w:eastAsia="Arial" w:hAnsi="Arial"/>
          <w:sz w:val="16"/>
          <w:szCs w:val="16"/>
          <w:color w:val="auto"/>
        </w:rPr>
        <w:t>K to be signed on its behalf by the undersigned, thereunto duly authorized, on February 17, 2017.</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4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Michael J. Kasbar</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Chairman, President and Chief Executive Officer</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4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Ira M. Birns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Executive Vice President and Chief Financial Officer</w:t>
      </w:r>
    </w:p>
    <w:p>
      <w:pPr>
        <w:spacing w:after="0" w:line="248" w:lineRule="exact"/>
        <w:rPr>
          <w:sz w:val="20"/>
          <w:szCs w:val="20"/>
          <w:color w:val="auto"/>
        </w:rPr>
      </w:pPr>
    </w:p>
    <w:p>
      <w:pPr>
        <w:spacing w:after="0" w:line="192" w:lineRule="exact"/>
        <w:rPr>
          <w:sz w:val="20"/>
          <w:szCs w:val="20"/>
          <w:color w:val="auto"/>
        </w:rPr>
      </w:pPr>
      <w:r>
        <w:rPr>
          <w:rFonts w:ascii="Arial" w:cs="Arial" w:eastAsia="Arial" w:hAnsi="Arial"/>
          <w:sz w:val="16"/>
          <w:szCs w:val="16"/>
          <w:color w:val="auto"/>
        </w:rPr>
        <w:t>Pursuant to the requirements of the Securities Exchange Act of 1934, this Form 10</w:t>
      </w:r>
      <w:r>
        <w:rPr>
          <w:rFonts w:ascii="MS PGothic" w:cs="MS PGothic" w:eastAsia="MS PGothic" w:hAnsi="MS PGothic"/>
          <w:sz w:val="16"/>
          <w:szCs w:val="16"/>
          <w:color w:val="auto"/>
        </w:rPr>
        <w:t>‑</w:t>
      </w:r>
      <w:r>
        <w:rPr>
          <w:rFonts w:ascii="Arial" w:cs="Arial" w:eastAsia="Arial" w:hAnsi="Arial"/>
          <w:sz w:val="16"/>
          <w:szCs w:val="16"/>
          <w:color w:val="auto"/>
        </w:rPr>
        <w:t>K has been signed below by the following persons on behalf of the registrant and in the capacities indicated on February 17, 2017.</w:t>
      </w: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Signature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Michael J. Kasbar</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Ira M. Birns</w:t>
      </w:r>
    </w:p>
    <w:p>
      <w:pPr>
        <w:spacing w:after="0" w:line="208" w:lineRule="exact"/>
        <w:rPr>
          <w:sz w:val="20"/>
          <w:szCs w:val="20"/>
          <w:color w:val="auto"/>
        </w:rPr>
      </w:pPr>
    </w:p>
    <w:p>
      <w:pPr>
        <w:ind w:left="40" w:right="1280"/>
        <w:spacing w:after="0" w:line="366" w:lineRule="auto"/>
        <w:rPr>
          <w:sz w:val="20"/>
          <w:szCs w:val="20"/>
          <w:color w:val="auto"/>
        </w:rPr>
      </w:pPr>
      <w:r>
        <w:rPr>
          <w:rFonts w:ascii="Arial" w:cs="Arial" w:eastAsia="Arial" w:hAnsi="Arial"/>
          <w:sz w:val="16"/>
          <w:szCs w:val="16"/>
          <w:color w:val="auto"/>
        </w:rPr>
        <w:t>/s/ CARLOS M. VELAZQUEZ Carlos M. Velazquez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25387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KEN BAKSHI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Ken Bakshi</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JORGE L. BENITEZ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Jorge L. Benitez</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RICHARD A. KASSAR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Richard A. Kassar</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MYLES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Myles Klein</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JOHN L. MANLEY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L. Manley</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 THOMAS PRESBY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 Thomas Presby</w:t>
      </w:r>
    </w:p>
    <w:p>
      <w:pPr>
        <w:spacing w:after="0" w:line="208" w:lineRule="exact"/>
        <w:rPr>
          <w:sz w:val="20"/>
          <w:szCs w:val="20"/>
          <w:color w:val="auto"/>
        </w:rPr>
      </w:pPr>
    </w:p>
    <w:p>
      <w:pPr>
        <w:ind w:left="40" w:right="920"/>
        <w:spacing w:after="0" w:line="366" w:lineRule="auto"/>
        <w:rPr>
          <w:sz w:val="20"/>
          <w:szCs w:val="20"/>
          <w:color w:val="auto"/>
        </w:rPr>
      </w:pPr>
      <w:r>
        <w:rPr>
          <w:rFonts w:ascii="Arial" w:cs="Arial" w:eastAsia="Arial" w:hAnsi="Arial"/>
          <w:sz w:val="16"/>
          <w:szCs w:val="16"/>
          <w:color w:val="auto"/>
        </w:rPr>
        <w:t>/s/ STEPHEN K. RODDENBERRY Stephen K. Roddenberry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2538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Paul H. Stebbins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 Chief Executive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Accounting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497" w:lineRule="exact"/>
        <w:rPr>
          <w:sz w:val="20"/>
          <w:szCs w:val="20"/>
          <w:color w:val="auto"/>
        </w:rPr>
      </w:pPr>
    </w:p>
    <w:p>
      <w:pPr>
        <w:sectPr>
          <w:pgSz w:w="11900" w:h="16838" w:orient="portrait"/>
          <w:cols w:equalWidth="0" w:num="2">
            <w:col w:w="3440" w:space="720"/>
            <w:col w:w="726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20"/>
          <w:szCs w:val="20"/>
          <w:color w:val="auto"/>
        </w:rPr>
        <w:t>Exhibit 10.15</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STOCK-SETTLED STOCK APPRECIATION RIGHT AGREEMENT</w:t>
      </w:r>
    </w:p>
    <w:p>
      <w:pPr>
        <w:spacing w:after="0" w:line="253" w:lineRule="exact"/>
        <w:rPr>
          <w:sz w:val="20"/>
          <w:szCs w:val="20"/>
          <w:color w:val="auto"/>
        </w:rPr>
      </w:pPr>
    </w:p>
    <w:p>
      <w:pPr>
        <w:jc w:val="both"/>
        <w:ind w:firstLine="656"/>
        <w:spacing w:after="0" w:line="268" w:lineRule="auto"/>
        <w:tabs>
          <w:tab w:leader="none" w:pos="1462"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Grant of SSARs.</w:t>
      </w:r>
      <w:r>
        <w:rPr>
          <w:rFonts w:ascii="Arial" w:cs="Arial" w:eastAsia="Arial" w:hAnsi="Arial"/>
          <w:sz w:val="20"/>
          <w:szCs w:val="20"/>
          <w:color w:val="auto"/>
        </w:rPr>
        <w:t xml:space="preserve"> World Fuel Services Corporation, a Florida corporation (the “Company”) has awarded to Michael J. Kasbar (the “Participant”), effective as of </w:t>
      </w:r>
      <w:r>
        <w:rPr>
          <w:rFonts w:ascii="Arial" w:cs="Arial" w:eastAsia="Arial" w:hAnsi="Arial"/>
          <w:sz w:val="20"/>
          <w:szCs w:val="20"/>
          <w:u w:val="single" w:color="auto"/>
          <w:color w:val="auto"/>
        </w:rPr>
        <w:t>grant date</w:t>
      </w:r>
      <w:r>
        <w:rPr>
          <w:rFonts w:ascii="Arial" w:cs="Arial" w:eastAsia="Arial" w:hAnsi="Arial"/>
          <w:sz w:val="20"/>
          <w:szCs w:val="20"/>
          <w:color w:val="auto"/>
        </w:rPr>
        <w:t xml:space="preserve"> (the “Grant Date”) </w:t>
      </w:r>
      <w:r>
        <w:rPr>
          <w:rFonts w:ascii="Arial" w:cs="Arial" w:eastAsia="Arial" w:hAnsi="Arial"/>
          <w:sz w:val="20"/>
          <w:szCs w:val="20"/>
          <w:u w:val="single" w:color="auto"/>
          <w:color w:val="auto"/>
        </w:rPr>
        <w:t># of shares</w:t>
      </w:r>
      <w:r>
        <w:rPr>
          <w:rFonts w:ascii="Arial" w:cs="Arial" w:eastAsia="Arial" w:hAnsi="Arial"/>
          <w:sz w:val="20"/>
          <w:szCs w:val="20"/>
          <w:color w:val="auto"/>
        </w:rPr>
        <w:t xml:space="preserve"> stock settled stock appreciation rights (the “SSARs”). The SSARs have been granted under the Company’s 2006 Omnibus Plan, as amended and restated (the “Plan”), which is incorporated herein for all purposes, and the grant of the SSARs shall be subject to the terms, provisions and restrictions set forth in this Agreement, that certain Employment Agreement between the Company and the Participant dated March 14, 2008, as amended (the “Executive’s Agreement”), and the Plan. The SSARs entitle the Participant to convert the SSARs into, and to receive, shares of common stock of the Company, $0.01 par value per share (the “Common Stock”), the aggregate Fair Market Value of which is equal to the product of: (A) the number of SSARs granted pursuant to this Agreement and that become vested pursuant to Section 3 hereof, multiplied by (B) the excess of (i) the Fair Market Value of one share of the Common Stock on the date or dates upon which the Participant converts the vested SSARs to Common Stock, over (ii) the Conversion Price. As a condition to entering into this Agreement, and as a condition to the issuance of any shares of Common Stock (or any other securities of the Company), the Participant agrees to be bound by all of the terms and conditions set forth in this Agreement and in the Plan.</w:t>
      </w:r>
    </w:p>
    <w:p>
      <w:pPr>
        <w:spacing w:after="0" w:line="199" w:lineRule="exact"/>
        <w:rPr>
          <w:rFonts w:ascii="Arial" w:cs="Arial" w:eastAsia="Arial" w:hAnsi="Arial"/>
          <w:sz w:val="20"/>
          <w:szCs w:val="20"/>
          <w:color w:val="auto"/>
        </w:rPr>
      </w:pPr>
    </w:p>
    <w:p>
      <w:pPr>
        <w:ind w:right="20" w:firstLine="656"/>
        <w:spacing w:after="0" w:line="247" w:lineRule="auto"/>
        <w:tabs>
          <w:tab w:leader="none" w:pos="1007"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Capitalized terms and phrases used in this Agreement shall have the meaning set forth below. Capitalized terms used herein and not defined in this Agreement shall have the meaning set forth in the Plan.</w:t>
      </w:r>
    </w:p>
    <w:p>
      <w:pPr>
        <w:spacing w:after="0" w:line="177" w:lineRule="exact"/>
        <w:rPr>
          <w:rFonts w:ascii="Arial" w:cs="Arial" w:eastAsia="Arial" w:hAnsi="Arial"/>
          <w:sz w:val="20"/>
          <w:szCs w:val="20"/>
          <w:color w:val="auto"/>
        </w:rPr>
      </w:pPr>
    </w:p>
    <w:p>
      <w:pPr>
        <w:ind w:left="1760" w:hanging="455"/>
        <w:spacing w:after="0"/>
        <w:tabs>
          <w:tab w:leader="none" w:pos="1760" w:val="left"/>
        </w:tabs>
        <w:numPr>
          <w:ilvl w:val="2"/>
          <w:numId w:val="28"/>
        </w:numPr>
        <w:rPr>
          <w:rFonts w:ascii="Arial" w:cs="Arial" w:eastAsia="Arial" w:hAnsi="Arial"/>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i w:val="1"/>
          <w:iCs w:val="1"/>
          <w:color w:val="auto"/>
        </w:rPr>
        <w:t xml:space="preserve">” </w:t>
      </w:r>
      <w:r>
        <w:rPr>
          <w:rFonts w:ascii="Arial" w:cs="Arial" w:eastAsia="Arial" w:hAnsi="Arial"/>
          <w:sz w:val="20"/>
          <w:szCs w:val="20"/>
          <w:color w:val="auto"/>
        </w:rPr>
        <w:t>means “Cause” as defined in Section 3.3 of the Executive’s Agreement.</w:t>
      </w:r>
    </w:p>
    <w:p>
      <w:pPr>
        <w:spacing w:after="0" w:line="215" w:lineRule="exact"/>
        <w:rPr>
          <w:rFonts w:ascii="Arial" w:cs="Arial" w:eastAsia="Arial" w:hAnsi="Arial"/>
          <w:sz w:val="20"/>
          <w:szCs w:val="20"/>
          <w:color w:val="auto"/>
        </w:rPr>
      </w:pPr>
    </w:p>
    <w:p>
      <w:pPr>
        <w:ind w:left="1880" w:hanging="575"/>
        <w:spacing w:after="0"/>
        <w:tabs>
          <w:tab w:leader="none" w:pos="1880" w:val="left"/>
        </w:tabs>
        <w:numPr>
          <w:ilvl w:val="2"/>
          <w:numId w:val="28"/>
        </w:numPr>
        <w:rPr>
          <w:rFonts w:ascii="Arial" w:cs="Arial" w:eastAsia="Arial" w:hAnsi="Arial"/>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Conversion Price</w:t>
      </w:r>
      <w:r>
        <w:rPr>
          <w:rFonts w:ascii="Arial" w:cs="Arial" w:eastAsia="Arial" w:hAnsi="Arial"/>
          <w:sz w:val="20"/>
          <w:szCs w:val="20"/>
          <w:i w:val="1"/>
          <w:iCs w:val="1"/>
          <w:color w:val="auto"/>
        </w:rPr>
        <w:t xml:space="preserve">” </w:t>
      </w:r>
      <w:r>
        <w:rPr>
          <w:rFonts w:ascii="Arial" w:cs="Arial" w:eastAsia="Arial" w:hAnsi="Arial"/>
          <w:sz w:val="20"/>
          <w:szCs w:val="20"/>
          <w:color w:val="auto"/>
        </w:rPr>
        <w:t>means $</w:t>
      </w:r>
      <w:r>
        <w:rPr>
          <w:rFonts w:ascii="Arial" w:cs="Arial" w:eastAsia="Arial" w:hAnsi="Arial"/>
          <w:sz w:val="20"/>
          <w:szCs w:val="20"/>
          <w:u w:val="single" w:color="auto"/>
          <w:color w:val="auto"/>
        </w:rPr>
        <w:t>conversion price</w:t>
      </w:r>
      <w:r>
        <w:rPr>
          <w:rFonts w:ascii="Arial" w:cs="Arial" w:eastAsia="Arial" w:hAnsi="Arial"/>
          <w:sz w:val="20"/>
          <w:szCs w:val="20"/>
          <w:color w:val="auto"/>
        </w:rPr>
        <w:t>, subject to adjustments as provided in Section 4 hereof or</w:t>
      </w:r>
    </w:p>
    <w:p>
      <w:pPr>
        <w:spacing w:after="0" w:line="2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pursuant to the Plan.</w:t>
      </w:r>
    </w:p>
    <w:p>
      <w:pPr>
        <w:spacing w:after="0" w:line="191" w:lineRule="exact"/>
        <w:rPr>
          <w:rFonts w:ascii="Arial" w:cs="Arial" w:eastAsia="Arial" w:hAnsi="Arial"/>
          <w:sz w:val="20"/>
          <w:szCs w:val="20"/>
          <w:color w:val="auto"/>
        </w:rPr>
      </w:pPr>
    </w:p>
    <w:p>
      <w:pPr>
        <w:ind w:left="1760" w:hanging="455"/>
        <w:spacing w:after="0"/>
        <w:tabs>
          <w:tab w:leader="none" w:pos="1760" w:val="left"/>
        </w:tabs>
        <w:numPr>
          <w:ilvl w:val="2"/>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Expiration Date</w:t>
      </w:r>
      <w:r>
        <w:rPr>
          <w:rFonts w:ascii="Arial" w:cs="Arial" w:eastAsia="Arial" w:hAnsi="Arial"/>
          <w:sz w:val="20"/>
          <w:szCs w:val="20"/>
          <w:color w:val="auto"/>
        </w:rPr>
        <w:t>” means the fifth anniversary of the Grant Date.</w:t>
      </w:r>
    </w:p>
    <w:p>
      <w:pPr>
        <w:spacing w:after="0" w:line="215" w:lineRule="exact"/>
        <w:rPr>
          <w:rFonts w:ascii="Arial" w:cs="Arial" w:eastAsia="Arial" w:hAnsi="Arial"/>
          <w:sz w:val="20"/>
          <w:szCs w:val="20"/>
          <w:color w:val="auto"/>
        </w:rPr>
      </w:pPr>
    </w:p>
    <w:p>
      <w:pPr>
        <w:ind w:left="1760" w:hanging="455"/>
        <w:spacing w:after="0"/>
        <w:tabs>
          <w:tab w:leader="none" w:pos="1760" w:val="left"/>
        </w:tabs>
        <w:numPr>
          <w:ilvl w:val="2"/>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b w:val="1"/>
          <w:bCs w:val="1"/>
          <w:color w:val="auto"/>
        </w:rPr>
        <w:t>”</w:t>
      </w:r>
      <w:r>
        <w:rPr>
          <w:rFonts w:ascii="Arial" w:cs="Arial" w:eastAsia="Arial" w:hAnsi="Arial"/>
          <w:sz w:val="20"/>
          <w:szCs w:val="20"/>
          <w:color w:val="auto"/>
        </w:rPr>
        <w:t xml:space="preserve"> means “Good Reason” as defined in Section 3.6 of the Executive’s Agreement.</w:t>
      </w:r>
    </w:p>
    <w:p>
      <w:pPr>
        <w:spacing w:after="0" w:line="215" w:lineRule="exact"/>
        <w:rPr>
          <w:rFonts w:ascii="Arial" w:cs="Arial" w:eastAsia="Arial" w:hAnsi="Arial"/>
          <w:sz w:val="20"/>
          <w:szCs w:val="20"/>
          <w:color w:val="auto"/>
        </w:rPr>
      </w:pPr>
    </w:p>
    <w:p>
      <w:pPr>
        <w:ind w:left="1760" w:hanging="455"/>
        <w:spacing w:after="0"/>
        <w:tabs>
          <w:tab w:leader="none" w:pos="1760" w:val="left"/>
        </w:tabs>
        <w:numPr>
          <w:ilvl w:val="2"/>
          <w:numId w:val="28"/>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Termination Date</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date on which the Participant is no longer an employee of the Company or any</w:t>
      </w:r>
    </w:p>
    <w:p>
      <w:pPr>
        <w:spacing w:after="0" w:line="3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Subsidiary.</w:t>
      </w:r>
    </w:p>
    <w:p>
      <w:pPr>
        <w:spacing w:after="0" w:line="200" w:lineRule="exact"/>
        <w:rPr>
          <w:rFonts w:ascii="Arial" w:cs="Arial" w:eastAsia="Arial" w:hAnsi="Arial"/>
          <w:sz w:val="19"/>
          <w:szCs w:val="19"/>
          <w:color w:val="auto"/>
        </w:rPr>
      </w:pPr>
    </w:p>
    <w:p>
      <w:pPr>
        <w:spacing w:after="0" w:line="245" w:lineRule="exact"/>
        <w:rPr>
          <w:rFonts w:ascii="Arial" w:cs="Arial" w:eastAsia="Arial" w:hAnsi="Arial"/>
          <w:sz w:val="19"/>
          <w:szCs w:val="19"/>
          <w:color w:val="auto"/>
        </w:rPr>
      </w:pPr>
    </w:p>
    <w:p>
      <w:pPr>
        <w:ind w:left="1040" w:hanging="384"/>
        <w:spacing w:after="0"/>
        <w:tabs>
          <w:tab w:leader="none" w:pos="104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Vesting and Forfeiture of Shares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5"/>
        <w:spacing w:after="0" w:line="241" w:lineRule="auto"/>
        <w:tabs>
          <w:tab w:leader="none" w:pos="1835" w:val="left"/>
        </w:tabs>
        <w:numPr>
          <w:ilvl w:val="2"/>
          <w:numId w:val="28"/>
        </w:numPr>
        <w:rPr>
          <w:rFonts w:ascii="Arial" w:cs="Arial" w:eastAsia="Arial" w:hAnsi="Arial"/>
          <w:sz w:val="20"/>
          <w:szCs w:val="20"/>
          <w:color w:val="auto"/>
        </w:rPr>
      </w:pPr>
      <w:r>
        <w:rPr>
          <w:rFonts w:ascii="Arial" w:cs="Arial" w:eastAsia="Arial" w:hAnsi="Arial"/>
          <w:sz w:val="20"/>
          <w:szCs w:val="20"/>
          <w:color w:val="auto"/>
        </w:rPr>
        <w:t xml:space="preserve">Subject to the provisions of this Section 3, the SSARs shall become vested on the third anniversary of the Grant Date (the “Vesting Date”);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the Participant’s employment with the Company continues through and until the Vesting Date. Termination of employment with the 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208" w:lineRule="exact"/>
        <w:rPr>
          <w:rFonts w:ascii="Arial" w:cs="Arial" w:eastAsia="Arial" w:hAnsi="Arial"/>
          <w:sz w:val="20"/>
          <w:szCs w:val="20"/>
          <w:color w:val="auto"/>
        </w:rPr>
      </w:pPr>
    </w:p>
    <w:p>
      <w:pPr>
        <w:ind w:left="1800" w:hanging="495"/>
        <w:spacing w:after="0"/>
        <w:tabs>
          <w:tab w:leader="none" w:pos="1800" w:val="left"/>
        </w:tabs>
        <w:numPr>
          <w:ilvl w:val="2"/>
          <w:numId w:val="28"/>
        </w:numPr>
        <w:rPr>
          <w:rFonts w:ascii="Arial" w:cs="Arial" w:eastAsia="Arial" w:hAnsi="Arial"/>
          <w:sz w:val="20"/>
          <w:szCs w:val="20"/>
          <w:color w:val="auto"/>
        </w:rPr>
      </w:pPr>
      <w:r>
        <w:rPr>
          <w:rFonts w:ascii="Arial" w:cs="Arial" w:eastAsia="Arial" w:hAnsi="Arial"/>
          <w:sz w:val="20"/>
          <w:szCs w:val="20"/>
          <w:color w:val="auto"/>
        </w:rPr>
        <w:t>The vesting of the SSARs shall be accelerated if and to the extent provided in Section 5.6 of the Executive’s</w:t>
      </w:r>
    </w:p>
    <w:p>
      <w:pPr>
        <w:spacing w:after="0"/>
        <w:rPr>
          <w:rFonts w:ascii="Arial" w:cs="Arial" w:eastAsia="Arial" w:hAnsi="Arial"/>
          <w:sz w:val="20"/>
          <w:szCs w:val="20"/>
          <w:color w:val="auto"/>
        </w:rPr>
      </w:pPr>
      <w:r>
        <w:rPr>
          <w:rFonts w:ascii="Arial" w:cs="Arial" w:eastAsia="Arial" w:hAnsi="Arial"/>
          <w:sz w:val="20"/>
          <w:szCs w:val="20"/>
          <w:color w:val="auto"/>
        </w:rPr>
        <w:t>Agreement.</w:t>
      </w:r>
    </w:p>
    <w:p>
      <w:pPr>
        <w:sectPr>
          <w:pgSz w:w="11900" w:h="16838" w:orient="portrait"/>
          <w:cols w:equalWidth="0" w:num="1">
            <w:col w:w="11420"/>
          </w:cols>
          <w:pgMar w:left="240" w:top="365" w:right="239" w:bottom="1440" w:gutter="0" w:footer="0" w:header="0"/>
        </w:sectPr>
      </w:pPr>
    </w:p>
    <w:bookmarkStart w:id="104" w:name="page105"/>
    <w:bookmarkEnd w:id="104"/>
    <w:p>
      <w:pPr>
        <w:jc w:val="both"/>
        <w:ind w:firstLine="1305"/>
        <w:spacing w:after="0" w:line="243" w:lineRule="auto"/>
        <w:tabs>
          <w:tab w:leader="none" w:pos="1801" w:val="left"/>
        </w:tabs>
        <w:numPr>
          <w:ilvl w:val="1"/>
          <w:numId w:val="29"/>
        </w:numPr>
        <w:rPr>
          <w:rFonts w:ascii="Arial" w:cs="Arial" w:eastAsia="Arial" w:hAnsi="Arial"/>
          <w:sz w:val="20"/>
          <w:szCs w:val="20"/>
          <w:color w:val="auto"/>
        </w:rPr>
      </w:pPr>
      <w:r>
        <w:rPr>
          <w:rFonts w:ascii="Arial" w:cs="Arial" w:eastAsia="Arial" w:hAnsi="Arial"/>
          <w:sz w:val="20"/>
          <w:szCs w:val="20"/>
          <w:color w:val="auto"/>
        </w:rPr>
        <w:t>Except as otherwise provided in Section 3(b) hereof, in the event that the Participant’s employment with the Company and its Subsidiaries is terminated prior to the Vesting Date, the Participant shall immediately forfeit all of the SSARs that were not vested on or before the Termination Date.</w:t>
      </w:r>
    </w:p>
    <w:p>
      <w:pPr>
        <w:spacing w:after="0" w:line="206" w:lineRule="exact"/>
        <w:rPr>
          <w:rFonts w:ascii="Arial" w:cs="Arial" w:eastAsia="Arial" w:hAnsi="Arial"/>
          <w:sz w:val="20"/>
          <w:szCs w:val="20"/>
          <w:color w:val="auto"/>
        </w:rPr>
      </w:pPr>
    </w:p>
    <w:p>
      <w:pPr>
        <w:jc w:val="both"/>
        <w:ind w:firstLine="656"/>
        <w:spacing w:after="0" w:line="241" w:lineRule="auto"/>
        <w:tabs>
          <w:tab w:leader="none" w:pos="1115"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xml:space="preserve"> The number of SSARs and/or the Conversion Price are subject to adjustment by the Compensation Committee of the Board of Directors of the Company (the “Committee”) in the event of any increase or decrease in the number of issued shares of Common Stock resulting from a subdivision or consolidation of the Common Stock or the payment of a stock dividend on Common Stock, or any other increase or decrease in the number of shares of Common Stock effected without receipt or payment of consideration by the Company.</w:t>
      </w:r>
    </w:p>
    <w:p>
      <w:pPr>
        <w:spacing w:after="0" w:line="209" w:lineRule="exact"/>
        <w:rPr>
          <w:sz w:val="20"/>
          <w:szCs w:val="20"/>
          <w:color w:val="auto"/>
        </w:rPr>
      </w:pPr>
    </w:p>
    <w:p>
      <w:pPr>
        <w:jc w:val="both"/>
        <w:ind w:firstLine="656"/>
        <w:spacing w:after="0"/>
        <w:tabs>
          <w:tab w:leader="none" w:pos="1155"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Substitution of SSARs.</w:t>
      </w:r>
      <w:r>
        <w:rPr>
          <w:rFonts w:ascii="Arial" w:cs="Arial" w:eastAsia="Arial" w:hAnsi="Arial"/>
          <w:sz w:val="20"/>
          <w:szCs w:val="20"/>
          <w:color w:val="auto"/>
        </w:rPr>
        <w:t xml:space="preserve"> The Committee shall have the authority to substitute, without receiving the Participant’s permission, options to purchase Common Stock for the SSARs in the event that the Committee determines, in its sole discretion, that such substitution is necessary or desirable based on legal, tax and/or accounting requirements applicable to the Company or the Participant;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(i) the vesting and expiration terms of any such substituted option shall be the same as set forth in this Agreement, (ii) the exercise price of any such substituted option shall be equal to the Conversion Price (as may be adjusted in accordance with Section 4 hereof), and (iii) the exercisability and transferability of any such substituted option shall be consistent with the Plan, the Executive’s Agreement and this Agreement and in compliance with applicable law; and </w:t>
      </w:r>
      <w:r>
        <w:rPr>
          <w:rFonts w:ascii="Arial" w:cs="Arial" w:eastAsia="Arial" w:hAnsi="Arial"/>
          <w:sz w:val="20"/>
          <w:szCs w:val="20"/>
          <w:i w:val="1"/>
          <w:iCs w:val="1"/>
          <w:color w:val="auto"/>
        </w:rPr>
        <w:t>provided further, that</w:t>
      </w:r>
      <w:r>
        <w:rPr>
          <w:rFonts w:ascii="Arial" w:cs="Arial" w:eastAsia="Arial" w:hAnsi="Arial"/>
          <w:sz w:val="20"/>
          <w:szCs w:val="20"/>
          <w:color w:val="auto"/>
        </w:rPr>
        <w:t xml:space="preserve"> the Committee also shall have the ability to revert, without receiving the Participant’s permission, any unvested substituted options to purchase Common Stock back to equivalent SSARs, in the event that the Committee determines, in its sole discretion, that such reversion is necessary or desirable based on legal, tax and/or accounting requirements applicable to the Company or the Participant.</w:t>
      </w:r>
    </w:p>
    <w:p>
      <w:pPr>
        <w:spacing w:after="0" w:line="211" w:lineRule="exact"/>
        <w:rPr>
          <w:rFonts w:ascii="Arial" w:cs="Arial" w:eastAsia="Arial" w:hAnsi="Arial"/>
          <w:sz w:val="20"/>
          <w:szCs w:val="20"/>
          <w:color w:val="auto"/>
        </w:rPr>
      </w:pPr>
    </w:p>
    <w:p>
      <w:pPr>
        <w:ind w:left="1000" w:hanging="344"/>
        <w:spacing w:after="0"/>
        <w:tabs>
          <w:tab w:leader="none" w:pos="100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Termination of SSARs</w:t>
      </w:r>
    </w:p>
    <w:p>
      <w:pPr>
        <w:spacing w:after="0" w:line="215" w:lineRule="exact"/>
        <w:rPr>
          <w:rFonts w:ascii="Arial" w:cs="Arial" w:eastAsia="Arial" w:hAnsi="Arial"/>
          <w:sz w:val="20"/>
          <w:szCs w:val="20"/>
          <w:color w:val="auto"/>
        </w:rPr>
      </w:pPr>
    </w:p>
    <w:p>
      <w:pPr>
        <w:ind w:right="20" w:firstLine="1305"/>
        <w:spacing w:after="0" w:line="247" w:lineRule="auto"/>
        <w:tabs>
          <w:tab w:leader="none" w:pos="1817" w:val="left"/>
        </w:tabs>
        <w:numPr>
          <w:ilvl w:val="1"/>
          <w:numId w:val="31"/>
        </w:numPr>
        <w:rPr>
          <w:rFonts w:ascii="Arial" w:cs="Arial" w:eastAsia="Arial" w:hAnsi="Arial"/>
          <w:sz w:val="20"/>
          <w:szCs w:val="20"/>
          <w:color w:val="auto"/>
        </w:rPr>
      </w:pPr>
      <w:r>
        <w:rPr>
          <w:rFonts w:ascii="Arial" w:cs="Arial" w:eastAsia="Arial" w:hAnsi="Arial"/>
          <w:sz w:val="20"/>
          <w:szCs w:val="20"/>
          <w:color w:val="auto"/>
        </w:rPr>
        <w:t>Any SSARs that have not previously been exercised or forfeited shall immediately terminate on the Expiration Date and be of no further force or effect.</w:t>
      </w:r>
    </w:p>
    <w:p>
      <w:pPr>
        <w:spacing w:after="0" w:line="201" w:lineRule="exact"/>
        <w:rPr>
          <w:rFonts w:ascii="Arial" w:cs="Arial" w:eastAsia="Arial" w:hAnsi="Arial"/>
          <w:sz w:val="20"/>
          <w:szCs w:val="20"/>
          <w:color w:val="auto"/>
        </w:rPr>
      </w:pPr>
    </w:p>
    <w:p>
      <w:pPr>
        <w:jc w:val="both"/>
        <w:ind w:firstLine="1305"/>
        <w:spacing w:after="0"/>
        <w:tabs>
          <w:tab w:leader="none" w:pos="1885" w:val="left"/>
        </w:tabs>
        <w:numPr>
          <w:ilvl w:val="1"/>
          <w:numId w:val="31"/>
        </w:numPr>
        <w:rPr>
          <w:rFonts w:ascii="Arial" w:cs="Arial" w:eastAsia="Arial" w:hAnsi="Arial"/>
          <w:sz w:val="20"/>
          <w:szCs w:val="20"/>
          <w:color w:val="auto"/>
        </w:rPr>
      </w:pPr>
      <w:r>
        <w:rPr>
          <w:rFonts w:ascii="Arial" w:cs="Arial" w:eastAsia="Arial" w:hAnsi="Arial"/>
          <w:sz w:val="20"/>
          <w:szCs w:val="20"/>
          <w:color w:val="auto"/>
        </w:rPr>
        <w:t>In the event that the Participant’s employment with the Company or any Subsidiary is terminated by the Company or a Subsidiary for Cause or by the Participant without Good Reason, (i) the Participant immediately shall forfeit all rights to convert any SSARs (or exercise any substituted options), which have not vested prior to the Termination Date, and (ii) the Participant’s SSARs (and any substituted options) which vested prior to the Termination Date shall continue to be convertible into Common Stock (or exercisable if substituted options) until the earlier of: (x) three (3) months after the Termination Date, or (y) the Expiration Date. Any vested SSARs (or substituted options) which are not converted or exercised during the period set forth in the preceding sentence shall immediately terminate and be of no further force or effect as of the end of that period.</w:t>
      </w:r>
    </w:p>
    <w:p>
      <w:pPr>
        <w:spacing w:after="0" w:line="213" w:lineRule="exact"/>
        <w:rPr>
          <w:rFonts w:ascii="Arial" w:cs="Arial" w:eastAsia="Arial" w:hAnsi="Arial"/>
          <w:sz w:val="20"/>
          <w:szCs w:val="20"/>
          <w:color w:val="auto"/>
        </w:rPr>
      </w:pPr>
    </w:p>
    <w:p>
      <w:pPr>
        <w:jc w:val="both"/>
        <w:ind w:firstLine="1305"/>
        <w:spacing w:after="0" w:line="241" w:lineRule="auto"/>
        <w:tabs>
          <w:tab w:leader="none" w:pos="1826" w:val="left"/>
        </w:tabs>
        <w:numPr>
          <w:ilvl w:val="1"/>
          <w:numId w:val="31"/>
        </w:numPr>
        <w:rPr>
          <w:rFonts w:ascii="Arial" w:cs="Arial" w:eastAsia="Arial" w:hAnsi="Arial"/>
          <w:sz w:val="20"/>
          <w:szCs w:val="20"/>
          <w:color w:val="auto"/>
        </w:rPr>
      </w:pPr>
      <w:r>
        <w:rPr>
          <w:rFonts w:ascii="Arial" w:cs="Arial" w:eastAsia="Arial" w:hAnsi="Arial"/>
          <w:sz w:val="20"/>
          <w:szCs w:val="20"/>
          <w:color w:val="auto"/>
        </w:rPr>
        <w:t>In the event that the Participant’s employment with the Company and its Subsidiaries is terminated for any reason other than by the Company or a Subsidiary for Cause or by the Participant without Good Reason, the SSARs (or any substituted options), if any, that then are or subsequently become vested shall be convertible into Common Stock (or exercisable if substituted options) until the earlier of: (x) two (2) years plus 90 days after the Termination Date, or (y) the Expiration Date. Any vested SSARs (or substituted options) which are not converted or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09" w:right="239" w:bottom="1440" w:gutter="0" w:footer="0" w:header="0"/>
        </w:sectPr>
      </w:pPr>
    </w:p>
    <w:bookmarkStart w:id="105" w:name="page106"/>
    <w:bookmarkEnd w:id="105"/>
    <w:p>
      <w:pPr>
        <w:spacing w:after="0" w:line="247" w:lineRule="auto"/>
        <w:rPr>
          <w:sz w:val="20"/>
          <w:szCs w:val="20"/>
          <w:color w:val="auto"/>
        </w:rPr>
      </w:pPr>
      <w:r>
        <w:rPr>
          <w:rFonts w:ascii="Arial" w:cs="Arial" w:eastAsia="Arial" w:hAnsi="Arial"/>
          <w:sz w:val="20"/>
          <w:szCs w:val="20"/>
          <w:color w:val="auto"/>
        </w:rPr>
        <w:t>exercised during the period set forth in the preceding sentence automatically shall immediately terminate and be of no further force or effect as of the end of that period.</w:t>
      </w:r>
    </w:p>
    <w:p>
      <w:pPr>
        <w:spacing w:after="0" w:line="202" w:lineRule="exact"/>
        <w:rPr>
          <w:sz w:val="20"/>
          <w:szCs w:val="20"/>
          <w:color w:val="auto"/>
        </w:rPr>
      </w:pPr>
    </w:p>
    <w:p>
      <w:pPr>
        <w:jc w:val="both"/>
        <w:ind w:firstLine="656"/>
        <w:spacing w:after="0" w:line="243" w:lineRule="auto"/>
        <w:tabs>
          <w:tab w:leader="none" w:pos="1115"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Persons Eligible to Convert SSARs.</w:t>
      </w:r>
      <w:r>
        <w:rPr>
          <w:rFonts w:ascii="Arial" w:cs="Arial" w:eastAsia="Arial" w:hAnsi="Arial"/>
          <w:sz w:val="20"/>
          <w:szCs w:val="20"/>
          <w:color w:val="auto"/>
        </w:rPr>
        <w:t xml:space="preserve"> The SSARs shall be convertible into Common Stock during the Participant’s lifetime by the Participant or upon the death of the Participant by a transferee to whom the SSAR or the right to convert the SSAR into Common Stock has been transferred pursuant to Section 8 below.</w:t>
      </w:r>
    </w:p>
    <w:p>
      <w:pPr>
        <w:spacing w:after="0" w:line="206" w:lineRule="exact"/>
        <w:rPr>
          <w:rFonts w:ascii="Arial" w:cs="Arial" w:eastAsia="Arial" w:hAnsi="Arial"/>
          <w:sz w:val="20"/>
          <w:szCs w:val="20"/>
          <w:color w:val="auto"/>
        </w:rPr>
      </w:pPr>
    </w:p>
    <w:p>
      <w:pPr>
        <w:jc w:val="both"/>
        <w:ind w:firstLine="656"/>
        <w:spacing w:after="0" w:line="255" w:lineRule="auto"/>
        <w:tabs>
          <w:tab w:leader="none" w:pos="1074"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xml:space="preserve"> The Participant may designate, by written notice to the Company’s Secretary, a beneficiary or beneficiaries to whom any vested but unconverted portion of the SSARs shall be transferred upon the death of the Participant. In the absence of such designation, such vested but unconverted portion will be transferred to the Participant’s estate. No such transfer of the SSARs, or the right to convert the SSARs or any portion thereof into Common Stock, shall be effective to bind the Company unless the Committee shall have been furnished with written notice thereof and with a copy of the will and/or such evidence as the Committee deems necessary to establish the validity of such transfer or right to convert, and an agreement by the transferee, administrator, or executor (as applicable) to comply with all the terms of this Agreement that are or would have been applicable to the Participant and to be bound by the acknowledgements made by the Participant in connection with this grant.</w:t>
      </w:r>
    </w:p>
    <w:p>
      <w:pPr>
        <w:spacing w:after="0" w:line="195" w:lineRule="exact"/>
        <w:rPr>
          <w:rFonts w:ascii="Arial" w:cs="Arial" w:eastAsia="Arial" w:hAnsi="Arial"/>
          <w:sz w:val="19"/>
          <w:szCs w:val="19"/>
          <w:color w:val="auto"/>
        </w:rPr>
      </w:pPr>
    </w:p>
    <w:p>
      <w:pPr>
        <w:jc w:val="both"/>
        <w:ind w:firstLine="656"/>
        <w:spacing w:after="0"/>
        <w:tabs>
          <w:tab w:leader="none" w:pos="1088"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Conversion of SSARs.</w:t>
      </w:r>
      <w:r>
        <w:rPr>
          <w:rFonts w:ascii="Arial" w:cs="Arial" w:eastAsia="Arial" w:hAnsi="Arial"/>
          <w:sz w:val="20"/>
          <w:szCs w:val="20"/>
          <w:color w:val="auto"/>
        </w:rPr>
        <w:t xml:space="preserve"> Subject to Section 21 hereof, the vested SSARs may be converted into Common Stock, in whole or in part, by the person then entitled to do so as to any vested portion by giving written notice of conversion to the attention of the Company’s Secretary and specifying the number of full shares of Common Stock with respect to which the SSARs are being converted. No partial conversion of the vested SSARs may be for less than ten (10) shares or multiples thereof. No fractional shares of Common Stock shall be issued by the Company in connection with the conversion of the vested SSARs. In lieu of issuing fractional shares, the Company shall pay the Participant cash in an amount equal to the Fair Market Value of any fractional shares that the Participant may be entitled to receive upon the conversion hereof.</w:t>
      </w:r>
    </w:p>
    <w:p>
      <w:pPr>
        <w:spacing w:after="0" w:line="213" w:lineRule="exact"/>
        <w:rPr>
          <w:rFonts w:ascii="Arial" w:cs="Arial" w:eastAsia="Arial" w:hAnsi="Arial"/>
          <w:sz w:val="20"/>
          <w:szCs w:val="20"/>
          <w:color w:val="auto"/>
        </w:rPr>
      </w:pPr>
    </w:p>
    <w:p>
      <w:pPr>
        <w:jc w:val="both"/>
        <w:ind w:firstLine="656"/>
        <w:spacing w:after="0" w:line="241" w:lineRule="auto"/>
        <w:tabs>
          <w:tab w:leader="none" w:pos="102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No Rights of Stockholder.</w:t>
      </w:r>
      <w:r>
        <w:rPr>
          <w:rFonts w:ascii="Arial" w:cs="Arial" w:eastAsia="Arial" w:hAnsi="Arial"/>
          <w:sz w:val="20"/>
          <w:szCs w:val="20"/>
          <w:color w:val="auto"/>
        </w:rPr>
        <w:t xml:space="preserve"> Neither the Participant (nor any beneficiary or transferee) shall be or have any of the rights or privileges of a stockholder of the Company in respect of any of the shares of Common Stock issuable upon the conversion of the SSARs, unless and until the shares of Common Stock are issued to the Participant. Except as expressly provided in Section 4 above or in the Plan, no adjustment to the SSARs shall be made for dividends or other rights for which the record date occurs prior to the date the certificates representing such shares of Common Stock are issued.</w:t>
      </w:r>
    </w:p>
    <w:p>
      <w:pPr>
        <w:spacing w:after="0" w:line="209" w:lineRule="exact"/>
        <w:rPr>
          <w:rFonts w:ascii="Arial" w:cs="Arial" w:eastAsia="Arial" w:hAnsi="Arial"/>
          <w:sz w:val="20"/>
          <w:szCs w:val="20"/>
          <w:color w:val="auto"/>
        </w:rPr>
      </w:pPr>
    </w:p>
    <w:p>
      <w:pPr>
        <w:jc w:val="both"/>
        <w:ind w:firstLine="656"/>
        <w:spacing w:after="0"/>
        <w:tabs>
          <w:tab w:leader="none" w:pos="1034"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No Effect on Employment</w:t>
      </w:r>
      <w:r>
        <w:rPr>
          <w:rFonts w:ascii="Arial" w:cs="Arial" w:eastAsia="Arial" w:hAnsi="Arial"/>
          <w:sz w:val="20"/>
          <w:szCs w:val="20"/>
          <w:color w:val="auto"/>
        </w:rPr>
        <w:t>. Except as otherwise provided in the Executive’s Agreement, the Participant’s employment with the Company and any Subsidiary is on an at-will basis only. Accordingly, subject to the terms of the Executive’s Agreement,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213" w:lineRule="exact"/>
        <w:rPr>
          <w:rFonts w:ascii="Arial" w:cs="Arial" w:eastAsia="Arial" w:hAnsi="Arial"/>
          <w:sz w:val="20"/>
          <w:szCs w:val="20"/>
          <w:color w:val="auto"/>
        </w:rPr>
      </w:pPr>
    </w:p>
    <w:p>
      <w:pPr>
        <w:ind w:firstLine="656"/>
        <w:spacing w:after="0" w:line="247" w:lineRule="auto"/>
        <w:tabs>
          <w:tab w:leader="none" w:pos="113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Except as provided in Section 8 above or as otherwise permitted by the Plan, the SSARs may not be transferred, directly or indirectly.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09" w:right="239" w:bottom="1440" w:gutter="0" w:footer="0" w:header="0"/>
        </w:sectPr>
      </w:pPr>
    </w:p>
    <w:bookmarkStart w:id="106" w:name="page107"/>
    <w:bookmarkEnd w:id="106"/>
    <w:p>
      <w:pPr>
        <w:jc w:val="both"/>
        <w:ind w:firstLine="656"/>
        <w:spacing w:after="0" w:line="243" w:lineRule="auto"/>
        <w:tabs>
          <w:tab w:leader="none" w:pos="1157"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Other Benefits.</w:t>
      </w:r>
      <w:r>
        <w:rPr>
          <w:rFonts w:ascii="Arial" w:cs="Arial" w:eastAsia="Arial" w:hAnsi="Arial"/>
          <w:sz w:val="20"/>
          <w:szCs w:val="20"/>
          <w:color w:val="auto"/>
        </w:rPr>
        <w:t xml:space="preserve">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206" w:lineRule="exact"/>
        <w:rPr>
          <w:rFonts w:ascii="Arial" w:cs="Arial" w:eastAsia="Arial" w:hAnsi="Arial"/>
          <w:sz w:val="20"/>
          <w:szCs w:val="20"/>
          <w:color w:val="auto"/>
        </w:rPr>
      </w:pPr>
    </w:p>
    <w:p>
      <w:pPr>
        <w:ind w:firstLine="656"/>
        <w:spacing w:after="0" w:line="247" w:lineRule="auto"/>
        <w:tabs>
          <w:tab w:leader="none" w:pos="1103"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Maximum Term of SSARs.</w:t>
      </w:r>
      <w:r>
        <w:rPr>
          <w:rFonts w:ascii="Arial" w:cs="Arial" w:eastAsia="Arial" w:hAnsi="Arial"/>
          <w:sz w:val="20"/>
          <w:szCs w:val="20"/>
          <w:color w:val="auto"/>
        </w:rPr>
        <w:t xml:space="preserve"> Notwithstanding any other provision of this Agreement, the SSARs are not convertible into Common Stock after the Expiration Date.</w:t>
      </w:r>
    </w:p>
    <w:p>
      <w:pPr>
        <w:spacing w:after="0" w:line="201" w:lineRule="exact"/>
        <w:rPr>
          <w:rFonts w:ascii="Arial" w:cs="Arial" w:eastAsia="Arial" w:hAnsi="Arial"/>
          <w:sz w:val="20"/>
          <w:szCs w:val="20"/>
          <w:color w:val="auto"/>
        </w:rPr>
      </w:pPr>
    </w:p>
    <w:p>
      <w:pPr>
        <w:jc w:val="both"/>
        <w:ind w:firstLine="656"/>
        <w:spacing w:after="0" w:line="243" w:lineRule="auto"/>
        <w:tabs>
          <w:tab w:leader="none" w:pos="1184"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xml:space="preserve"> Subject to the limitation on the transferability of the SSARs contained herein, this Agreement shall be binding upon and inure to the benefit of the heirs, legatees, legal representatives, successors and assigns of the parties hereto.</w:t>
      </w:r>
    </w:p>
    <w:p>
      <w:pPr>
        <w:spacing w:after="0" w:line="206" w:lineRule="exact"/>
        <w:rPr>
          <w:rFonts w:ascii="Arial" w:cs="Arial" w:eastAsia="Arial" w:hAnsi="Arial"/>
          <w:sz w:val="20"/>
          <w:szCs w:val="20"/>
          <w:color w:val="auto"/>
        </w:rPr>
      </w:pPr>
    </w:p>
    <w:p>
      <w:pPr>
        <w:jc w:val="both"/>
        <w:ind w:firstLine="656"/>
        <w:spacing w:after="0" w:line="262" w:lineRule="auto"/>
        <w:tabs>
          <w:tab w:leader="none" w:pos="119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xml:space="preserve"> This Agreement is subject to all of the terms and provisions of the Plan. In the event of a conflict between one or more provisions of this Agreement and one or more provisions of the Plan, the provisions of the Plan shall govern, and in the event of any conflict between this Agreement and the Executive’s Agreement, the Executive’s Agreement shall govern.</w:t>
      </w:r>
    </w:p>
    <w:p>
      <w:pPr>
        <w:spacing w:after="0" w:line="189" w:lineRule="exact"/>
        <w:rPr>
          <w:rFonts w:ascii="Arial" w:cs="Arial" w:eastAsia="Arial" w:hAnsi="Arial"/>
          <w:sz w:val="19"/>
          <w:szCs w:val="19"/>
          <w:color w:val="auto"/>
        </w:rPr>
      </w:pPr>
    </w:p>
    <w:p>
      <w:pPr>
        <w:jc w:val="both"/>
        <w:ind w:firstLine="656"/>
        <w:spacing w:after="0"/>
        <w:tabs>
          <w:tab w:leader="none" w:pos="1252"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Governing Law/Jurisdiction.</w:t>
      </w:r>
      <w:r>
        <w:rPr>
          <w:rFonts w:ascii="Arial" w:cs="Arial" w:eastAsia="Arial" w:hAnsi="Arial"/>
          <w:sz w:val="20"/>
          <w:szCs w:val="20"/>
          <w:color w:val="auto"/>
        </w:rPr>
        <w:t xml:space="preserve">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212" w:lineRule="exact"/>
        <w:rPr>
          <w:rFonts w:ascii="Arial" w:cs="Arial" w:eastAsia="Arial" w:hAnsi="Arial"/>
          <w:sz w:val="20"/>
          <w:szCs w:val="20"/>
          <w:color w:val="auto"/>
        </w:rPr>
      </w:pPr>
    </w:p>
    <w:p>
      <w:pPr>
        <w:jc w:val="both"/>
        <w:ind w:firstLine="656"/>
        <w:spacing w:after="0" w:line="241" w:lineRule="auto"/>
        <w:tabs>
          <w:tab w:leader="none" w:pos="1211"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Committee Authority.</w:t>
      </w:r>
      <w:r>
        <w:rPr>
          <w:rFonts w:ascii="Arial" w:cs="Arial" w:eastAsia="Arial" w:hAnsi="Arial"/>
          <w:sz w:val="20"/>
          <w:szCs w:val="20"/>
          <w:color w:val="auto"/>
        </w:rPr>
        <w:t xml:space="preserve"> The Committee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207" w:lineRule="exact"/>
        <w:rPr>
          <w:rFonts w:ascii="Arial" w:cs="Arial" w:eastAsia="Arial" w:hAnsi="Arial"/>
          <w:sz w:val="20"/>
          <w:szCs w:val="20"/>
          <w:color w:val="auto"/>
        </w:rPr>
      </w:pPr>
    </w:p>
    <w:p>
      <w:pPr>
        <w:ind w:right="20" w:firstLine="656"/>
        <w:spacing w:after="0" w:line="247" w:lineRule="auto"/>
        <w:tabs>
          <w:tab w:leader="none" w:pos="1103"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xml:space="preserve"> The captions provided herein are for convenience only and are not to serve as a basis for the interpretation or construction of this Agreement.</w:t>
      </w:r>
    </w:p>
    <w:p>
      <w:pPr>
        <w:spacing w:after="0" w:line="201" w:lineRule="exact"/>
        <w:rPr>
          <w:rFonts w:ascii="Arial" w:cs="Arial" w:eastAsia="Arial" w:hAnsi="Arial"/>
          <w:sz w:val="20"/>
          <w:szCs w:val="20"/>
          <w:color w:val="auto"/>
        </w:rPr>
      </w:pPr>
    </w:p>
    <w:p>
      <w:pPr>
        <w:jc w:val="both"/>
        <w:ind w:firstLine="656"/>
        <w:spacing w:after="0" w:line="243" w:lineRule="auto"/>
        <w:tabs>
          <w:tab w:leader="none" w:pos="113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xml:space="preserve">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06" w:lineRule="exact"/>
        <w:rPr>
          <w:rFonts w:ascii="Arial" w:cs="Arial" w:eastAsia="Arial" w:hAnsi="Arial"/>
          <w:sz w:val="20"/>
          <w:szCs w:val="20"/>
          <w:color w:val="auto"/>
        </w:rPr>
      </w:pPr>
    </w:p>
    <w:p>
      <w:pPr>
        <w:jc w:val="both"/>
        <w:ind w:firstLine="656"/>
        <w:spacing w:after="0" w:line="241" w:lineRule="auto"/>
        <w:tabs>
          <w:tab w:leader="none" w:pos="1252"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Taxes; Exercise Price.</w:t>
      </w:r>
      <w:r>
        <w:rPr>
          <w:rFonts w:ascii="Arial" w:cs="Arial" w:eastAsia="Arial" w:hAnsi="Arial"/>
          <w:sz w:val="20"/>
          <w:szCs w:val="20"/>
          <w:color w:val="auto"/>
        </w:rPr>
        <w:t xml:space="preserve"> Prior to converting any vested SSARs or exercising any vested substituted options, the Participant shall pay to the Company an amount determined by the Company to be sufficient to satisfy any applicable federal, state, local and foreign withholding or other taxes and, in the case of substituted options, the applicable exercise price. The Company may, at its option, permit the Participant or other person converting the vested SSARs or exercising the vested options to satisfy his or her obligations by surrendering to the Company a portion of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09" w:right="239" w:bottom="1440" w:gutter="0" w:footer="0" w:header="0"/>
        </w:sectPr>
      </w:pPr>
    </w:p>
    <w:bookmarkStart w:id="107" w:name="page108"/>
    <w:bookmarkEnd w:id="107"/>
    <w:p>
      <w:pPr>
        <w:jc w:val="both"/>
        <w:spacing w:after="0" w:line="242" w:lineRule="auto"/>
        <w:rPr>
          <w:sz w:val="20"/>
          <w:szCs w:val="20"/>
          <w:color w:val="auto"/>
        </w:rPr>
      </w:pPr>
      <w:r>
        <w:rPr>
          <w:rFonts w:ascii="Arial" w:cs="Arial" w:eastAsia="Arial" w:hAnsi="Arial"/>
          <w:sz w:val="20"/>
          <w:szCs w:val="20"/>
          <w:color w:val="auto"/>
        </w:rPr>
        <w:t>shares of Common Stock that the Participant or such person would otherwise be entitled to receive upon such conversion or exercise. Any acquisition of shares of Common Stock by the Company as contemplated hereby is expressly approved by the Committee as part of the approval of the SSARs. Until such time as the Participant has satisfied the requirements of this Section 21, the Company shall have no obligation to effect a conversion of SSARs or exercise of substituted options hereunder.</w:t>
      </w:r>
    </w:p>
    <w:p>
      <w:pPr>
        <w:spacing w:after="0" w:line="207" w:lineRule="exact"/>
        <w:rPr>
          <w:sz w:val="20"/>
          <w:szCs w:val="20"/>
          <w:color w:val="auto"/>
        </w:rPr>
      </w:pPr>
    </w:p>
    <w:p>
      <w:pPr>
        <w:jc w:val="both"/>
        <w:ind w:firstLine="656"/>
        <w:spacing w:after="0" w:line="241" w:lineRule="auto"/>
        <w:tabs>
          <w:tab w:leader="none" w:pos="129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Registration Statement.</w:t>
      </w:r>
      <w:r>
        <w:rPr>
          <w:rFonts w:ascii="Arial" w:cs="Arial" w:eastAsia="Arial" w:hAnsi="Arial"/>
          <w:sz w:val="20"/>
          <w:szCs w:val="20"/>
          <w:color w:val="auto"/>
        </w:rPr>
        <w:t xml:space="preserve"> The Participant acknowledges and agrees that the Company has filed a Registration Statement on Form S-8 (the “Registration Statement”) under the Securities Act of 1933, as amended (the “1933 Act”), to register the shares of Common Stock under the 1933 Act. The Participant acknowledges receipt of the Prospectus prepared by the Company in connection with the Registration Statement. Prior to conversion of the SSARs into shares of Common Stock, or exercise of any substituted option, the Participant shall execute and deliver to the Company such representations in writing as may be requested by the Company in order for it to comply with the applicable requirements of federal and state securities law.</w:t>
      </w:r>
    </w:p>
    <w:p>
      <w:pPr>
        <w:spacing w:after="0" w:line="207" w:lineRule="exact"/>
        <w:rPr>
          <w:rFonts w:ascii="Arial" w:cs="Arial" w:eastAsia="Arial" w:hAnsi="Arial"/>
          <w:sz w:val="20"/>
          <w:szCs w:val="20"/>
          <w:color w:val="auto"/>
        </w:rPr>
      </w:pPr>
    </w:p>
    <w:p>
      <w:pPr>
        <w:jc w:val="both"/>
        <w:ind w:firstLine="656"/>
        <w:spacing w:after="0"/>
        <w:tabs>
          <w:tab w:leader="none" w:pos="1157"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xml:space="preserve"> This Agreement, the Executive’s Agreement and the Plan constitute the entire understanding of the parties on the subjects covered. The Participant expressly warrants that 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the Participant’s obligations hereunder.</w:t>
      </w:r>
    </w:p>
    <w:p>
      <w:pPr>
        <w:spacing w:after="0" w:line="212" w:lineRule="exact"/>
        <w:rPr>
          <w:rFonts w:ascii="Arial" w:cs="Arial" w:eastAsia="Arial" w:hAnsi="Arial"/>
          <w:sz w:val="20"/>
          <w:szCs w:val="20"/>
          <w:color w:val="auto"/>
        </w:rPr>
      </w:pPr>
    </w:p>
    <w:p>
      <w:pPr>
        <w:ind w:left="1120" w:hanging="464"/>
        <w:spacing w:after="0"/>
        <w:tabs>
          <w:tab w:leader="none" w:pos="112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Section 409A</w:t>
      </w:r>
    </w:p>
    <w:p>
      <w:pPr>
        <w:spacing w:after="0" w:line="215" w:lineRule="exact"/>
        <w:rPr>
          <w:rFonts w:ascii="Arial" w:cs="Arial" w:eastAsia="Arial" w:hAnsi="Arial"/>
          <w:sz w:val="20"/>
          <w:szCs w:val="20"/>
          <w:color w:val="auto"/>
        </w:rPr>
      </w:pPr>
    </w:p>
    <w:p>
      <w:pPr>
        <w:jc w:val="both"/>
        <w:ind w:firstLine="1305"/>
        <w:spacing w:after="0"/>
        <w:tabs>
          <w:tab w:leader="none" w:pos="1783" w:val="left"/>
        </w:tabs>
        <w:numPr>
          <w:ilvl w:val="1"/>
          <w:numId w:val="34"/>
        </w:numPr>
        <w:rPr>
          <w:rFonts w:ascii="Arial" w:cs="Arial" w:eastAsia="Arial" w:hAnsi="Arial"/>
          <w:sz w:val="20"/>
          <w:szCs w:val="20"/>
          <w:color w:val="auto"/>
        </w:rPr>
      </w:pPr>
      <w:r>
        <w:rPr>
          <w:rFonts w:ascii="Arial" w:cs="Arial" w:eastAsia="Arial" w:hAnsi="Arial"/>
          <w:sz w:val="20"/>
          <w:szCs w:val="20"/>
          <w:color w:val="auto"/>
        </w:rPr>
        <w:t>It is intended that the SSARs awarded pursuant to this Agreement be exempt from Section 409A of the Code (“Section 409A”) because it is believed that (i) the compensation payable under each SSAR cannot be greater than the excess of the Fair Market Value of a share of Common Stock on the date the SSAR is exercised over the Conversion Price specified on the Grant Date, (ii) except as would not adversely affect the ability of the SSARs to be exempt from Section 409A, the Conversion Price for each SSAR can never be less than the Fair Market Value of a share of Common Stock on the Grant Date, and (iii) each SSAR does not include any feature for the deferral of compensation other than the deferral of recognition of income until the exercise of the SSAR. The provisions of this Agreement shall be interpreted in a manner consistent with this intention, and the provisions of this Agreement may not be amended, adjusted, assumed or substituted for, converted or otherwise modified without the Participant’s prior written consent if and to the extent that the Company believes that such amendment, adjustment, assumption or substitution, conversion or modification would cause the award to violate the requirements of Section 409A. In the event that either the Company or the Participant believes, at any time, that any benefit or right under this Agreement is subject to Section 409A, and does not comply with the requirements of Section 409A, it shall promptly advise the other and the Company and the Participant shall negotiate reasonably and in good faith to amend the terms of such benefits and rights, if such an amendment may be made in a commercially reasonable manner, such that they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09" w:right="2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comply with Section 409A with the most limited possible economic affect on the Participant and on the Company.</w:t>
      </w:r>
    </w:p>
    <w:p>
      <w:pPr>
        <w:spacing w:after="0" w:line="229" w:lineRule="exact"/>
        <w:rPr>
          <w:sz w:val="20"/>
          <w:szCs w:val="20"/>
          <w:color w:val="auto"/>
        </w:rPr>
      </w:pPr>
    </w:p>
    <w:p>
      <w:pPr>
        <w:jc w:val="both"/>
        <w:ind w:firstLine="1305"/>
        <w:spacing w:after="0"/>
        <w:tabs>
          <w:tab w:leader="none" w:pos="1854" w:val="left"/>
        </w:tabs>
        <w:numPr>
          <w:ilvl w:val="1"/>
          <w:numId w:val="35"/>
        </w:numPr>
        <w:rPr>
          <w:rFonts w:ascii="Arial" w:cs="Arial" w:eastAsia="Arial" w:hAnsi="Arial"/>
          <w:sz w:val="20"/>
          <w:szCs w:val="20"/>
          <w:color w:val="auto"/>
        </w:rPr>
      </w:pPr>
      <w:r>
        <w:rPr>
          <w:rFonts w:ascii="Arial" w:cs="Arial" w:eastAsia="Arial" w:hAnsi="Arial"/>
          <w:sz w:val="20"/>
          <w:szCs w:val="20"/>
          <w:color w:val="auto"/>
        </w:rPr>
        <w:t>Notwithstanding the foregoing, the Company does not make any representation to the Participant that the SSARs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213" w:lineRule="exact"/>
        <w:rPr>
          <w:rFonts w:ascii="Arial" w:cs="Arial" w:eastAsia="Arial" w:hAnsi="Arial"/>
          <w:sz w:val="20"/>
          <w:szCs w:val="20"/>
          <w:color w:val="auto"/>
        </w:rPr>
      </w:pPr>
    </w:p>
    <w:p>
      <w:pPr>
        <w:jc w:val="both"/>
        <w:ind w:firstLine="656"/>
        <w:spacing w:after="0" w:line="241" w:lineRule="auto"/>
        <w:tabs>
          <w:tab w:leader="none" w:pos="1238"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Stock Retention Policy</w:t>
      </w:r>
      <w:r>
        <w:rPr>
          <w:rFonts w:ascii="Arial" w:cs="Arial" w:eastAsia="Arial" w:hAnsi="Arial"/>
          <w:sz w:val="20"/>
          <w:szCs w:val="20"/>
          <w:color w:val="auto"/>
        </w:rPr>
        <w:t>. The Participant understands that the Committee has adopted a policy that requires the Participant to retain ownership of half (50%) of the shares of Common Stock acquired by Participant hereunder (net of the number of shares of Common Stock which would need to be sold to satisfy any applicable taxes owed upon conversion), for a period of three (3) years after issuance of such shares of Common Stock (or until the Participant’s employment with, and services for, the Company and its Subsidiaries terminates, if earlier). The Participant agrees to comply with such policy, and any modifications thereof that may be adopted by the Committee from time to time.</w:t>
      </w:r>
    </w:p>
    <w:p>
      <w:pPr>
        <w:spacing w:after="0" w:line="207" w:lineRule="exact"/>
        <w:rPr>
          <w:rFonts w:ascii="Arial" w:cs="Arial" w:eastAsia="Arial" w:hAnsi="Arial"/>
          <w:sz w:val="20"/>
          <w:szCs w:val="20"/>
          <w:color w:val="auto"/>
        </w:rPr>
      </w:pPr>
    </w:p>
    <w:p>
      <w:pPr>
        <w:jc w:val="both"/>
        <w:ind w:firstLine="656"/>
        <w:spacing w:after="0" w:line="243" w:lineRule="auto"/>
        <w:tabs>
          <w:tab w:leader="none" w:pos="1211"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Stock Ownership Policy</w:t>
      </w:r>
      <w:r>
        <w:rPr>
          <w:rFonts w:ascii="Arial" w:cs="Arial" w:eastAsia="Arial" w:hAnsi="Arial"/>
          <w:sz w:val="20"/>
          <w:szCs w:val="20"/>
          <w:color w:val="auto"/>
        </w:rPr>
        <w:t>. The Participant understands that the Committee has adopted a policy that requires the Participant to own a multiple of the Participant’s base salary, determined by leadership level, in Common Stock. The Participant agrees to comply with such policy and any modifications thereof that may be adopted by the Committee from time to time.</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executed this Agreement as of the Grant Date.</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WORLD FUEL SERVICES CORPORATION</w:t>
      </w:r>
    </w:p>
    <w:p>
      <w:pPr>
        <w:spacing w:after="0" w:line="351"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-7620</wp:posOffset>
            </wp:positionV>
            <wp:extent cx="9779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Name:</w:t>
      </w:r>
    </w:p>
    <w:p>
      <w:pPr>
        <w:spacing w:after="0" w:line="243"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40"/>
        <w:spacing w:after="0"/>
        <w:rPr>
          <w:sz w:val="20"/>
          <w:szCs w:val="20"/>
          <w:color w:val="auto"/>
        </w:rPr>
      </w:pPr>
      <w:r>
        <w:rPr>
          <w:rFonts w:ascii="Arial" w:cs="Arial" w:eastAsia="Arial" w:hAnsi="Arial"/>
          <w:sz w:val="20"/>
          <w:szCs w:val="20"/>
          <w:b w:val="1"/>
          <w:bCs w:val="1"/>
          <w:u w:val="single" w:color="auto"/>
          <w:color w:val="auto"/>
        </w:rPr>
        <w:t>PARTICIPANT</w:t>
      </w:r>
    </w:p>
    <w:p>
      <w:pPr>
        <w:spacing w:after="0" w:line="26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-22860</wp:posOffset>
            </wp:positionV>
            <wp:extent cx="838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0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 xml:space="preserve">Print Name: </w:t>
      </w:r>
      <w:r>
        <w:rPr>
          <w:rFonts w:ascii="Arial" w:cs="Arial" w:eastAsia="Arial" w:hAnsi="Arial"/>
          <w:sz w:val="20"/>
          <w:szCs w:val="20"/>
          <w:u w:val="single" w:color="auto"/>
          <w:color w:val="auto"/>
        </w:rPr>
        <w:t>Michael J. Kasbar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09"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color w:val="auto"/>
        </w:rPr>
        <w:t>Exhibit 10.18</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PERFORMANCE-BASED RESTRICTED STOCK UNIT GRANT AGREEMENT</w:t>
      </w:r>
    </w:p>
    <w:p>
      <w:pPr>
        <w:spacing w:after="0" w:line="229" w:lineRule="exact"/>
        <w:rPr>
          <w:sz w:val="20"/>
          <w:szCs w:val="20"/>
          <w:color w:val="auto"/>
        </w:rPr>
      </w:pPr>
    </w:p>
    <w:p>
      <w:pPr>
        <w:jc w:val="both"/>
        <w:ind w:firstLine="656"/>
        <w:spacing w:after="0" w:line="272" w:lineRule="auto"/>
        <w:tabs>
          <w:tab w:leader="none" w:pos="153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Grant of Award</w:t>
      </w:r>
      <w:r>
        <w:rPr>
          <w:rFonts w:ascii="Arial" w:cs="Arial" w:eastAsia="Arial" w:hAnsi="Arial"/>
          <w:sz w:val="20"/>
          <w:szCs w:val="20"/>
          <w:color w:val="auto"/>
        </w:rPr>
        <w:t>. World Fuel Services Corporation, a Florida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awarded to [●] (the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xml:space="preserve">”), effective as of </w:t>
      </w:r>
      <w:r>
        <w:rPr>
          <w:rFonts w:ascii="Arial" w:cs="Arial" w:eastAsia="Arial" w:hAnsi="Arial"/>
          <w:sz w:val="20"/>
          <w:szCs w:val="20"/>
          <w:u w:val="single" w:color="auto"/>
          <w:color w:val="auto"/>
        </w:rPr>
        <w:t>grant date</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a target award of [●] performance-based restricted stock units (the “</w:t>
      </w:r>
      <w:r>
        <w:rPr>
          <w:rFonts w:ascii="Arial" w:cs="Arial" w:eastAsia="Arial" w:hAnsi="Arial"/>
          <w:sz w:val="20"/>
          <w:szCs w:val="20"/>
          <w:b w:val="1"/>
          <w:bCs w:val="1"/>
          <w:i w:val="1"/>
          <w:iCs w:val="1"/>
          <w:color w:val="auto"/>
        </w:rPr>
        <w:t>PRSUs</w:t>
      </w:r>
      <w:r>
        <w:rPr>
          <w:rFonts w:ascii="Arial" w:cs="Arial" w:eastAsia="Arial" w:hAnsi="Arial"/>
          <w:sz w:val="20"/>
          <w:szCs w:val="20"/>
          <w:color w:val="auto"/>
        </w:rPr>
        <w:t>”) corresponding to the same number of shares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of the Company’s common stock, par value US $0.01 per share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The PRSUs have been granted under the Company’s 2006 Omnibus Plan, as amended and restated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herein for all purposes, and the grant of PRSUs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w:t>
      </w:r>
    </w:p>
    <w:p>
      <w:pPr>
        <w:spacing w:after="0" w:line="194" w:lineRule="exact"/>
        <w:rPr>
          <w:rFonts w:ascii="Arial" w:cs="Arial" w:eastAsia="Arial" w:hAnsi="Arial"/>
          <w:sz w:val="20"/>
          <w:szCs w:val="20"/>
          <w:color w:val="auto"/>
        </w:rPr>
      </w:pPr>
    </w:p>
    <w:p>
      <w:pPr>
        <w:jc w:val="both"/>
        <w:ind w:firstLine="656"/>
        <w:spacing w:after="0" w:line="242" w:lineRule="auto"/>
        <w:tabs>
          <w:tab w:leader="none" w:pos="1048"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and phrases used in this Agreement shall have the meaning set forth below. Capitalized terms used herein and not defined in this Agreement, shall have the meaning set forth in the Plan. Notwithstanding the foregoing, the definitions of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and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and “</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shall have the meanings set forth in the Employment Agreement (as defined below).</w:t>
      </w:r>
    </w:p>
    <w:p>
      <w:pPr>
        <w:spacing w:after="0" w:line="182" w:lineRule="exact"/>
        <w:rPr>
          <w:rFonts w:ascii="Arial" w:cs="Arial" w:eastAsia="Arial" w:hAnsi="Arial"/>
          <w:sz w:val="20"/>
          <w:szCs w:val="20"/>
          <w:color w:val="auto"/>
        </w:rPr>
      </w:pPr>
    </w:p>
    <w:p>
      <w:pPr>
        <w:ind w:left="1780" w:hanging="475"/>
        <w:spacing w:after="0"/>
        <w:tabs>
          <w:tab w:leader="none" w:pos="1780" w:val="left"/>
        </w:tabs>
        <w:numPr>
          <w:ilvl w:val="1"/>
          <w:numId w:val="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Committee of the Company.</w:t>
      </w:r>
    </w:p>
    <w:p>
      <w:pPr>
        <w:spacing w:after="0" w:line="215" w:lineRule="exact"/>
        <w:rPr>
          <w:rFonts w:ascii="Arial" w:cs="Arial" w:eastAsia="Arial" w:hAnsi="Arial"/>
          <w:sz w:val="20"/>
          <w:szCs w:val="20"/>
          <w:color w:val="auto"/>
        </w:rPr>
      </w:pPr>
    </w:p>
    <w:p>
      <w:pPr>
        <w:jc w:val="both"/>
        <w:ind w:firstLine="1305"/>
        <w:spacing w:after="0" w:line="247" w:lineRule="auto"/>
        <w:tabs>
          <w:tab w:leader="none" w:pos="1881" w:val="left"/>
        </w:tabs>
        <w:numPr>
          <w:ilvl w:val="1"/>
          <w:numId w:val="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xml:space="preserve">” means the date as soon as reasonably practicable following the date on which the Company’s audited financial statements with respect to fiscal year 20[●] are available, but in no event later than March 15, 20[●], as determined by the Committee, on which the Committee determines whether the Performance Goal has been achieved;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of a Change of Control in which the PRSUs are converted to Acquirer RSUs in accordance with Section 3(b)(i)(B), the Determination Date shall mean December 31, 20[●].</w:t>
      </w:r>
    </w:p>
    <w:p>
      <w:pPr>
        <w:spacing w:after="0" w:line="181" w:lineRule="exact"/>
        <w:rPr>
          <w:sz w:val="20"/>
          <w:szCs w:val="20"/>
          <w:color w:val="auto"/>
        </w:rPr>
      </w:pPr>
    </w:p>
    <w:p>
      <w:pPr>
        <w:jc w:val="both"/>
        <w:ind w:firstLine="1305"/>
        <w:spacing w:after="0" w:line="255" w:lineRule="auto"/>
        <w:tabs>
          <w:tab w:leader="none" w:pos="1881"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means the inability of the Participant, due to illness, accident or any other physical or mental incapacity, to perform his or her employment duties for the Company and its Subsidiaries (or any successor company) for an aggregate of one hundred eighty (180) days within any period of twelve (12) consecutive months.</w:t>
      </w:r>
    </w:p>
    <w:p>
      <w:pPr>
        <w:spacing w:after="0" w:line="171" w:lineRule="exact"/>
        <w:rPr>
          <w:rFonts w:ascii="Arial" w:cs="Arial" w:eastAsia="Arial" w:hAnsi="Arial"/>
          <w:sz w:val="20"/>
          <w:szCs w:val="20"/>
          <w:color w:val="auto"/>
        </w:rPr>
      </w:pPr>
    </w:p>
    <w:p>
      <w:pPr>
        <w:ind w:firstLine="1305"/>
        <w:spacing w:after="0" w:line="272" w:lineRule="auto"/>
        <w:tabs>
          <w:tab w:leader="none" w:pos="2017"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Employment Agreement</w:t>
      </w:r>
      <w:r>
        <w:rPr>
          <w:rFonts w:ascii="Arial" w:cs="Arial" w:eastAsia="Arial" w:hAnsi="Arial"/>
          <w:sz w:val="20"/>
          <w:szCs w:val="20"/>
          <w:color w:val="auto"/>
        </w:rPr>
        <w:t>” means any employment agreement or individual severance agreement or severance plan by and between the Company and the Participant, as in effect on the Grant Date.</w:t>
      </w:r>
    </w:p>
    <w:p>
      <w:pPr>
        <w:spacing w:after="0" w:line="153" w:lineRule="exact"/>
        <w:rPr>
          <w:rFonts w:ascii="Arial" w:cs="Arial" w:eastAsia="Arial" w:hAnsi="Arial"/>
          <w:sz w:val="20"/>
          <w:szCs w:val="20"/>
          <w:color w:val="auto"/>
        </w:rPr>
      </w:pPr>
    </w:p>
    <w:p>
      <w:pPr>
        <w:ind w:left="1780" w:hanging="475"/>
        <w:spacing w:after="0"/>
        <w:tabs>
          <w:tab w:leader="none" w:pos="17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means within the two (2) year period following a Change of Control:</w:t>
      </w:r>
    </w:p>
    <w:p>
      <w:pPr>
        <w:spacing w:after="0" w:line="239" w:lineRule="exact"/>
        <w:rPr>
          <w:rFonts w:ascii="Arial" w:cs="Arial" w:eastAsia="Arial" w:hAnsi="Arial"/>
          <w:sz w:val="20"/>
          <w:szCs w:val="20"/>
          <w:color w:val="auto"/>
        </w:rPr>
      </w:pPr>
    </w:p>
    <w:p>
      <w:pPr>
        <w:jc w:val="both"/>
        <w:ind w:left="660" w:firstLine="1293"/>
        <w:spacing w:after="0" w:line="241" w:lineRule="auto"/>
        <w:tabs>
          <w:tab w:leader="none" w:pos="2651"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assignment to the Participant of any duties inconsistent in any material respect with the Participant’s position (including status, title and reporting requirements), authority, duties or responsibilities or any other action by the successor company that results in a material diminution in such position, authority, duties or responsibilities, in each case as in effect immediately prior to the Change of Control, excluding for this purpose any action not taken in bad faith and which is remedied by the successor company promptly after notice thereof given by the Participant;</w:t>
      </w:r>
    </w:p>
    <w:p>
      <w:pPr>
        <w:spacing w:after="0" w:line="209" w:lineRule="exact"/>
        <w:rPr>
          <w:rFonts w:ascii="Arial" w:cs="Arial" w:eastAsia="Arial" w:hAnsi="Arial"/>
          <w:sz w:val="20"/>
          <w:szCs w:val="20"/>
          <w:color w:val="auto"/>
        </w:rPr>
      </w:pPr>
    </w:p>
    <w:p>
      <w:pPr>
        <w:ind w:left="660" w:firstLine="1293"/>
        <w:spacing w:after="0" w:line="247" w:lineRule="auto"/>
        <w:tabs>
          <w:tab w:leader="none" w:pos="2506" w:val="left"/>
        </w:tabs>
        <w:numPr>
          <w:ilvl w:val="1"/>
          <w:numId w:val="38"/>
        </w:numPr>
        <w:rPr>
          <w:rFonts w:ascii="Arial" w:cs="Arial" w:eastAsia="Arial" w:hAnsi="Arial"/>
          <w:sz w:val="20"/>
          <w:szCs w:val="20"/>
          <w:color w:val="auto"/>
        </w:rPr>
      </w:pPr>
      <w:r>
        <w:rPr>
          <w:rFonts w:ascii="Arial" w:cs="Arial" w:eastAsia="Arial" w:hAnsi="Arial"/>
          <w:sz w:val="20"/>
          <w:szCs w:val="20"/>
          <w:color w:val="auto"/>
        </w:rPr>
        <w:t>any reduction in, or failure to pay, the Participant’s base salary as in effect immediately prior to the Change of Control, other than a reduction or failure that is</w:t>
      </w:r>
    </w:p>
    <w:p>
      <w:pPr>
        <w:sectPr>
          <w:pgSz w:w="11900" w:h="16838" w:orient="portrait"/>
          <w:cols w:equalWidth="0" w:num="1">
            <w:col w:w="11420"/>
          </w:cols>
          <w:pgMar w:left="240" w:top="388" w:right="239" w:bottom="1440" w:gutter="0" w:footer="0" w:header="0"/>
        </w:sectPr>
      </w:pPr>
    </w:p>
    <w:bookmarkStart w:id="110" w:name="page111"/>
    <w:bookmarkEnd w:id="110"/>
    <w:p>
      <w:pPr>
        <w:ind w:left="660"/>
        <w:spacing w:after="0"/>
        <w:rPr>
          <w:sz w:val="20"/>
          <w:szCs w:val="20"/>
          <w:color w:val="auto"/>
        </w:rPr>
      </w:pPr>
      <w:r>
        <w:rPr>
          <w:rFonts w:ascii="Arial" w:cs="Arial" w:eastAsia="Arial" w:hAnsi="Arial"/>
          <w:sz w:val="20"/>
          <w:szCs w:val="20"/>
          <w:color w:val="auto"/>
        </w:rPr>
        <w:t>remedied by the successor company within 15 days after notice thereof given by the Participant; or</w:t>
      </w:r>
    </w:p>
    <w:p>
      <w:pPr>
        <w:spacing w:after="0" w:line="216" w:lineRule="exact"/>
        <w:rPr>
          <w:sz w:val="20"/>
          <w:szCs w:val="20"/>
          <w:color w:val="auto"/>
        </w:rPr>
      </w:pPr>
    </w:p>
    <w:p>
      <w:pPr>
        <w:jc w:val="both"/>
        <w:ind w:left="660" w:firstLine="1293"/>
        <w:spacing w:after="0" w:line="242" w:lineRule="auto"/>
        <w:tabs>
          <w:tab w:leader="none" w:pos="2496"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failure by the successor company to provide the Participant with bonus and equity opportunities, or employee benefits and perquisites in the aggregate, that are not less than those provided to the Participant in the calendar year immediately preceding the Change in Control, other than a failure not occurring in bad faith and that is remedied by the successor company within 15 days after receipt of notice thereof given by the Participant; or</w:t>
      </w:r>
    </w:p>
    <w:p>
      <w:pPr>
        <w:spacing w:after="0" w:line="206" w:lineRule="exact"/>
        <w:rPr>
          <w:rFonts w:ascii="Arial" w:cs="Arial" w:eastAsia="Arial" w:hAnsi="Arial"/>
          <w:sz w:val="20"/>
          <w:szCs w:val="20"/>
          <w:color w:val="auto"/>
        </w:rPr>
      </w:pPr>
    </w:p>
    <w:p>
      <w:pPr>
        <w:jc w:val="both"/>
        <w:ind w:left="660" w:firstLine="1293"/>
        <w:spacing w:after="0" w:line="262" w:lineRule="auto"/>
        <w:tabs>
          <w:tab w:leader="none" w:pos="2534"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successor company’s requiring the Participant to be based at any office or location that is more than 50 miles from the Participant’s principal place of employment immediately prior to the Change of Control, except for travel reasonably required in the performance of the Participant’s responsibilities, consistent with the Participant’s position.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Notwithstanding anything to the contrary contained herein, the Participant shall not be entitled to terminate employment and be eligible to vest in the Acquirer RSUs described in Section 3(b)(iii) of this Agreement as the result of the occurrence of any event of the foregoing events unless, within 90 days following the occurrence of such event, the Participant provides written notice to the successor company of the occurrence of such event, which notice sets forth the exact nature of the event and the conduct required to cure such event. The successor company will have 30 days from the receipt of such notice (such period, the </w:t>
      </w:r>
      <w:r>
        <w:rPr>
          <w:rFonts w:ascii="Arial" w:cs="Arial" w:eastAsia="Arial" w:hAnsi="Arial"/>
          <w:sz w:val="20"/>
          <w:szCs w:val="20"/>
          <w:b w:val="1"/>
          <w:bCs w:val="1"/>
          <w:i w:val="1"/>
          <w:iCs w:val="1"/>
          <w:color w:val="auto"/>
        </w:rPr>
        <w:t>“Cure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Period”</w:t>
      </w:r>
      <w:r>
        <w:rPr>
          <w:rFonts w:ascii="Arial" w:cs="Arial" w:eastAsia="Arial" w:hAnsi="Arial"/>
          <w:sz w:val="20"/>
          <w:szCs w:val="20"/>
          <w:color w:val="auto"/>
        </w:rPr>
        <w:t>) within which to cure the circumstances giving rise to Good Reason. If, during the Cure Period, such event is remedied,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then the Participant shall not be permitted to terminate employment and be eligible to vest in the Acquirer RSUs described in Section 3(b)(iii) of this Agreement as a result of such Good Reason. If, at the end of the Cure Period, the circumstances giving rise to Good Reason have not been remedied, the Participant shall be entitled to terminate employment as a result of such Good Reason during the 45 day period that follows the end of the Cure Period. If the Participant does not terminate employment during such 45 day period, the Participant shall not be permitted to terminate employment and be eligible to vest in the portion of the Acquirer RSUs described in Section 3(b)(iii) of this Agreement as a result of such event. For the avoidance of doubt, solely for purposes of this Agreement, this definition of Good Reason shall supersede any definition of Good Reason in the Participant’s Employment Agreement.</w:t>
      </w:r>
    </w:p>
    <w:p>
      <w:pPr>
        <w:spacing w:after="0" w:line="187" w:lineRule="exact"/>
        <w:rPr>
          <w:sz w:val="20"/>
          <w:szCs w:val="20"/>
          <w:color w:val="auto"/>
        </w:rPr>
      </w:pPr>
    </w:p>
    <w:p>
      <w:pPr>
        <w:ind w:left="1780" w:hanging="475"/>
        <w:spacing w:after="0"/>
        <w:tabs>
          <w:tab w:leader="none" w:pos="1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Measurement Period</w:t>
      </w:r>
      <w:r>
        <w:rPr>
          <w:rFonts w:ascii="Arial" w:cs="Arial" w:eastAsia="Arial" w:hAnsi="Arial"/>
          <w:sz w:val="20"/>
          <w:szCs w:val="20"/>
          <w:color w:val="auto"/>
        </w:rPr>
        <w:t>” means the three (3) year period from January 1, 20[●] through December 31, 20[●].</w:t>
      </w:r>
    </w:p>
    <w:p>
      <w:pPr>
        <w:spacing w:after="0" w:line="216" w:lineRule="exact"/>
        <w:rPr>
          <w:sz w:val="20"/>
          <w:szCs w:val="20"/>
          <w:color w:val="auto"/>
        </w:rPr>
      </w:pPr>
    </w:p>
    <w:p>
      <w:pPr>
        <w:ind w:firstLine="1305"/>
        <w:spacing w:after="0" w:line="272" w:lineRule="auto"/>
        <w:tabs>
          <w:tab w:leader="none" w:pos="1897" w:val="left"/>
        </w:tabs>
        <w:numPr>
          <w:ilvl w:val="1"/>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Goal</w:t>
      </w:r>
      <w:r>
        <w:rPr>
          <w:rFonts w:ascii="Arial" w:cs="Arial" w:eastAsia="Arial" w:hAnsi="Arial"/>
          <w:sz w:val="20"/>
          <w:szCs w:val="20"/>
          <w:color w:val="auto"/>
        </w:rPr>
        <w:t xml:space="preserve">” means the goal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the achievement of which determines the number of Shares, if any, that shall be issued pursuant to this Agreement.</w:t>
      </w:r>
    </w:p>
    <w:p>
      <w:pPr>
        <w:spacing w:after="0" w:line="153" w:lineRule="exact"/>
        <w:rPr>
          <w:rFonts w:ascii="Arial" w:cs="Arial" w:eastAsia="Arial" w:hAnsi="Arial"/>
          <w:sz w:val="20"/>
          <w:szCs w:val="20"/>
          <w:color w:val="auto"/>
        </w:rPr>
      </w:pPr>
    </w:p>
    <w:p>
      <w:pPr>
        <w:ind w:firstLine="1305"/>
        <w:spacing w:after="0" w:line="272" w:lineRule="auto"/>
        <w:tabs>
          <w:tab w:leader="none" w:pos="1908" w:val="left"/>
        </w:tabs>
        <w:numPr>
          <w:ilvl w:val="1"/>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xml:space="preserve"> means Section 409A of the U.S. Internal Revenue Code of 1986, as amended, and the Treasury Regulations thereunder.</w:t>
      </w:r>
    </w:p>
    <w:p>
      <w:pPr>
        <w:spacing w:after="0" w:line="153" w:lineRule="exact"/>
        <w:rPr>
          <w:rFonts w:ascii="Arial" w:cs="Arial" w:eastAsia="Arial" w:hAnsi="Arial"/>
          <w:sz w:val="20"/>
          <w:szCs w:val="20"/>
          <w:color w:val="auto"/>
        </w:rPr>
      </w:pPr>
    </w:p>
    <w:p>
      <w:pPr>
        <w:ind w:left="1860" w:hanging="555"/>
        <w:spacing w:after="0"/>
        <w:tabs>
          <w:tab w:leader="none" w:pos="1860" w:val="left"/>
        </w:tabs>
        <w:numPr>
          <w:ilvl w:val="1"/>
          <w:numId w:val="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means the date on which the Participant is no longer an employee of the Company or</w:t>
      </w:r>
    </w:p>
    <w:p>
      <w:pPr>
        <w:spacing w:after="0" w:line="2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any Subsidiary.</w:t>
      </w:r>
    </w:p>
    <w:p>
      <w:pPr>
        <w:spacing w:after="0" w:line="215" w:lineRule="exact"/>
        <w:rPr>
          <w:rFonts w:ascii="Arial" w:cs="Arial" w:eastAsia="Arial" w:hAnsi="Arial"/>
          <w:sz w:val="20"/>
          <w:szCs w:val="20"/>
          <w:color w:val="auto"/>
        </w:rPr>
      </w:pPr>
    </w:p>
    <w:p>
      <w:pPr>
        <w:jc w:val="both"/>
        <w:ind w:firstLine="656"/>
        <w:spacing w:after="0" w:line="243" w:lineRule="auto"/>
        <w:tabs>
          <w:tab w:leader="none" w:pos="1116"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Vesting and Forfeiture of Shares</w:t>
      </w:r>
      <w:r>
        <w:rPr>
          <w:rFonts w:ascii="Arial" w:cs="Arial" w:eastAsia="Arial" w:hAnsi="Arial"/>
          <w:sz w:val="20"/>
          <w:szCs w:val="20"/>
          <w:color w:val="auto"/>
        </w:rPr>
        <w:t>. (%2) (%3)On the Determination Date, the Company shall determine the extent to which the Performance Goal has been achieved. Subject to the provisions of this Section 3, the delivery of Shares with respect to the PRSUs is contingent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5" w:right="239" w:bottom="1440" w:gutter="0" w:footer="0" w:header="0"/>
        </w:sectPr>
      </w:pPr>
    </w:p>
    <w:bookmarkStart w:id="111" w:name="page112"/>
    <w:bookmarkEnd w:id="111"/>
    <w:p>
      <w:pPr>
        <w:jc w:val="both"/>
        <w:spacing w:after="0"/>
        <w:rPr>
          <w:sz w:val="20"/>
          <w:szCs w:val="20"/>
          <w:color w:val="auto"/>
        </w:rPr>
      </w:pPr>
      <w:r>
        <w:rPr>
          <w:rFonts w:ascii="Arial" w:cs="Arial" w:eastAsia="Arial" w:hAnsi="Arial"/>
          <w:sz w:val="20"/>
          <w:szCs w:val="20"/>
          <w:color w:val="auto"/>
        </w:rPr>
        <w:t>on the attainment of the Performance Goal and, except as otherwise set forth in this Section 3, all outstanding PRSUs will be immediately forfeited on the Determination Date unless the Company determines that the Performance Goal has been satisfied. Upon such determination by the Company and subject to the provisions of the Plan and this Agreement, the Participant shall have the right to payment of that percentage of the target amount of PRSUs as corresponds to the level of the Performance Goal achieved. Furthermore, except as otherwise provided in this Section 3, in order to be entitled to payment with respect to any PRSUs, the Participant must be employed by the Company or any Subsidiary on the Determination Date. Except as otherwise provided in this Section 3, there shall be no proportionate or partial vesting of the PRSUs prior to the Determination Date.</w:t>
      </w:r>
    </w:p>
    <w:p>
      <w:pPr>
        <w:spacing w:after="0" w:line="213" w:lineRule="exact"/>
        <w:rPr>
          <w:sz w:val="20"/>
          <w:szCs w:val="20"/>
          <w:color w:val="auto"/>
        </w:rPr>
      </w:pPr>
    </w:p>
    <w:p>
      <w:pPr>
        <w:jc w:val="both"/>
        <w:ind w:left="660" w:firstLine="1293"/>
        <w:spacing w:after="0" w:line="241" w:lineRule="auto"/>
        <w:tabs>
          <w:tab w:leader="none" w:pos="2516" w:val="left"/>
        </w:tabs>
        <w:numPr>
          <w:ilvl w:val="2"/>
          <w:numId w:val="43"/>
        </w:numPr>
        <w:rPr>
          <w:rFonts w:ascii="Arial" w:cs="Arial" w:eastAsia="Arial" w:hAnsi="Arial"/>
          <w:sz w:val="20"/>
          <w:szCs w:val="20"/>
          <w:color w:val="auto"/>
        </w:rPr>
      </w:pPr>
      <w:r>
        <w:rPr>
          <w:rFonts w:ascii="Arial" w:cs="Arial" w:eastAsia="Arial" w:hAnsi="Arial"/>
          <w:sz w:val="20"/>
          <w:szCs w:val="20"/>
          <w:color w:val="auto"/>
        </w:rPr>
        <w:t>The PRSUs are intended to qualify as “qualified performance-based compensation” under Section 162(m) of the Code. The Committee retains the sole and plenary discretion to make any adjustment permitted by Section 3.2 of the Plan or to reduce or eliminate the number of PRSUs in accordance with the terms of the Plan for any reason deemed appropriate by the Committee, even if the Performance Goal has been attained and without regard to the Employment Agreement or any other agreement between the Company and the Participant.</w:t>
      </w:r>
    </w:p>
    <w:p>
      <w:pPr>
        <w:spacing w:after="0" w:line="209" w:lineRule="exact"/>
        <w:rPr>
          <w:rFonts w:ascii="Arial" w:cs="Arial" w:eastAsia="Arial" w:hAnsi="Arial"/>
          <w:sz w:val="20"/>
          <w:szCs w:val="20"/>
          <w:color w:val="auto"/>
        </w:rPr>
      </w:pPr>
    </w:p>
    <w:p>
      <w:pPr>
        <w:jc w:val="both"/>
        <w:ind w:left="660" w:firstLine="1293"/>
        <w:spacing w:after="0" w:line="243" w:lineRule="auto"/>
        <w:tabs>
          <w:tab w:leader="none" w:pos="2654" w:val="left"/>
        </w:tabs>
        <w:numPr>
          <w:ilvl w:val="2"/>
          <w:numId w:val="43"/>
        </w:numPr>
        <w:rPr>
          <w:rFonts w:ascii="Arial" w:cs="Arial" w:eastAsia="Arial" w:hAnsi="Arial"/>
          <w:sz w:val="20"/>
          <w:szCs w:val="20"/>
          <w:color w:val="auto"/>
        </w:rPr>
      </w:pPr>
      <w:r>
        <w:rPr>
          <w:rFonts w:ascii="Arial" w:cs="Arial" w:eastAsia="Arial" w:hAnsi="Arial"/>
          <w:sz w:val="20"/>
          <w:szCs w:val="20"/>
          <w:color w:val="auto"/>
        </w:rPr>
        <w:t>The Participant expressly acknowledges that the terms of this Section 3 shall supersede any inconsistent provision in the Employment Agreement or any similar agreement between the Participant and the Company or any Subsidiary.</w:t>
      </w:r>
    </w:p>
    <w:p>
      <w:pPr>
        <w:spacing w:after="0" w:line="206" w:lineRule="exact"/>
        <w:rPr>
          <w:rFonts w:ascii="Arial" w:cs="Arial" w:eastAsia="Arial" w:hAnsi="Arial"/>
          <w:sz w:val="20"/>
          <w:szCs w:val="20"/>
          <w:color w:val="auto"/>
        </w:rPr>
      </w:pPr>
    </w:p>
    <w:p>
      <w:pPr>
        <w:ind w:right="20" w:firstLine="1305"/>
        <w:spacing w:after="0" w:line="247" w:lineRule="auto"/>
        <w:tabs>
          <w:tab w:leader="none" w:pos="1800"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vesting of the PRSUs (or, if applicable, Acquirer RSUs (as defined below)) shall be accelerated if and to the extent provided in this Section 3(b):</w:t>
      </w:r>
    </w:p>
    <w:p>
      <w:pPr>
        <w:spacing w:after="0" w:line="181" w:lineRule="exact"/>
        <w:rPr>
          <w:rFonts w:ascii="Arial" w:cs="Arial" w:eastAsia="Arial" w:hAnsi="Arial"/>
          <w:sz w:val="20"/>
          <w:szCs w:val="20"/>
          <w:color w:val="auto"/>
        </w:rPr>
      </w:pPr>
    </w:p>
    <w:p>
      <w:pPr>
        <w:ind w:left="2380" w:hanging="427"/>
        <w:spacing w:after="0"/>
        <w:tabs>
          <w:tab w:leader="none" w:pos="2380" w:val="left"/>
        </w:tabs>
        <w:numPr>
          <w:ilvl w:val="2"/>
          <w:numId w:val="44"/>
        </w:numPr>
        <w:rPr>
          <w:rFonts w:ascii="Arial" w:cs="Arial" w:eastAsia="Arial" w:hAnsi="Arial"/>
          <w:sz w:val="19"/>
          <w:szCs w:val="19"/>
          <w:color w:val="auto"/>
        </w:rPr>
      </w:pPr>
      <w:r>
        <w:rPr>
          <w:rFonts w:ascii="Arial" w:cs="Arial" w:eastAsia="Arial" w:hAnsi="Arial"/>
          <w:sz w:val="19"/>
          <w:szCs w:val="19"/>
          <w:i w:val="1"/>
          <w:iCs w:val="1"/>
          <w:color w:val="auto"/>
        </w:rPr>
        <w:t xml:space="preserve">Change of Control. </w:t>
      </w:r>
      <w:r>
        <w:rPr>
          <w:rFonts w:ascii="Arial" w:cs="Arial" w:eastAsia="Arial" w:hAnsi="Arial"/>
          <w:sz w:val="19"/>
          <w:szCs w:val="19"/>
          <w:color w:val="auto"/>
        </w:rPr>
        <w:t>(%3)Except as otherwise determined by the Company as set forth in Section 3(b)(i)</w:t>
      </w:r>
    </w:p>
    <w:p>
      <w:pPr>
        <w:spacing w:after="0" w:line="31" w:lineRule="exact"/>
        <w:rPr>
          <w:rFonts w:ascii="Arial" w:cs="Arial" w:eastAsia="Arial" w:hAnsi="Arial"/>
          <w:sz w:val="19"/>
          <w:szCs w:val="19"/>
          <w:color w:val="auto"/>
        </w:rPr>
      </w:pPr>
    </w:p>
    <w:p>
      <w:pPr>
        <w:jc w:val="both"/>
        <w:ind w:left="660" w:hanging="4"/>
        <w:spacing w:after="0" w:line="241" w:lineRule="auto"/>
        <w:tabs>
          <w:tab w:leader="none" w:pos="1021" w:val="left"/>
        </w:tabs>
        <w:numPr>
          <w:ilvl w:val="0"/>
          <w:numId w:val="45"/>
        </w:numPr>
        <w:rPr>
          <w:rFonts w:ascii="Arial" w:cs="Arial" w:eastAsia="Arial" w:hAnsi="Arial"/>
          <w:sz w:val="20"/>
          <w:szCs w:val="20"/>
          <w:color w:val="auto"/>
        </w:rPr>
      </w:pPr>
      <w:r>
        <w:rPr>
          <w:rFonts w:ascii="Arial" w:cs="Arial" w:eastAsia="Arial" w:hAnsi="Arial"/>
          <w:sz w:val="20"/>
          <w:szCs w:val="20"/>
          <w:color w:val="auto"/>
        </w:rPr>
        <w:t>hereof, in the event that a Change of Control occurs while the Participant is employed by the Company or any Subsidiary, the Participant shall immediately become fully vested and nonforfeitable upon the Change of Control in the PRSUs, with the number of Shares that will be delivered equal to the greater of target performance and actual performance as determined by the Committee in its reasonable discretion as of the most recent practicable date prior to the Change of Control.</w:t>
      </w:r>
    </w:p>
    <w:p>
      <w:pPr>
        <w:spacing w:after="0" w:line="236" w:lineRule="exact"/>
        <w:rPr>
          <w:sz w:val="20"/>
          <w:szCs w:val="20"/>
          <w:color w:val="auto"/>
        </w:rPr>
      </w:pPr>
    </w:p>
    <w:p>
      <w:pPr>
        <w:jc w:val="both"/>
        <w:ind w:left="1300" w:firstLine="653"/>
        <w:spacing w:after="0" w:line="266" w:lineRule="auto"/>
        <w:tabs>
          <w:tab w:leader="none" w:pos="2679" w:val="left"/>
        </w:tabs>
        <w:numPr>
          <w:ilvl w:val="0"/>
          <w:numId w:val="46"/>
        </w:numPr>
        <w:rPr>
          <w:rFonts w:ascii="Arial" w:cs="Arial" w:eastAsia="Arial" w:hAnsi="Arial"/>
          <w:sz w:val="22"/>
          <w:szCs w:val="22"/>
          <w:color w:val="auto"/>
        </w:rPr>
      </w:pPr>
      <w:r>
        <w:rPr>
          <w:rFonts w:ascii="Arial" w:cs="Arial" w:eastAsia="Arial" w:hAnsi="Arial"/>
          <w:sz w:val="20"/>
          <w:szCs w:val="20"/>
          <w:color w:val="auto"/>
        </w:rPr>
        <w:t xml:space="preserve">Notwithstanding Section 3(b)(i)(A) hereof, if in the event of a Change of Control the Company determines that the successor company shall assume or substitute the PRSUs as of the date of the Change of Control, then the vesting of the PRSUs that are assumed or substituted shall not be so accelerated as a result of such Change of Control;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the PRSUs are so assumed or substituted, the PRSUs shall no longer be subject to the Performance Goal and, instead a number of PRSUs shall convert to service-based restricted stock units as of the Change of Control based on the greater of target performance and actual performance as determined by the Committee in its reasonable discretion as of the most recent practicable date prior to the Change of Control. For this purpose, the PRSUs shall be considered assumed or substituted only if (1) the PRSUs that are assumed or substituted vest at the times that such PRSUs would vest pursuant to this Agreement (based solely on continued service) and (2) immediately following the Change of Control, the PRSUs confer the right to receive for each unvested PRSU held immediately prior to the Change of Control, the consideration (whether stock, cash or other securities or property) received by holders of Shares in the transaction constituting a Change of Control for each Share held on the effective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6" w:right="239" w:bottom="1440" w:gutter="0" w:footer="0" w:header="0"/>
        </w:sectPr>
      </w:pPr>
    </w:p>
    <w:bookmarkStart w:id="112" w:name="page113"/>
    <w:bookmarkEnd w:id="112"/>
    <w:p>
      <w:pPr>
        <w:jc w:val="both"/>
        <w:ind w:left="100"/>
        <w:spacing w:after="0" w:line="252" w:lineRule="auto"/>
        <w:rPr>
          <w:sz w:val="20"/>
          <w:szCs w:val="20"/>
          <w:color w:val="auto"/>
        </w:rPr>
      </w:pPr>
      <w:r>
        <w:rPr>
          <w:rFonts w:ascii="Arial" w:cs="Arial" w:eastAsia="Arial" w:hAnsi="Arial"/>
          <w:sz w:val="19"/>
          <w:szCs w:val="19"/>
          <w:color w:val="auto"/>
        </w:rPr>
        <w:t xml:space="preserve">date of such transaction (and if holders were offered a choice of consideration, the type of consideration chosen by the holders of a majority of the outstanding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consideration received in the transaction constituting a Change of Control is not solely common stock of the successor company or its parent or subsidiary, the Company may provide that the consideration to be received upon the vesting of any PRSU will be solely common stock of the successor company or its parent or subsidiary substantially equal in fair market value to the per share consideration received by holders of Shares in the transaction constituting a Change of Control. The determinations of (1) whether the PRSUs shall be assumed or substituted in accordance with this Section 3(b)(i)(B) or shall accelerate vesting in accordance with Section 3(b)(i)(A) hereof and (2) in the event that this Section 3(b)(i)</w:t>
      </w:r>
    </w:p>
    <w:p>
      <w:pPr>
        <w:spacing w:after="0" w:line="1" w:lineRule="exact"/>
        <w:rPr>
          <w:sz w:val="20"/>
          <w:szCs w:val="20"/>
          <w:color w:val="auto"/>
        </w:rPr>
      </w:pPr>
    </w:p>
    <w:p>
      <w:pPr>
        <w:jc w:val="both"/>
        <w:ind w:left="100" w:firstLine="5"/>
        <w:spacing w:after="0" w:line="241" w:lineRule="auto"/>
        <w:tabs>
          <w:tab w:leader="none" w:pos="444" w:val="left"/>
        </w:tabs>
        <w:numPr>
          <w:ilvl w:val="0"/>
          <w:numId w:val="47"/>
        </w:numPr>
        <w:rPr>
          <w:rFonts w:ascii="Arial" w:cs="Arial" w:eastAsia="Arial" w:hAnsi="Arial"/>
          <w:sz w:val="20"/>
          <w:szCs w:val="20"/>
          <w:color w:val="auto"/>
        </w:rPr>
      </w:pPr>
      <w:r>
        <w:rPr>
          <w:rFonts w:ascii="Arial" w:cs="Arial" w:eastAsia="Arial" w:hAnsi="Arial"/>
          <w:sz w:val="20"/>
          <w:szCs w:val="20"/>
          <w:color w:val="auto"/>
        </w:rPr>
        <w:t>is applicable, such substantial equality of value of consideration shall be made by the Committee in its sole discretion and its determinations shall be conclusive and binding. The award resulting from the assumption or substitution of the PRSUs by the successor company shall, except as otherwise provided in this Section 3(b), continue to vest after the Change of Control transaction based solely on the Participant’s continued employment with the successor company and its affiliates through the Determination Date, and shall be referred to hereafter as the “</w:t>
      </w:r>
      <w:r>
        <w:rPr>
          <w:rFonts w:ascii="Arial" w:cs="Arial" w:eastAsia="Arial" w:hAnsi="Arial"/>
          <w:sz w:val="20"/>
          <w:szCs w:val="20"/>
          <w:b w:val="1"/>
          <w:bCs w:val="1"/>
          <w:i w:val="1"/>
          <w:iCs w:val="1"/>
          <w:color w:val="auto"/>
        </w:rPr>
        <w:t>Acquirer RSUs</w:t>
      </w:r>
      <w:r>
        <w:rPr>
          <w:rFonts w:ascii="Arial" w:cs="Arial" w:eastAsia="Arial" w:hAnsi="Arial"/>
          <w:sz w:val="20"/>
          <w:szCs w:val="20"/>
          <w:color w:val="auto"/>
        </w:rPr>
        <w:t>”.</w:t>
      </w:r>
    </w:p>
    <w:p>
      <w:pPr>
        <w:spacing w:after="0" w:line="187" w:lineRule="exact"/>
        <w:rPr>
          <w:rFonts w:ascii="Arial" w:cs="Arial" w:eastAsia="Arial" w:hAnsi="Arial"/>
          <w:sz w:val="20"/>
          <w:szCs w:val="20"/>
          <w:color w:val="auto"/>
        </w:rPr>
      </w:pPr>
    </w:p>
    <w:p>
      <w:pPr>
        <w:jc w:val="both"/>
        <w:ind w:left="-540" w:firstLine="1293"/>
        <w:spacing w:after="0" w:line="256" w:lineRule="auto"/>
        <w:tabs>
          <w:tab w:leader="none" w:pos="1427" w:val="left"/>
        </w:tabs>
        <w:numPr>
          <w:ilvl w:val="1"/>
          <w:numId w:val="47"/>
        </w:numPr>
        <w:rPr>
          <w:rFonts w:ascii="Arial" w:cs="Arial" w:eastAsia="Arial" w:hAnsi="Arial"/>
          <w:sz w:val="19"/>
          <w:szCs w:val="19"/>
          <w:color w:val="auto"/>
        </w:rPr>
      </w:pPr>
      <w:r>
        <w:rPr>
          <w:rFonts w:ascii="Arial" w:cs="Arial" w:eastAsia="Arial" w:hAnsi="Arial"/>
          <w:sz w:val="19"/>
          <w:szCs w:val="19"/>
          <w:i w:val="1"/>
          <w:iCs w:val="1"/>
          <w:color w:val="auto"/>
        </w:rPr>
        <w:t>Death and Disability</w:t>
      </w:r>
      <w:r>
        <w:rPr>
          <w:rFonts w:ascii="Arial" w:cs="Arial" w:eastAsia="Arial" w:hAnsi="Arial"/>
          <w:sz w:val="19"/>
          <w:szCs w:val="19"/>
          <w:color w:val="auto"/>
        </w:rPr>
        <w:t>. In the event that the Participant’s employment with the Company and its</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Subsidiaries is terminated due to the Participant’s death or Disability (A) prior to a Change of Control and on or before the 18-month anniversary of the Grant Date, the Participant shall become immediately vested in the target number of PRSUs pro rated in accordance with Section 3(e) hereof, (B) prior to a Change of Control and following the 18-month anniversary of the Grant Date, the Participant shall become vested on the Determination Date in the number of PRSUs determined by the Committee following the end of the Measurement Period based on the extent to which the Performance Goal has been achieved and pro rated in accordance with Section 3(e) hereof, or (C) on or following a Change of Control, the Participant shall immediately vest upon the Termination Date in all outstanding Acquirer RSUs. Notwithstanding the foregoing sentence, in the event that a Change of Control occurs following the date that the Participant’s employment is terminated due to the Participant’s death or Disability following the 18-month anniversary of the Grant Date in accordance with Section 3(b)(ii)(B), the number of PRSUs shall be determined by the Committee in accordance with Section 3(b)(i) hereof and the Participant shall immediately vest in a pro rated portion of such PRSUs determined in accordance with Section 3(e) hereof.</w:t>
      </w:r>
    </w:p>
    <w:p>
      <w:pPr>
        <w:spacing w:after="0" w:line="174" w:lineRule="exact"/>
        <w:rPr>
          <w:rFonts w:ascii="Arial" w:cs="Arial" w:eastAsia="Arial" w:hAnsi="Arial"/>
          <w:sz w:val="19"/>
          <w:szCs w:val="19"/>
          <w:color w:val="auto"/>
        </w:rPr>
      </w:pPr>
    </w:p>
    <w:p>
      <w:pPr>
        <w:jc w:val="both"/>
        <w:ind w:left="-540" w:firstLine="1293"/>
        <w:spacing w:after="0" w:line="243" w:lineRule="auto"/>
        <w:tabs>
          <w:tab w:leader="none" w:pos="1323" w:val="left"/>
        </w:tabs>
        <w:numPr>
          <w:ilvl w:val="1"/>
          <w:numId w:val="47"/>
        </w:numPr>
        <w:rPr>
          <w:rFonts w:ascii="Arial" w:cs="Arial" w:eastAsia="Arial" w:hAnsi="Arial"/>
          <w:sz w:val="20"/>
          <w:szCs w:val="20"/>
          <w:color w:val="auto"/>
        </w:rPr>
      </w:pPr>
      <w:r>
        <w:rPr>
          <w:rFonts w:ascii="Arial" w:cs="Arial" w:eastAsia="Arial" w:hAnsi="Arial"/>
          <w:sz w:val="20"/>
          <w:szCs w:val="20"/>
          <w:i w:val="1"/>
          <w:iCs w:val="1"/>
          <w:color w:val="auto"/>
        </w:rPr>
        <w:t>Termination without Cause or for Good Reason</w:t>
      </w:r>
      <w:r>
        <w:rPr>
          <w:rFonts w:ascii="Arial" w:cs="Arial" w:eastAsia="Arial" w:hAnsi="Arial"/>
          <w:sz w:val="20"/>
          <w:szCs w:val="20"/>
          <w:color w:val="auto"/>
        </w:rPr>
        <w:t>. (%4)In the event that the Participant’s employment</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Company and its Subsidiaries is terminated by the Company and its Subsidiaries without Cause or by the Participant for Good Reason (1) prior to the Determination Date and prior to a Change of Control, the Participant shall become vested on the Determination Date in the number of PRSUs determined by the Committee following the end of the Measurement Period based on the extent to which the Performance Goal has been achieved and pro rated in accordance with Section 3(e) hereof, or (2) on or following a Change of Control, the Participant shall immediately vest upon the Termination Date in all outstanding Acquirer RSUs. Notwithstanding the foregoing sentence, in the event that a Change of Control occurs following the date that the Participant’s employment is terminated by the Company and its Subsidiaries without Cause or by the Participant for Good Reason prior to the Determination Date, the number of PRSUs</w:t>
      </w:r>
    </w:p>
    <w:p>
      <w:pPr>
        <w:spacing w:after="0" w:line="200" w:lineRule="exact"/>
        <w:rPr>
          <w:sz w:val="20"/>
          <w:szCs w:val="20"/>
          <w:color w:val="auto"/>
        </w:rPr>
      </w:pPr>
    </w:p>
    <w:p>
      <w:pPr>
        <w:spacing w:after="0" w:line="23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1440" w:top="636" w:right="239" w:bottom="1440" w:gutter="0" w:footer="0" w:header="0"/>
        </w:sectPr>
      </w:pPr>
    </w:p>
    <w:bookmarkStart w:id="113" w:name="page114"/>
    <w:bookmarkEnd w:id="113"/>
    <w:p>
      <w:pPr>
        <w:ind w:left="660"/>
        <w:spacing w:after="0" w:line="272" w:lineRule="auto"/>
        <w:rPr>
          <w:sz w:val="20"/>
          <w:szCs w:val="20"/>
          <w:color w:val="auto"/>
        </w:rPr>
      </w:pPr>
      <w:r>
        <w:rPr>
          <w:rFonts w:ascii="Arial" w:cs="Arial" w:eastAsia="Arial" w:hAnsi="Arial"/>
          <w:sz w:val="19"/>
          <w:szCs w:val="19"/>
          <w:color w:val="auto"/>
        </w:rPr>
        <w:t>shall be determined by the Committee in accordance with Section 3(b)(i) hereof, and the Participant shall immediately vest upon the Change of Control in a pro-rated portion of such PRSUs determined in accordance with Section 3(e) hereof.</w:t>
      </w:r>
    </w:p>
    <w:p>
      <w:pPr>
        <w:spacing w:after="0" w:line="207" w:lineRule="exact"/>
        <w:rPr>
          <w:sz w:val="20"/>
          <w:szCs w:val="20"/>
          <w:color w:val="auto"/>
        </w:rPr>
      </w:pPr>
    </w:p>
    <w:p>
      <w:pPr>
        <w:jc w:val="both"/>
        <w:ind w:left="1300" w:firstLine="653"/>
        <w:spacing w:after="0" w:line="274" w:lineRule="auto"/>
        <w:tabs>
          <w:tab w:leader="none" w:pos="2538" w:val="left"/>
        </w:tabs>
        <w:numPr>
          <w:ilvl w:val="3"/>
          <w:numId w:val="48"/>
        </w:numPr>
        <w:rPr>
          <w:rFonts w:ascii="Arial" w:cs="Arial" w:eastAsia="Arial" w:hAnsi="Arial"/>
          <w:sz w:val="21"/>
          <w:szCs w:val="21"/>
          <w:color w:val="auto"/>
        </w:rPr>
      </w:pPr>
      <w:r>
        <w:rPr>
          <w:rFonts w:ascii="Arial" w:cs="Arial" w:eastAsia="Arial" w:hAnsi="Arial"/>
          <w:sz w:val="19"/>
          <w:szCs w:val="19"/>
          <w:color w:val="auto"/>
        </w:rPr>
        <w:t>Notwithstanding the foregoing, the vesting set forth in Section 3(b)(iii)(A) hereof shall not occur and the PRSUs shall be forfeited if the Participant (1) engages in conduct prior to the Determination Date that constitutes a breach of the Participant’s covenants under the Employment Agreement or under this Agreement with respect to unfair competition, non-competition, non-solicitation, non-disparagement or cooperation or (2) to the</w:t>
      </w:r>
    </w:p>
    <w:p>
      <w:pPr>
        <w:spacing w:after="0" w:line="2" w:lineRule="exact"/>
        <w:rPr>
          <w:rFonts w:ascii="Arial" w:cs="Arial" w:eastAsia="Arial" w:hAnsi="Arial"/>
          <w:sz w:val="21"/>
          <w:szCs w:val="21"/>
          <w:color w:val="auto"/>
        </w:rPr>
      </w:pPr>
    </w:p>
    <w:p>
      <w:pPr>
        <w:jc w:val="both"/>
        <w:ind w:left="1300"/>
        <w:spacing w:after="0" w:line="271" w:lineRule="auto"/>
        <w:rPr>
          <w:rFonts w:ascii="Arial" w:cs="Arial" w:eastAsia="Arial" w:hAnsi="Arial"/>
          <w:sz w:val="21"/>
          <w:szCs w:val="21"/>
          <w:color w:val="auto"/>
        </w:rPr>
      </w:pPr>
      <w:r>
        <w:rPr>
          <w:rFonts w:ascii="Arial" w:cs="Arial" w:eastAsia="Arial" w:hAnsi="Arial"/>
          <w:sz w:val="19"/>
          <w:szCs w:val="19"/>
          <w:color w:val="auto"/>
        </w:rPr>
        <w:t xml:space="preserve">extent a release is contemplated by the Employment Agreement, fails to execute a full general release of all claims in favor of the Company and its affiliates as contemplated by such Employment Agreement. </w:t>
      </w:r>
      <w:r>
        <w:rPr>
          <w:rFonts w:ascii="Arial" w:cs="Arial" w:eastAsia="Arial" w:hAnsi="Arial"/>
          <w:sz w:val="19"/>
          <w:szCs w:val="19"/>
          <w:b w:val="1"/>
          <w:bCs w:val="1"/>
          <w:color w:val="auto"/>
        </w:rPr>
        <w:t>Nothing in this</w:t>
      </w:r>
    </w:p>
    <w:p>
      <w:pPr>
        <w:jc w:val="both"/>
        <w:ind w:left="1300"/>
        <w:spacing w:after="0" w:line="281" w:lineRule="auto"/>
        <w:rPr>
          <w:rFonts w:ascii="Arial" w:cs="Arial" w:eastAsia="Arial" w:hAnsi="Arial"/>
          <w:sz w:val="21"/>
          <w:szCs w:val="21"/>
          <w:color w:val="auto"/>
        </w:rPr>
      </w:pPr>
      <w:r>
        <w:rPr>
          <w:rFonts w:ascii="Arial" w:cs="Arial" w:eastAsia="Arial" w:hAnsi="Arial"/>
          <w:sz w:val="20"/>
          <w:szCs w:val="20"/>
          <w:b w:val="1"/>
          <w:bCs w:val="1"/>
          <w:color w:val="auto"/>
        </w:rPr>
        <w:t>Section 3 or this Agreement shall be deemed to limit or modify the non-competition, confidentiality or non-solicitation restrictions to which the Participant is already subject, which restrictions shall continue to be separately enforceable in accordance with their terms.</w:t>
      </w:r>
    </w:p>
    <w:p>
      <w:pPr>
        <w:spacing w:after="0" w:line="163" w:lineRule="exact"/>
        <w:rPr>
          <w:rFonts w:ascii="Arial" w:cs="Arial" w:eastAsia="Arial" w:hAnsi="Arial"/>
          <w:sz w:val="21"/>
          <w:szCs w:val="21"/>
          <w:color w:val="auto"/>
        </w:rPr>
      </w:pPr>
    </w:p>
    <w:p>
      <w:pPr>
        <w:jc w:val="both"/>
        <w:ind w:firstLine="1305"/>
        <w:spacing w:after="0" w:line="249" w:lineRule="auto"/>
        <w:tabs>
          <w:tab w:leader="none" w:pos="1803" w:val="left"/>
        </w:tabs>
        <w:numPr>
          <w:ilvl w:val="2"/>
          <w:numId w:val="49"/>
        </w:numPr>
        <w:rPr>
          <w:rFonts w:ascii="Arial" w:cs="Arial" w:eastAsia="Arial" w:hAnsi="Arial"/>
          <w:sz w:val="20"/>
          <w:szCs w:val="20"/>
          <w:color w:val="auto"/>
        </w:rPr>
      </w:pPr>
      <w:r>
        <w:rPr>
          <w:rFonts w:ascii="Arial" w:cs="Arial" w:eastAsia="Arial" w:hAnsi="Arial"/>
          <w:sz w:val="20"/>
          <w:szCs w:val="20"/>
          <w:i w:val="1"/>
          <w:iCs w:val="1"/>
          <w:color w:val="auto"/>
        </w:rPr>
        <w:t>Other Terminations of Employment</w:t>
      </w:r>
      <w:r>
        <w:rPr>
          <w:rFonts w:ascii="Arial" w:cs="Arial" w:eastAsia="Arial" w:hAnsi="Arial"/>
          <w:sz w:val="20"/>
          <w:szCs w:val="20"/>
          <w:color w:val="auto"/>
        </w:rPr>
        <w:t>. In the event that the Participant’s employment with the Company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 is terminated prior to the Determination Date for any reason other than the Participant’s death or Disability, or by the Company and its Subsidiaries without Cause or by the Participant for Good Reason, the Participant shall immediately forfeit all the PRSUs (or, if applicable, Acquirer RSUs) on the Termination Date.</w:t>
      </w:r>
    </w:p>
    <w:p>
      <w:pPr>
        <w:spacing w:after="0" w:line="180" w:lineRule="exact"/>
        <w:rPr>
          <w:rFonts w:ascii="Arial" w:cs="Arial" w:eastAsia="Arial" w:hAnsi="Arial"/>
          <w:sz w:val="20"/>
          <w:szCs w:val="20"/>
          <w:color w:val="auto"/>
        </w:rPr>
      </w:pPr>
    </w:p>
    <w:p>
      <w:pPr>
        <w:jc w:val="both"/>
        <w:ind w:firstLine="1305"/>
        <w:spacing w:after="0" w:line="249" w:lineRule="auto"/>
        <w:tabs>
          <w:tab w:leader="none" w:pos="1922" w:val="left"/>
        </w:tabs>
        <w:numPr>
          <w:ilvl w:val="2"/>
          <w:numId w:val="49"/>
        </w:numPr>
        <w:rPr>
          <w:rFonts w:ascii="Arial" w:cs="Arial" w:eastAsia="Arial" w:hAnsi="Arial"/>
          <w:sz w:val="20"/>
          <w:szCs w:val="20"/>
          <w:color w:val="auto"/>
        </w:rPr>
      </w:pPr>
      <w:r>
        <w:rPr>
          <w:rFonts w:ascii="Arial" w:cs="Arial" w:eastAsia="Arial" w:hAnsi="Arial"/>
          <w:sz w:val="20"/>
          <w:szCs w:val="20"/>
          <w:i w:val="1"/>
          <w:iCs w:val="1"/>
          <w:color w:val="auto"/>
        </w:rPr>
        <w:t>Transfers of Employment</w:t>
      </w:r>
      <w:r>
        <w:rPr>
          <w:rFonts w:ascii="Arial" w:cs="Arial" w:eastAsia="Arial" w:hAnsi="Arial"/>
          <w:sz w:val="20"/>
          <w:szCs w:val="20"/>
          <w:color w:val="auto"/>
        </w:rPr>
        <w:t>. Termination of employment with the Company (or, if applicable, the successor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180" w:lineRule="exact"/>
        <w:rPr>
          <w:rFonts w:ascii="Arial" w:cs="Arial" w:eastAsia="Arial" w:hAnsi="Arial"/>
          <w:sz w:val="20"/>
          <w:szCs w:val="20"/>
          <w:color w:val="auto"/>
        </w:rPr>
      </w:pPr>
    </w:p>
    <w:p>
      <w:pPr>
        <w:jc w:val="both"/>
        <w:ind w:firstLine="1305"/>
        <w:spacing w:after="0" w:line="245" w:lineRule="auto"/>
        <w:tabs>
          <w:tab w:leader="none" w:pos="1881" w:val="left"/>
        </w:tabs>
        <w:numPr>
          <w:ilvl w:val="2"/>
          <w:numId w:val="49"/>
        </w:numPr>
        <w:rPr>
          <w:rFonts w:ascii="Arial" w:cs="Arial" w:eastAsia="Arial" w:hAnsi="Arial"/>
          <w:sz w:val="20"/>
          <w:szCs w:val="20"/>
          <w:color w:val="auto"/>
        </w:rPr>
      </w:pPr>
      <w:r>
        <w:rPr>
          <w:rFonts w:ascii="Arial" w:cs="Arial" w:eastAsia="Arial" w:hAnsi="Arial"/>
          <w:sz w:val="20"/>
          <w:szCs w:val="20"/>
          <w:i w:val="1"/>
          <w:iCs w:val="1"/>
          <w:color w:val="auto"/>
        </w:rPr>
        <w:t>Pro-Ration of PRSUs</w:t>
      </w:r>
      <w:r>
        <w:rPr>
          <w:rFonts w:ascii="Arial" w:cs="Arial" w:eastAsia="Arial" w:hAnsi="Arial"/>
          <w:sz w:val="20"/>
          <w:szCs w:val="20"/>
          <w:color w:val="auto"/>
        </w:rPr>
        <w:t>. For purposes of clauses (b)(ii) and (b)(iii), the pro-rated portion of PRSUs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calculated by multiplying the number of PRSUs determined by the Committee based on the extent to which the Performance Goal has been achieved by a fraction, the numerator of which shall be the number of days that have elapsed between the Grant Date and the Termination Date and the denominator of which shall be the total number of days between the Grant Date and the Determination Date, which for this purpose shall be deemed to be March 15, 2019, and the remaining portion of such PRSUs, if any, shall be forfeited.</w:t>
      </w:r>
    </w:p>
    <w:p>
      <w:pPr>
        <w:spacing w:after="0" w:line="205" w:lineRule="exact"/>
        <w:rPr>
          <w:rFonts w:ascii="Arial" w:cs="Arial" w:eastAsia="Arial" w:hAnsi="Arial"/>
          <w:sz w:val="20"/>
          <w:szCs w:val="20"/>
          <w:color w:val="auto"/>
        </w:rPr>
      </w:pPr>
    </w:p>
    <w:p>
      <w:pPr>
        <w:jc w:val="both"/>
        <w:ind w:firstLine="656"/>
        <w:spacing w:after="0" w:line="242" w:lineRule="auto"/>
        <w:tabs>
          <w:tab w:leader="none" w:pos="1089"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The number of PRSUs (or, if applicable, Acquirer RSUs) are subject to adjustment by the Committee in the event of any increase or decrease in the number of issued Shares resulting from a subdivision or consolidation of the Common Stock or the payment of a stock dividend on Common Stock, or any other increase or decrease in the number of Shares effected without receipt or payment of consideration by the Company.</w:t>
      </w:r>
    </w:p>
    <w:p>
      <w:pPr>
        <w:spacing w:after="0" w:line="206" w:lineRule="exact"/>
        <w:rPr>
          <w:rFonts w:ascii="Arial" w:cs="Arial" w:eastAsia="Arial" w:hAnsi="Arial"/>
          <w:sz w:val="20"/>
          <w:szCs w:val="20"/>
          <w:color w:val="auto"/>
        </w:rPr>
      </w:pPr>
    </w:p>
    <w:p>
      <w:pPr>
        <w:ind w:left="1060" w:hanging="404"/>
        <w:spacing w:after="0"/>
        <w:tabs>
          <w:tab w:leader="none" w:pos="1060"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Settlement of Awards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39" w:lineRule="auto"/>
        <w:tabs>
          <w:tab w:leader="none" w:pos="1976" w:val="left"/>
        </w:tabs>
        <w:numPr>
          <w:ilvl w:val="2"/>
          <w:numId w:val="50"/>
        </w:numPr>
        <w:rPr>
          <w:rFonts w:ascii="Arial" w:cs="Arial" w:eastAsia="Arial" w:hAnsi="Arial"/>
          <w:sz w:val="20"/>
          <w:szCs w:val="20"/>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 xml:space="preserve">. The Company shall deliver the Shares corresponding to the vested PRSUs (or, if applicable, Acquirer RSUs) to the Participant within 30 days following the Determination Date, but in no event later than March 15 of the calendar year immediately following the calendar year in which the Determination Date occurs;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right="20" w:firstLine="8"/>
        <w:spacing w:after="0" w:line="247" w:lineRule="auto"/>
        <w:tabs>
          <w:tab w:leader="none" w:pos="259"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 the event of a Change of Control pursuant to which the PRSUs accelerate vesting in accordance with Section 3(b)(i)(A) hereof, the Company shall deliver Shares corresponding to vested PRSUs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6" w:right="23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color w:val="auto"/>
        </w:rPr>
        <w:t>to the Participant within 10 days following such Change of Control, (ii) in the event of the Participant’s termination of employment</w:t>
      </w:r>
    </w:p>
    <w:p>
      <w:pPr>
        <w:jc w:val="both"/>
        <w:ind w:firstLine="8"/>
        <w:spacing w:after="0" w:line="241" w:lineRule="auto"/>
        <w:tabs>
          <w:tab w:leader="none" w:pos="325" w:val="left"/>
        </w:tabs>
        <w:numPr>
          <w:ilvl w:val="0"/>
          <w:numId w:val="52"/>
        </w:numPr>
        <w:rPr>
          <w:rFonts w:ascii="Arial" w:cs="Arial" w:eastAsia="Arial" w:hAnsi="Arial"/>
          <w:sz w:val="20"/>
          <w:szCs w:val="20"/>
          <w:color w:val="auto"/>
        </w:rPr>
      </w:pPr>
      <w:r>
        <w:rPr>
          <w:rFonts w:ascii="Arial" w:cs="Arial" w:eastAsia="Arial" w:hAnsi="Arial"/>
          <w:sz w:val="20"/>
          <w:szCs w:val="20"/>
          <w:color w:val="auto"/>
        </w:rPr>
        <w:t>due to death or Disability on or prior to the 18-month anniversary of the Grant Date or following a Change of Control or (B) by the Company without Cause or by the Participant for Good Reason, in either case, following a Change of Control, the Company shall deliver the Shares corresponding to the vested Acquirer RSUs to the Participant within 30 days following such Termination Date. Notwithstanding any provision in this Agreement to the contrary, the PRSUs (or, if applicable, Acquirer RSUs) shall be settled no later than March 15 of the calendar year immediately following the year in which they are no longer subject to a substantial risk of forfeiture (within the meaning of Treasury Regulation Section 1.409A-1(d)).</w:t>
      </w:r>
    </w:p>
    <w:p>
      <w:pPr>
        <w:spacing w:after="0" w:line="207" w:lineRule="exact"/>
        <w:rPr>
          <w:rFonts w:ascii="Arial" w:cs="Arial" w:eastAsia="Arial" w:hAnsi="Arial"/>
          <w:sz w:val="20"/>
          <w:szCs w:val="20"/>
          <w:color w:val="auto"/>
        </w:rPr>
      </w:pPr>
    </w:p>
    <w:p>
      <w:pPr>
        <w:jc w:val="both"/>
        <w:ind w:firstLine="1305"/>
        <w:spacing w:after="0"/>
        <w:tabs>
          <w:tab w:leader="none" w:pos="2017" w:val="left"/>
        </w:tabs>
        <w:numPr>
          <w:ilvl w:val="2"/>
          <w:numId w:val="52"/>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By written notice to the Company’s Secretary, the Participant may designate a beneficiary or beneficiaries to whom any vested PRSUs (or, if applicable, Acquirer RSUs) and the Participant’s Cash Account (as defined below) shall be transferred upon the death of the Participant. In the absence of such designation, or if no designated beneficiary survives the Participant, such vested PRSUs (or, if applicable, Acquirer RSUs) and the Participant’s Cash Account shall be transferred to the legal representative of the Participant’s estate. No such transfer of the PRSUs (or, if applicable, Acquirer RSUs) shall be effective to bind the Company unless the Company shall have been furnished with (i) written notice thereof, (ii) a copy of the will and/or such evidence as the Company deems necessary to establish the validity of such transfer or right to convert and (iii) an executed agreement by the transferee, administrator, or executor (as applicable) to (A) comply with all the terms of this Agreement that are or would have been applicable to the Participant and (B) be bound by the acknowledgements made by the Participant in connection with this grant.</w:t>
      </w:r>
    </w:p>
    <w:p>
      <w:pPr>
        <w:spacing w:after="0" w:line="212" w:lineRule="exact"/>
        <w:rPr>
          <w:rFonts w:ascii="Arial" w:cs="Arial" w:eastAsia="Arial" w:hAnsi="Arial"/>
          <w:sz w:val="20"/>
          <w:szCs w:val="20"/>
          <w:color w:val="auto"/>
        </w:rPr>
      </w:pPr>
    </w:p>
    <w:p>
      <w:pPr>
        <w:jc w:val="both"/>
        <w:ind w:firstLine="1305"/>
        <w:spacing w:after="0" w:line="242" w:lineRule="auto"/>
        <w:tabs>
          <w:tab w:leader="none" w:pos="1803" w:val="left"/>
        </w:tabs>
        <w:numPr>
          <w:ilvl w:val="2"/>
          <w:numId w:val="52"/>
        </w:numPr>
        <w:rPr>
          <w:rFonts w:ascii="Arial" w:cs="Arial" w:eastAsia="Arial" w:hAnsi="Arial"/>
          <w:sz w:val="20"/>
          <w:szCs w:val="20"/>
          <w:color w:val="auto"/>
        </w:rPr>
      </w:pPr>
      <w:r>
        <w:rPr>
          <w:rFonts w:ascii="Arial" w:cs="Arial" w:eastAsia="Arial" w:hAnsi="Arial"/>
          <w:sz w:val="20"/>
          <w:szCs w:val="20"/>
          <w:u w:val="single" w:color="auto"/>
          <w:color w:val="auto"/>
        </w:rPr>
        <w:t>Settlement Conditioned Upon Satisfaction of Tax Obligations</w:t>
      </w:r>
      <w:r>
        <w:rPr>
          <w:rFonts w:ascii="Arial" w:cs="Arial" w:eastAsia="Arial" w:hAnsi="Arial"/>
          <w:sz w:val="20"/>
          <w:szCs w:val="20"/>
          <w:color w:val="auto"/>
        </w:rPr>
        <w:t>. Notwithstanding the foregoing, the Company’s obligation to deliver any consideration pursuant to this Section 5 shall be subject to, and conditioned upon, satisfaction of the Participant’s obligations relating to the applicable federal, state, local and foreign withholding or other taxes pursuant to Section 9 hereof.</w:t>
      </w:r>
    </w:p>
    <w:p>
      <w:pPr>
        <w:spacing w:after="0" w:line="206" w:lineRule="exact"/>
        <w:rPr>
          <w:rFonts w:ascii="Arial" w:cs="Arial" w:eastAsia="Arial" w:hAnsi="Arial"/>
          <w:sz w:val="20"/>
          <w:szCs w:val="20"/>
          <w:color w:val="auto"/>
        </w:rPr>
      </w:pPr>
    </w:p>
    <w:p>
      <w:pPr>
        <w:ind w:left="1060" w:hanging="404"/>
        <w:spacing w:after="0"/>
        <w:tabs>
          <w:tab w:leader="none" w:pos="1060" w:val="left"/>
        </w:tabs>
        <w:numPr>
          <w:ilvl w:val="1"/>
          <w:numId w:val="52"/>
        </w:numPr>
        <w:rPr>
          <w:rFonts w:ascii="Arial" w:cs="Arial" w:eastAsia="Arial" w:hAnsi="Arial"/>
          <w:sz w:val="20"/>
          <w:szCs w:val="20"/>
          <w:color w:val="auto"/>
        </w:rPr>
      </w:pPr>
      <w:r>
        <w:rPr>
          <w:rFonts w:ascii="Arial" w:cs="Arial" w:eastAsia="Arial" w:hAnsi="Arial"/>
          <w:sz w:val="20"/>
          <w:szCs w:val="20"/>
          <w:u w:val="single" w:color="auto"/>
          <w:color w:val="auto"/>
        </w:rPr>
        <w:t>Rights with Respect to Shares Represented by PRSUs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41" w:lineRule="auto"/>
        <w:tabs>
          <w:tab w:leader="none" w:pos="1800" w:val="left"/>
        </w:tabs>
        <w:numPr>
          <w:ilvl w:val="2"/>
          <w:numId w:val="53"/>
        </w:numPr>
        <w:rPr>
          <w:rFonts w:ascii="Arial" w:cs="Arial" w:eastAsia="Arial" w:hAnsi="Arial"/>
          <w:sz w:val="20"/>
          <w:szCs w:val="20"/>
          <w:color w:val="auto"/>
        </w:rPr>
      </w:pPr>
      <w:r>
        <w:rPr>
          <w:rFonts w:ascii="Arial" w:cs="Arial" w:eastAsia="Arial" w:hAnsi="Arial"/>
          <w:sz w:val="20"/>
          <w:szCs w:val="20"/>
          <w:u w:val="single" w:color="auto"/>
          <w:color w:val="auto"/>
        </w:rPr>
        <w:t>No Rights as Shareholder until Delivery</w:t>
      </w:r>
      <w:r>
        <w:rPr>
          <w:rFonts w:ascii="Arial" w:cs="Arial" w:eastAsia="Arial" w:hAnsi="Arial"/>
          <w:sz w:val="20"/>
          <w:szCs w:val="20"/>
          <w:color w:val="auto"/>
        </w:rPr>
        <w:t>. Except as otherwise provided in this Section 6,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 and the right to receive all dividends, if any, as may be declared on the Shares from time to time.</w:t>
      </w:r>
    </w:p>
    <w:p>
      <w:pPr>
        <w:spacing w:after="0" w:line="209" w:lineRule="exact"/>
        <w:rPr>
          <w:rFonts w:ascii="Arial" w:cs="Arial" w:eastAsia="Arial" w:hAnsi="Arial"/>
          <w:sz w:val="20"/>
          <w:szCs w:val="20"/>
          <w:color w:val="auto"/>
        </w:rPr>
      </w:pPr>
    </w:p>
    <w:p>
      <w:pPr>
        <w:ind w:left="1780" w:hanging="475"/>
        <w:spacing w:after="0"/>
        <w:tabs>
          <w:tab w:leader="none" w:pos="1780" w:val="left"/>
        </w:tabs>
        <w:numPr>
          <w:ilvl w:val="2"/>
          <w:numId w:val="53"/>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1293"/>
        <w:spacing w:after="0"/>
        <w:tabs>
          <w:tab w:leader="none" w:pos="2502" w:val="left"/>
        </w:tabs>
        <w:numPr>
          <w:ilvl w:val="3"/>
          <w:numId w:val="53"/>
        </w:numPr>
        <w:rPr>
          <w:rFonts w:ascii="Arial" w:cs="Arial" w:eastAsia="Arial" w:hAnsi="Arial"/>
          <w:sz w:val="20"/>
          <w:szCs w:val="20"/>
          <w:color w:val="auto"/>
        </w:rPr>
      </w:pPr>
      <w:r>
        <w:rPr>
          <w:rFonts w:ascii="Arial" w:cs="Arial" w:eastAsia="Arial" w:hAnsi="Arial"/>
          <w:sz w:val="20"/>
          <w:szCs w:val="20"/>
          <w:u w:val="single" w:color="auto"/>
          <w:color w:val="auto"/>
        </w:rPr>
        <w:t>Cash Dividends</w:t>
      </w:r>
      <w:r>
        <w:rPr>
          <w:rFonts w:ascii="Arial" w:cs="Arial" w:eastAsia="Arial" w:hAnsi="Arial"/>
          <w:sz w:val="20"/>
          <w:szCs w:val="20"/>
          <w:color w:val="auto"/>
        </w:rPr>
        <w:t>. As of each date on which the Company pays a cash dividend with respect to its Shares, the Company shall credit to a bookkeeping account (the “</w:t>
      </w:r>
      <w:r>
        <w:rPr>
          <w:rFonts w:ascii="Arial" w:cs="Arial" w:eastAsia="Arial" w:hAnsi="Arial"/>
          <w:sz w:val="20"/>
          <w:szCs w:val="20"/>
          <w:b w:val="1"/>
          <w:bCs w:val="1"/>
          <w:i w:val="1"/>
          <w:iCs w:val="1"/>
          <w:color w:val="auto"/>
        </w:rPr>
        <w:t>Cash Account</w:t>
      </w:r>
      <w:r>
        <w:rPr>
          <w:rFonts w:ascii="Arial" w:cs="Arial" w:eastAsia="Arial" w:hAnsi="Arial"/>
          <w:sz w:val="20"/>
          <w:szCs w:val="20"/>
          <w:color w:val="auto"/>
        </w:rPr>
        <w:t>”) for the Participant an amount equal to the cash dividend that would have been payable with respect to the Shares corresponding to the PRSUs (or, if applicable, shares corresponding to Acquirer RSUs). Upon the vesting of any PRSUs hereunder (or, if applicable, Acquirer RSUs), the Participant shall vest in and have the right to receive that portion of the Cash Account which relates to any such vested PRSUs (or, if applicable, Acquirer RSUs). The value of the Participant’s Cash Account shall vest and be distributable to the Participant at the same time as the Shares corresponding to the vested PRSUs (or, if applicable, the consideration corresponding to Acquirer RSUs) are distributed to the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35" w:right="239" w:bottom="1440" w:gutter="0" w:footer="0" w:header="0"/>
        </w:sectPr>
      </w:pPr>
    </w:p>
    <w:bookmarkStart w:id="115" w:name="page116"/>
    <w:bookmarkEnd w:id="115"/>
    <w:p>
      <w:pPr>
        <w:jc w:val="both"/>
        <w:ind w:left="660"/>
        <w:spacing w:after="0" w:line="243" w:lineRule="auto"/>
        <w:rPr>
          <w:sz w:val="20"/>
          <w:szCs w:val="20"/>
          <w:color w:val="auto"/>
        </w:rPr>
      </w:pPr>
      <w:r>
        <w:rPr>
          <w:rFonts w:ascii="Arial" w:cs="Arial" w:eastAsia="Arial" w:hAnsi="Arial"/>
          <w:sz w:val="20"/>
          <w:szCs w:val="20"/>
          <w:color w:val="auto"/>
        </w:rPr>
        <w:t>Participant. For the avoidance of doubt, if, on the Determination Date, the Company determines that the Performance Goal has not been achieved and the PRSUs are forfeited pursuant to Section 3(a)(i) hereof, the Participant’s Cash Account will be immediately forfeited, along with the PRSUs, on the Determination Date.</w:t>
      </w:r>
    </w:p>
    <w:p>
      <w:pPr>
        <w:spacing w:after="0" w:line="206" w:lineRule="exact"/>
        <w:rPr>
          <w:sz w:val="20"/>
          <w:szCs w:val="20"/>
          <w:color w:val="auto"/>
        </w:rPr>
      </w:pPr>
    </w:p>
    <w:p>
      <w:pPr>
        <w:jc w:val="both"/>
        <w:ind w:left="660" w:firstLine="1293"/>
        <w:spacing w:after="0" w:line="241" w:lineRule="auto"/>
        <w:tabs>
          <w:tab w:leader="none" w:pos="2506" w:val="left"/>
        </w:tabs>
        <w:numPr>
          <w:ilvl w:val="2"/>
          <w:numId w:val="54"/>
        </w:numPr>
        <w:rPr>
          <w:rFonts w:ascii="Arial" w:cs="Arial" w:eastAsia="Arial" w:hAnsi="Arial"/>
          <w:sz w:val="20"/>
          <w:szCs w:val="20"/>
          <w:color w:val="auto"/>
        </w:rPr>
      </w:pPr>
      <w:r>
        <w:rPr>
          <w:rFonts w:ascii="Arial" w:cs="Arial" w:eastAsia="Arial" w:hAnsi="Arial"/>
          <w:sz w:val="20"/>
          <w:szCs w:val="20"/>
          <w:u w:val="single" w:color="auto"/>
          <w:color w:val="auto"/>
        </w:rPr>
        <w:t>Stock Dividends</w:t>
      </w:r>
      <w:r>
        <w:rPr>
          <w:rFonts w:ascii="Arial" w:cs="Arial" w:eastAsia="Arial" w:hAnsi="Arial"/>
          <w:sz w:val="20"/>
          <w:szCs w:val="20"/>
          <w:color w:val="auto"/>
        </w:rPr>
        <w:t>. As of each date on which the Company pays a stock dividend with respect to its Shares, the Shares corresponding to the PRSUs shall be increased by the stock dividend that would have been payable with respect to the Shares that correspond to the PRSUs, and shall be subject to the same vesting requirements as the PRSUs to which they relate and, to the extent earned and vested, shall be distributed at the same time as the Shares corresponding to the vested PRSUs are distributed.</w:t>
      </w:r>
    </w:p>
    <w:p>
      <w:pPr>
        <w:spacing w:after="0" w:line="209" w:lineRule="exact"/>
        <w:rPr>
          <w:rFonts w:ascii="Arial" w:cs="Arial" w:eastAsia="Arial" w:hAnsi="Arial"/>
          <w:sz w:val="20"/>
          <w:szCs w:val="20"/>
          <w:color w:val="auto"/>
        </w:rPr>
      </w:pPr>
    </w:p>
    <w:p>
      <w:pPr>
        <w:ind w:firstLine="656"/>
        <w:spacing w:after="0" w:line="247" w:lineRule="auto"/>
        <w:tabs>
          <w:tab w:leader="none" w:pos="1143"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Transfers</w:t>
      </w:r>
      <w:r>
        <w:rPr>
          <w:rFonts w:ascii="Arial" w:cs="Arial" w:eastAsia="Arial" w:hAnsi="Arial"/>
          <w:sz w:val="20"/>
          <w:szCs w:val="20"/>
          <w:color w:val="auto"/>
        </w:rPr>
        <w:t>. The Participant may not, directly or indirectly, sell, pledge or otherwise transfer any PRSUs or Acquirer RSUs or any rights with respect to the Cash Account.</w:t>
      </w:r>
    </w:p>
    <w:p>
      <w:pPr>
        <w:spacing w:after="0" w:line="201" w:lineRule="exact"/>
        <w:rPr>
          <w:rFonts w:ascii="Arial" w:cs="Arial" w:eastAsia="Arial" w:hAnsi="Arial"/>
          <w:sz w:val="20"/>
          <w:szCs w:val="20"/>
          <w:color w:val="auto"/>
        </w:rPr>
      </w:pPr>
    </w:p>
    <w:p>
      <w:pPr>
        <w:jc w:val="both"/>
        <w:ind w:firstLine="656"/>
        <w:spacing w:after="0" w:line="241" w:lineRule="auto"/>
        <w:tabs>
          <w:tab w:leader="none" w:pos="1278"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Registration Statement</w:t>
      </w:r>
      <w:r>
        <w:rPr>
          <w:rFonts w:ascii="Arial" w:cs="Arial" w:eastAsia="Arial" w:hAnsi="Arial"/>
          <w:sz w:val="20"/>
          <w:szCs w:val="20"/>
          <w:color w:val="auto"/>
        </w:rPr>
        <w:t>. The Participant acknowledges and agrees that the Company has filed a Registration Statement on Form S-8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under the Securities Act of 1933, as amended (the “</w:t>
      </w:r>
      <w:r>
        <w:rPr>
          <w:rFonts w:ascii="Arial" w:cs="Arial" w:eastAsia="Arial" w:hAnsi="Arial"/>
          <w:sz w:val="20"/>
          <w:szCs w:val="20"/>
          <w:b w:val="1"/>
          <w:bCs w:val="1"/>
          <w:i w:val="1"/>
          <w:iCs w:val="1"/>
          <w:color w:val="auto"/>
        </w:rPr>
        <w:t>1933 Act</w:t>
      </w:r>
      <w:r>
        <w:rPr>
          <w:rFonts w:ascii="Arial" w:cs="Arial" w:eastAsia="Arial" w:hAnsi="Arial"/>
          <w:sz w:val="20"/>
          <w:szCs w:val="20"/>
          <w:color w:val="auto"/>
        </w:rPr>
        <w:t>”), to register the Shares under the 1933 Act. The Participant acknowledges receipt of the Prospectus prepared by the Company in connection with the Registration Statement. Prior to conversion of the PRSUs into Shares, the Participant shall execute and deliver to the Company such representations in writing as may be requested by the Company in order for it to comply with the applicable requirements of federal and state securities law.</w:t>
      </w:r>
    </w:p>
    <w:p>
      <w:pPr>
        <w:spacing w:after="0" w:line="207" w:lineRule="exact"/>
        <w:rPr>
          <w:rFonts w:ascii="Arial" w:cs="Arial" w:eastAsia="Arial" w:hAnsi="Arial"/>
          <w:sz w:val="20"/>
          <w:szCs w:val="20"/>
          <w:color w:val="auto"/>
        </w:rPr>
      </w:pPr>
    </w:p>
    <w:p>
      <w:pPr>
        <w:ind w:left="1060" w:hanging="404"/>
        <w:spacing w:after="0"/>
        <w:tabs>
          <w:tab w:leader="none" w:pos="106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Taxes; Potential Forfeiture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41" w:lineRule="auto"/>
        <w:tabs>
          <w:tab w:leader="none" w:pos="1841"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Payment of Taxes</w:t>
      </w:r>
      <w:r>
        <w:rPr>
          <w:rFonts w:ascii="Arial" w:cs="Arial" w:eastAsia="Arial" w:hAnsi="Arial"/>
          <w:sz w:val="20"/>
          <w:szCs w:val="20"/>
          <w:color w:val="auto"/>
        </w:rPr>
        <w:t>. On or prior to the date on which any Shares corresponding to any vested PRSUs (or, if applicable, consideration corresponding to Acquirer RSUs) are delivered or the Participant’s vested Cash Account is paid, the Participant shall remit to the Company an amount sufficient to satisfy any applicable federal, state, local and foreign withholding or other taxes. No certificate for any Shares corresponding to any PRSUs (or, if applicable, consideration corresponding to Acquirer RSUs) that have vested, uncertificated shares or any cash attributable to the Participant’s Cash Account, shall be delivered or paid to the Participant until the foregoing obligation has been satisfied.</w:t>
      </w:r>
    </w:p>
    <w:p>
      <w:pPr>
        <w:spacing w:after="0" w:line="207" w:lineRule="exact"/>
        <w:rPr>
          <w:rFonts w:ascii="Arial" w:cs="Arial" w:eastAsia="Arial" w:hAnsi="Arial"/>
          <w:sz w:val="20"/>
          <w:szCs w:val="20"/>
          <w:color w:val="auto"/>
        </w:rPr>
      </w:pPr>
    </w:p>
    <w:p>
      <w:pPr>
        <w:jc w:val="both"/>
        <w:ind w:firstLine="1305"/>
        <w:spacing w:after="0"/>
        <w:tabs>
          <w:tab w:leader="none" w:pos="1773"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Alternative Payment Methods and Company Rights</w:t>
      </w:r>
      <w:r>
        <w:rPr>
          <w:rFonts w:ascii="Arial" w:cs="Arial" w:eastAsia="Arial" w:hAnsi="Arial"/>
          <w:sz w:val="20"/>
          <w:szCs w:val="20"/>
          <w:color w:val="auto"/>
        </w:rPr>
        <w:t>. The Company may, at its option, permit the Participant to satisfy his or her obligations under this Section 9, by tendering to the Company a portion of the Shares (or, if applicable, consideration corresponding to Acquirer RSUs) that otherwise would be delivered to the Participant pursuant to the PRSU (or, if applicable, Acquirer RSUs). In the event that the Participant fails to satisfy his or her obligations under this Section 9,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(2) selling all or a portion of the Shares underlying the PRSUs (or, if applicable, consideration underlying Acquirer RSUs) in the open market or (3) withholding and canceling all or a portion of the Shares corresponding to the vested PRSUs (or, if applicable, consideration corresponding to Acquirer RSUs). Any acquisition of Shares corresponding to PRSUs (or, if applicable, consideration corresponding to Acquirer RSUs) by the Company as contemplated hereby is expressly approved by the Committee as part of the approval of this Agreement.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36" w:right="239" w:bottom="1440" w:gutter="0" w:footer="0" w:header="0"/>
        </w:sectPr>
      </w:pPr>
    </w:p>
    <w:bookmarkStart w:id="116" w:name="page117"/>
    <w:bookmarkEnd w:id="116"/>
    <w:p>
      <w:pPr>
        <w:jc w:val="both"/>
        <w:ind w:firstLine="1305"/>
        <w:spacing w:after="0"/>
        <w:tabs>
          <w:tab w:leader="none" w:pos="1924"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Forfeiture for Failure to Pay Taxes</w:t>
      </w:r>
      <w:r>
        <w:rPr>
          <w:rFonts w:ascii="Arial" w:cs="Arial" w:eastAsia="Arial" w:hAnsi="Arial"/>
          <w:sz w:val="20"/>
          <w:szCs w:val="20"/>
          <w:color w:val="auto"/>
        </w:rPr>
        <w:t>. If and to the extent that (i) the Participant fails to satisfy his or her obligations under this Section 9 and (ii) the Company does not exercise its right to satisfy those obligations under Section 9(b) hereof with respect to any PRSUs (or, if applicable, Acquirer RSUs) or any portion of the vested Cash Account within 30 days after the date on which the Shares corresponding to the vested PRSUs (or, if applicable, consideration corresponding to Acquirer RSUs) or vested Cash Account otherwise would be delivered pursuant to Sections 5 and 6(b) hereof, as applicable, the Participant shall immediately forfeit any rights with respect to the portion of the PRSUs (or, if applicable, Acquirer RSUs) or vested Cash Account to which such failure relates.</w:t>
      </w:r>
    </w:p>
    <w:p>
      <w:pPr>
        <w:spacing w:after="0" w:line="213" w:lineRule="exact"/>
        <w:rPr>
          <w:rFonts w:ascii="Arial" w:cs="Arial" w:eastAsia="Arial" w:hAnsi="Arial"/>
          <w:sz w:val="20"/>
          <w:szCs w:val="20"/>
          <w:color w:val="auto"/>
        </w:rPr>
      </w:pPr>
    </w:p>
    <w:p>
      <w:pPr>
        <w:jc w:val="both"/>
        <w:ind w:firstLine="656"/>
        <w:spacing w:after="0"/>
        <w:tabs>
          <w:tab w:leader="none" w:pos="1307"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Stock Retention Policy</w:t>
      </w:r>
      <w:r>
        <w:rPr>
          <w:rFonts w:ascii="Arial" w:cs="Arial" w:eastAsia="Arial" w:hAnsi="Arial"/>
          <w:sz w:val="20"/>
          <w:szCs w:val="20"/>
          <w:color w:val="auto"/>
        </w:rPr>
        <w:t>. The Participant understands that the Committee has adopted a policy that requires the Participant to retain ownership of one-half (50%) of the Shares underlying the PRSUs acquired by the Participant hereunder (net of the number of Shares that the Company determines to withhold or that the Participant is permitted to tender, in each case, pursuant to Section 9 hereof to satisfy applicable tax withholding requirements), for a period of three (3) years after vesting of such PRSUs (or until the Participant’s employment with, and services for, the Company and its Subsidiaries terminates, if earlier). The Participant agrees to comply with such policy and any modifications thereof that may be adopted by the Committee from time to time.</w:t>
      </w:r>
    </w:p>
    <w:p>
      <w:pPr>
        <w:spacing w:after="0" w:line="213" w:lineRule="exact"/>
        <w:rPr>
          <w:sz w:val="20"/>
          <w:szCs w:val="20"/>
          <w:color w:val="auto"/>
        </w:rPr>
      </w:pPr>
    </w:p>
    <w:p>
      <w:pPr>
        <w:jc w:val="both"/>
        <w:ind w:firstLine="656"/>
        <w:spacing w:after="0" w:line="243" w:lineRule="auto"/>
        <w:tabs>
          <w:tab w:leader="none" w:pos="1197"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Stock Ownership Policy</w:t>
      </w:r>
      <w:r>
        <w:rPr>
          <w:rFonts w:ascii="Arial" w:cs="Arial" w:eastAsia="Arial" w:hAnsi="Arial"/>
          <w:sz w:val="20"/>
          <w:szCs w:val="20"/>
          <w:color w:val="auto"/>
        </w:rPr>
        <w:t>. The Participant understands that the Committee has adopted a policy that requires the Participant to own a multiple of the Participant’s base salary, determined by leadership level, in Shares. The Participant agrees to comply with such policy and any modifications thereof that may be adopted by the Committee from time to time.</w:t>
      </w:r>
    </w:p>
    <w:p>
      <w:pPr>
        <w:spacing w:after="0" w:line="206" w:lineRule="exact"/>
        <w:rPr>
          <w:sz w:val="20"/>
          <w:szCs w:val="20"/>
          <w:color w:val="auto"/>
        </w:rPr>
      </w:pPr>
    </w:p>
    <w:p>
      <w:pPr>
        <w:jc w:val="both"/>
        <w:ind w:firstLine="656"/>
        <w:spacing w:after="0"/>
        <w:tabs>
          <w:tab w:leader="none" w:pos="1442"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No Effect on Employment</w:t>
      </w:r>
      <w:r>
        <w:rPr>
          <w:rFonts w:ascii="Arial" w:cs="Arial" w:eastAsia="Arial" w:hAnsi="Arial"/>
          <w:sz w:val="20"/>
          <w:szCs w:val="20"/>
          <w:color w:val="auto"/>
        </w:rPr>
        <w:t>. Except as otherwise provided in the Participant’s Employment Agreement, the Participant’s employment with the Company and any Subsidiary is on an at-will basis only. Accordingly, subject to the terms of such Employment Agreement,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213" w:lineRule="exact"/>
        <w:rPr>
          <w:rFonts w:ascii="Arial" w:cs="Arial" w:eastAsia="Arial" w:hAnsi="Arial"/>
          <w:sz w:val="20"/>
          <w:szCs w:val="20"/>
          <w:color w:val="auto"/>
        </w:rPr>
      </w:pPr>
    </w:p>
    <w:p>
      <w:pPr>
        <w:jc w:val="both"/>
        <w:ind w:firstLine="656"/>
        <w:spacing w:after="0" w:line="243" w:lineRule="auto"/>
        <w:tabs>
          <w:tab w:leader="none" w:pos="1199"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Other Benefits</w:t>
      </w:r>
      <w:r>
        <w:rPr>
          <w:rFonts w:ascii="Arial" w:cs="Arial" w:eastAsia="Arial" w:hAnsi="Arial"/>
          <w:sz w:val="20"/>
          <w:szCs w:val="20"/>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206" w:lineRule="exact"/>
        <w:rPr>
          <w:rFonts w:ascii="Arial" w:cs="Arial" w:eastAsia="Arial" w:hAnsi="Arial"/>
          <w:sz w:val="20"/>
          <w:szCs w:val="20"/>
          <w:color w:val="auto"/>
        </w:rPr>
      </w:pPr>
    </w:p>
    <w:p>
      <w:pPr>
        <w:ind w:firstLine="656"/>
        <w:spacing w:after="0" w:line="247" w:lineRule="auto"/>
        <w:tabs>
          <w:tab w:leader="none" w:pos="1293"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This Agreement shall be binding upon and inure to the benefit of the heirs, legatees, legal representatives, successors and assigns of the parties hereto.</w:t>
      </w:r>
    </w:p>
    <w:p>
      <w:pPr>
        <w:spacing w:after="0" w:line="201" w:lineRule="exact"/>
        <w:rPr>
          <w:rFonts w:ascii="Arial" w:cs="Arial" w:eastAsia="Arial" w:hAnsi="Arial"/>
          <w:sz w:val="20"/>
          <w:szCs w:val="20"/>
          <w:color w:val="auto"/>
        </w:rPr>
      </w:pPr>
    </w:p>
    <w:p>
      <w:pPr>
        <w:jc w:val="both"/>
        <w:ind w:firstLine="656"/>
        <w:spacing w:after="0" w:line="272" w:lineRule="auto"/>
        <w:tabs>
          <w:tab w:leader="none" w:pos="1253"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180" w:lineRule="exact"/>
        <w:rPr>
          <w:rFonts w:ascii="Arial" w:cs="Arial" w:eastAsia="Arial" w:hAnsi="Arial"/>
          <w:sz w:val="19"/>
          <w:szCs w:val="19"/>
          <w:color w:val="auto"/>
        </w:rPr>
      </w:pPr>
    </w:p>
    <w:p>
      <w:pPr>
        <w:jc w:val="both"/>
        <w:ind w:firstLine="656"/>
        <w:spacing w:after="0" w:line="242" w:lineRule="auto"/>
        <w:tabs>
          <w:tab w:leader="none" w:pos="1307"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Governing Law/Jurisdiction</w:t>
      </w:r>
      <w:r>
        <w:rPr>
          <w:rFonts w:ascii="Arial" w:cs="Arial" w:eastAsia="Arial" w:hAnsi="Arial"/>
          <w:sz w:val="20"/>
          <w:szCs w:val="20"/>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6" w:right="239" w:bottom="1440" w:gutter="0" w:footer="0" w:header="0"/>
        </w:sectPr>
      </w:pPr>
    </w:p>
    <w:bookmarkStart w:id="117" w:name="page118"/>
    <w:bookmarkEnd w:id="117"/>
    <w:p>
      <w:pPr>
        <w:jc w:val="both"/>
        <w:spacing w:after="0" w:line="242" w:lineRule="auto"/>
        <w:rPr>
          <w:sz w:val="20"/>
          <w:szCs w:val="20"/>
          <w:color w:val="auto"/>
        </w:rPr>
      </w:pPr>
      <w:r>
        <w:rPr>
          <w:rFonts w:ascii="Arial" w:cs="Arial" w:eastAsia="Arial" w:hAnsi="Arial"/>
          <w:sz w:val="20"/>
          <w:szCs w:val="20"/>
          <w:color w:val="auto"/>
        </w:rPr>
        <w:t>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207" w:lineRule="exact"/>
        <w:rPr>
          <w:sz w:val="20"/>
          <w:szCs w:val="20"/>
          <w:color w:val="auto"/>
        </w:rPr>
      </w:pPr>
    </w:p>
    <w:p>
      <w:pPr>
        <w:jc w:val="both"/>
        <w:ind w:firstLine="656"/>
        <w:spacing w:after="0"/>
        <w:tabs>
          <w:tab w:leader="none" w:pos="1226"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The Committee (and, upon delegation by the Committee, the Company)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(or, if applicable, the Company) in good faith shall be final and binding upon the Participant, the Company and all other interested persons, and shall be given the maximum deference permitted by law. No member of the Committee (or, if applicable, officer of the Company) shall be personally liable for any action, determination or interpretation made in good faith with respect to the Plan or this Agreement.</w:t>
      </w:r>
    </w:p>
    <w:p>
      <w:pPr>
        <w:spacing w:after="0" w:line="213" w:lineRule="exact"/>
        <w:rPr>
          <w:rFonts w:ascii="Arial" w:cs="Arial" w:eastAsia="Arial" w:hAnsi="Arial"/>
          <w:sz w:val="20"/>
          <w:szCs w:val="20"/>
          <w:color w:val="auto"/>
        </w:rPr>
      </w:pPr>
    </w:p>
    <w:p>
      <w:pPr>
        <w:ind w:firstLine="656"/>
        <w:spacing w:after="0" w:line="247" w:lineRule="auto"/>
        <w:tabs>
          <w:tab w:leader="none" w:pos="115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provided herein are for convenience only and are not to serve as a basis for the interpretation or construction of this Agreement.</w:t>
      </w:r>
    </w:p>
    <w:p>
      <w:pPr>
        <w:spacing w:after="0" w:line="201" w:lineRule="exact"/>
        <w:rPr>
          <w:rFonts w:ascii="Arial" w:cs="Arial" w:eastAsia="Arial" w:hAnsi="Arial"/>
          <w:sz w:val="20"/>
          <w:szCs w:val="20"/>
          <w:color w:val="auto"/>
        </w:rPr>
      </w:pPr>
    </w:p>
    <w:p>
      <w:pPr>
        <w:jc w:val="both"/>
        <w:ind w:firstLine="656"/>
        <w:spacing w:after="0" w:line="243" w:lineRule="auto"/>
        <w:tabs>
          <w:tab w:leader="none" w:pos="1185"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06" w:lineRule="exact"/>
        <w:rPr>
          <w:rFonts w:ascii="Arial" w:cs="Arial" w:eastAsia="Arial" w:hAnsi="Arial"/>
          <w:sz w:val="20"/>
          <w:szCs w:val="20"/>
          <w:color w:val="auto"/>
        </w:rPr>
      </w:pPr>
    </w:p>
    <w:p>
      <w:pPr>
        <w:jc w:val="both"/>
        <w:ind w:firstLine="656"/>
        <w:spacing w:after="0"/>
        <w:tabs>
          <w:tab w:leader="none" w:pos="128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(or, if applicable, officer of the Company).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w:t>
      </w:r>
    </w:p>
    <w:p>
      <w:pPr>
        <w:spacing w:after="0" w:line="212" w:lineRule="exact"/>
        <w:rPr>
          <w:rFonts w:ascii="Arial" w:cs="Arial" w:eastAsia="Arial" w:hAnsi="Arial"/>
          <w:sz w:val="20"/>
          <w:szCs w:val="20"/>
          <w:color w:val="auto"/>
        </w:rPr>
      </w:pPr>
    </w:p>
    <w:p>
      <w:pPr>
        <w:ind w:left="1160" w:hanging="504"/>
        <w:spacing w:after="0"/>
        <w:tabs>
          <w:tab w:leader="none" w:pos="116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tabs>
          <w:tab w:leader="none" w:pos="1854" w:val="left"/>
        </w:tabs>
        <w:numPr>
          <w:ilvl w:val="1"/>
          <w:numId w:val="60"/>
        </w:numPr>
        <w:rPr>
          <w:rFonts w:ascii="Arial" w:cs="Arial" w:eastAsia="Arial" w:hAnsi="Arial"/>
          <w:sz w:val="20"/>
          <w:szCs w:val="20"/>
          <w:color w:val="auto"/>
        </w:rPr>
      </w:pPr>
      <w:r>
        <w:rPr>
          <w:rFonts w:ascii="Arial" w:cs="Arial" w:eastAsia="Arial" w:hAnsi="Arial"/>
          <w:sz w:val="20"/>
          <w:szCs w:val="20"/>
          <w:color w:val="auto"/>
        </w:rPr>
        <w:t>It is intended that the PRSUs awarded pursuant to this Agreement and the Cash Account be exempt from Section 409A, because it is believed that the Agreement does not provide for a deferral of compensation and accordingly that the Agreement does not constitute a nonqualified deferred compensation plan within the meaning of Section 409A. If and to the extent that the Company believes that the PRSUs (including, if applicable, the Acquirer RSUs) or rights to the Cash Account may constitute a “nonqualified deferred compensation plan” under Section 409A, the terms and conditions set forth in this Agreement (and/or the provisions of the Plan applicable thereto) shall be interpreted in a manner consistent with the applicable requirements of Section 409A, and the Company, in its sole discretion and without the consent of the Participant, may amend this Agreement (and the provisions of the Plan applicable thereto) if and to the extent that the Company determines necessary or appropriate to comply with applicable requirements of Section 409A.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36" w:right="239" w:bottom="1440" w:gutter="0" w:footer="0" w:header="0"/>
        </w:sectPr>
      </w:pPr>
    </w:p>
    <w:bookmarkStart w:id="118" w:name="page119"/>
    <w:bookmarkEnd w:id="118"/>
    <w:p>
      <w:pPr>
        <w:ind w:left="1780" w:hanging="475"/>
        <w:spacing w:after="0"/>
        <w:tabs>
          <w:tab w:leader="none" w:pos="17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If and to the extent required to comply with Section 409A:</w:t>
      </w:r>
    </w:p>
    <w:p>
      <w:pPr>
        <w:spacing w:after="0" w:line="215" w:lineRule="exact"/>
        <w:rPr>
          <w:rFonts w:ascii="Arial" w:cs="Arial" w:eastAsia="Arial" w:hAnsi="Arial"/>
          <w:sz w:val="20"/>
          <w:szCs w:val="20"/>
          <w:color w:val="auto"/>
        </w:rPr>
      </w:pPr>
    </w:p>
    <w:p>
      <w:pPr>
        <w:jc w:val="both"/>
        <w:ind w:left="660" w:firstLine="1293"/>
        <w:spacing w:after="0" w:line="241" w:lineRule="auto"/>
        <w:tabs>
          <w:tab w:leader="none" w:pos="2381" w:val="left"/>
        </w:tabs>
        <w:numPr>
          <w:ilvl w:val="1"/>
          <w:numId w:val="61"/>
        </w:numPr>
        <w:rPr>
          <w:rFonts w:ascii="Arial" w:cs="Arial" w:eastAsia="Arial" w:hAnsi="Arial"/>
          <w:sz w:val="20"/>
          <w:szCs w:val="20"/>
          <w:color w:val="auto"/>
        </w:rPr>
      </w:pPr>
      <w:r>
        <w:rPr>
          <w:rFonts w:ascii="Arial" w:cs="Arial" w:eastAsia="Arial" w:hAnsi="Arial"/>
          <w:sz w:val="20"/>
          <w:szCs w:val="20"/>
          <w:color w:val="auto"/>
        </w:rPr>
        <w:t>Payments or delivery of Shares (or, if applicable, consideration in respect of Acquirer RSUs) or cash in respect of the Participant’s Cash Account under this Agreement may not be made earlier than (u) the Participant’s “separation from service”, (v) the date the Participant becomes “disabled”, (w) the Participant’s death, (x) a “specified time (or pursuant to a fixed schedule)” specified in this Agreement at the date of the deferral of such compensation or (y) a “change in the ownership or effective control” of the corporation, or in the “ownership of a substantial portion of the assets” of the corporation;</w:t>
      </w:r>
    </w:p>
    <w:p>
      <w:pPr>
        <w:spacing w:after="0" w:line="207" w:lineRule="exact"/>
        <w:rPr>
          <w:rFonts w:ascii="Arial" w:cs="Arial" w:eastAsia="Arial" w:hAnsi="Arial"/>
          <w:sz w:val="20"/>
          <w:szCs w:val="20"/>
          <w:color w:val="auto"/>
        </w:rPr>
      </w:pPr>
    </w:p>
    <w:p>
      <w:pPr>
        <w:jc w:val="both"/>
        <w:ind w:left="660" w:firstLine="1293"/>
        <w:spacing w:after="0" w:line="243" w:lineRule="auto"/>
        <w:tabs>
          <w:tab w:leader="none" w:pos="2411"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206" w:lineRule="exact"/>
        <w:rPr>
          <w:rFonts w:ascii="Arial" w:cs="Arial" w:eastAsia="Arial" w:hAnsi="Arial"/>
          <w:sz w:val="20"/>
          <w:szCs w:val="20"/>
          <w:color w:val="auto"/>
        </w:rPr>
      </w:pPr>
    </w:p>
    <w:p>
      <w:pPr>
        <w:jc w:val="both"/>
        <w:ind w:left="660" w:firstLine="1293"/>
        <w:spacing w:after="0" w:line="243" w:lineRule="auto"/>
        <w:tabs>
          <w:tab w:leader="none" w:pos="2550" w:val="left"/>
        </w:tabs>
        <w:numPr>
          <w:ilvl w:val="1"/>
          <w:numId w:val="61"/>
        </w:numPr>
        <w:rPr>
          <w:rFonts w:ascii="Arial" w:cs="Arial" w:eastAsia="Arial" w:hAnsi="Arial"/>
          <w:sz w:val="20"/>
          <w:szCs w:val="20"/>
          <w:color w:val="auto"/>
        </w:rPr>
      </w:pPr>
      <w:r>
        <w:rPr>
          <w:rFonts w:ascii="Arial" w:cs="Arial" w:eastAsia="Arial" w:hAnsi="Arial"/>
          <w:sz w:val="20"/>
          <w:szCs w:val="20"/>
          <w:color w:val="auto"/>
        </w:rPr>
        <w:t>If the Participant is a “specified employee”, a distribution on account of a “separation from service” may not be made before the date which is six (6) months after the date of the Participant’s “separation from service” (or, if earlier, the date of the Participant’s death).</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purposes of the foregoing, the terms in quotations shall have the same meanings as those terms have for purposes of Section 409A, and the limitations set forth herein shall be applied in such manner (and only to the extent) as shall be necessary to comply with any requirements of Section 409A that are applicable to this Agreement.</w:t>
      </w:r>
    </w:p>
    <w:p>
      <w:pPr>
        <w:spacing w:after="0" w:line="206" w:lineRule="exact"/>
        <w:rPr>
          <w:sz w:val="20"/>
          <w:szCs w:val="20"/>
          <w:color w:val="auto"/>
        </w:rPr>
      </w:pPr>
    </w:p>
    <w:p>
      <w:pPr>
        <w:jc w:val="both"/>
        <w:ind w:firstLine="1305"/>
        <w:spacing w:after="0"/>
        <w:tabs>
          <w:tab w:leader="none" w:pos="1857" w:val="left"/>
        </w:tabs>
        <w:numPr>
          <w:ilvl w:val="1"/>
          <w:numId w:val="62"/>
        </w:numPr>
        <w:rPr>
          <w:rFonts w:ascii="Arial" w:cs="Arial" w:eastAsia="Arial" w:hAnsi="Arial"/>
          <w:sz w:val="20"/>
          <w:szCs w:val="20"/>
          <w:color w:val="auto"/>
        </w:rPr>
      </w:pPr>
      <w:r>
        <w:rPr>
          <w:rFonts w:ascii="Arial" w:cs="Arial" w:eastAsia="Arial" w:hAnsi="Arial"/>
          <w:sz w:val="20"/>
          <w:szCs w:val="20"/>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213" w:lineRule="exact"/>
        <w:rPr>
          <w:rFonts w:ascii="Arial" w:cs="Arial" w:eastAsia="Arial" w:hAnsi="Arial"/>
          <w:sz w:val="20"/>
          <w:szCs w:val="20"/>
          <w:color w:val="auto"/>
        </w:rPr>
      </w:pPr>
    </w:p>
    <w:p>
      <w:pPr>
        <w:jc w:val="both"/>
        <w:ind w:firstLine="656"/>
        <w:spacing w:after="0" w:line="242" w:lineRule="auto"/>
        <w:tabs>
          <w:tab w:leader="none" w:pos="1172"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Unfunded Agreement</w:t>
      </w:r>
      <w:r>
        <w:rPr>
          <w:rFonts w:ascii="Arial" w:cs="Arial" w:eastAsia="Arial" w:hAnsi="Arial"/>
          <w:sz w:val="20"/>
          <w:szCs w:val="20"/>
          <w:color w:val="auto"/>
        </w:rPr>
        <w:t>. The rights of the Participant under this Agreement with respect to the Company’s obligation to distribute Shares corresponding to vested PRSUs (or, if applicable, consideration corresponding to Acquirer RSUs) and the value of the Participant’s vested Cash Account, if any, shall be unfunded and shall not be greater than the rights of an unsecured general creditor of the Company.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this Agreement as of the Grant Date.</w:t>
      </w:r>
    </w:p>
    <w:p>
      <w:pPr>
        <w:spacing w:after="0" w:line="216"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auto"/>
        </w:rPr>
        <w:t>WORLD FUEL SERVICES CORPORATION</w:t>
      </w:r>
    </w:p>
    <w:p>
      <w:pPr>
        <w:spacing w:after="0" w:line="36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1816735</wp:posOffset>
            </wp:positionH>
            <wp:positionV relativeFrom="paragraph">
              <wp:posOffset>-22860</wp:posOffset>
            </wp:positionV>
            <wp:extent cx="977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0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____________________</w:t>
      </w:r>
    </w:p>
    <w:p>
      <w:pPr>
        <w:spacing w:after="0" w:line="216"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___________________________________</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35" w:right="239" w:bottom="1440" w:gutter="0" w:footer="0" w:header="0"/>
        </w:sectPr>
      </w:pPr>
    </w:p>
    <w:bookmarkStart w:id="119" w:name="page120"/>
    <w:bookmarkEnd w:id="119"/>
    <w:p>
      <w:pPr>
        <w:ind w:left="1320"/>
        <w:spacing w:after="0"/>
        <w:rPr>
          <w:sz w:val="20"/>
          <w:szCs w:val="20"/>
          <w:color w:val="auto"/>
        </w:rPr>
      </w:pPr>
      <w:r>
        <w:rPr>
          <w:rFonts w:ascii="Arial" w:cs="Arial" w:eastAsia="Arial" w:hAnsi="Arial"/>
          <w:sz w:val="20"/>
          <w:szCs w:val="20"/>
          <w:b w:val="1"/>
          <w:bCs w:val="1"/>
          <w:u w:val="single" w:color="auto"/>
          <w:color w:val="auto"/>
        </w:rPr>
        <w:t>PARTICIPANT</w:t>
      </w:r>
    </w:p>
    <w:p>
      <w:pPr>
        <w:spacing w:after="0" w:line="240"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-22860</wp:posOffset>
            </wp:positionV>
            <wp:extent cx="8382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 xml:space="preserve">Name: </w:t>
      </w:r>
      <w:r>
        <w:rPr>
          <w:rFonts w:ascii="Arial" w:cs="Arial" w:eastAsia="Arial" w:hAnsi="Arial"/>
          <w:sz w:val="19"/>
          <w:szCs w:val="19"/>
          <w:u w:val="single" w:color="auto"/>
          <w:color w:val="auto"/>
        </w:rPr>
        <w:t>____________________________</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1057"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u w:val="single" w:color="auto"/>
          <w:color w:val="auto"/>
        </w:rPr>
        <w:t>SCHEDULE A</w:t>
      </w:r>
    </w:p>
    <w:p>
      <w:pPr>
        <w:spacing w:after="0" w:line="200" w:lineRule="exact"/>
        <w:rPr>
          <w:sz w:val="20"/>
          <w:szCs w:val="20"/>
          <w:color w:val="auto"/>
        </w:rPr>
      </w:pPr>
    </w:p>
    <w:p>
      <w:pPr>
        <w:spacing w:after="0" w:line="245" w:lineRule="exact"/>
        <w:rPr>
          <w:sz w:val="20"/>
          <w:szCs w:val="20"/>
          <w:color w:val="auto"/>
        </w:rPr>
      </w:pPr>
    </w:p>
    <w:p>
      <w:pPr>
        <w:ind w:right="260"/>
        <w:spacing w:after="0" w:line="243" w:lineRule="auto"/>
        <w:rPr>
          <w:sz w:val="20"/>
          <w:szCs w:val="20"/>
          <w:color w:val="auto"/>
        </w:rPr>
      </w:pPr>
      <w:r>
        <w:rPr>
          <w:rFonts w:ascii="Arial" w:cs="Arial" w:eastAsia="Arial" w:hAnsi="Arial"/>
          <w:sz w:val="20"/>
          <w:szCs w:val="20"/>
          <w:color w:val="auto"/>
        </w:rPr>
        <w:t>Subject to the terms and conditions set forth in this Agreement (of which this Schedule constitutes a part), the Participant will be eligible to earn a number of Shares that is between 0% and 200% of the target number of PRSUs set forth in Section 1 of this Agreement, such number of earned PRSUs shall be determined as set forth in this Schedule.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Measurement Period is the three-year period that begins on January 1, 20[●] and ends on December 31, 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Performance Goal is based on the following performance criterion: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CAGR in EPS</w:t>
      </w:r>
      <w:r>
        <w:rPr>
          <w:rFonts w:ascii="Arial" w:cs="Arial" w:eastAsia="Arial" w:hAnsi="Arial"/>
          <w:sz w:val="20"/>
          <w:szCs w:val="20"/>
          <w:color w:val="auto"/>
        </w:rPr>
        <w:t>” means the compound average annual rate of growth in cumulative EPS.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EPS</w:t>
      </w:r>
      <w:r>
        <w:rPr>
          <w:rFonts w:ascii="Arial" w:cs="Arial" w:eastAsia="Arial" w:hAnsi="Arial"/>
          <w:sz w:val="20"/>
          <w:szCs w:val="20"/>
          <w:color w:val="auto"/>
        </w:rPr>
        <w:t>” means earnings per share.</w:t>
      </w:r>
    </w:p>
    <w:p>
      <w:pPr>
        <w:spacing w:after="0" w:line="253"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Achievement of the Performance Goal is measured based on cumulative EPS at the end of the three-year Measurement Period at the levels set forth in the table below.</w:t>
      </w:r>
    </w:p>
    <w:p>
      <w:pPr>
        <w:spacing w:after="0" w:line="232" w:lineRule="exact"/>
        <w:rPr>
          <w:sz w:val="20"/>
          <w:szCs w:val="20"/>
          <w:color w:val="auto"/>
        </w:rPr>
      </w:pPr>
    </w:p>
    <w:tbl>
      <w:tblPr>
        <w:tblLayout w:type="fixed"/>
        <w:tblInd w:w="260" w:type="dxa"/>
        <w:tblCellMar>
          <w:top w:w="0" w:type="dxa"/>
          <w:left w:w="0" w:type="dxa"/>
          <w:bottom w:w="0" w:type="dxa"/>
          <w:right w:w="0" w:type="dxa"/>
        </w:tblCellMar>
      </w:tblPr>
      <w:tr>
        <w:trPr>
          <w:trHeight w:val="261"/>
        </w:trPr>
        <w:tc>
          <w:tcPr>
            <w:tcW w:w="15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240" w:type="dxa"/>
            <w:vAlign w:val="bottom"/>
            <w:gridSpan w:val="3"/>
          </w:tcPr>
          <w:p>
            <w:pPr>
              <w:ind w:left="760"/>
              <w:spacing w:after="0"/>
              <w:rPr>
                <w:sz w:val="20"/>
                <w:szCs w:val="20"/>
                <w:color w:val="auto"/>
              </w:rPr>
            </w:pPr>
            <w:r>
              <w:rPr>
                <w:rFonts w:ascii="Arial" w:cs="Arial" w:eastAsia="Arial" w:hAnsi="Arial"/>
                <w:sz w:val="20"/>
                <w:szCs w:val="20"/>
                <w:b w:val="1"/>
                <w:bCs w:val="1"/>
                <w:color w:val="auto"/>
              </w:rPr>
              <w:t>CAGR in EPS for the Measurement Period</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7"/>
        </w:trPr>
        <w:tc>
          <w:tcPr>
            <w:tcW w:w="1560" w:type="dxa"/>
            <w:vAlign w:val="bottom"/>
          </w:tcPr>
          <w:p>
            <w:pPr>
              <w:spacing w:after="0"/>
              <w:rPr>
                <w:sz w:val="24"/>
                <w:szCs w:val="24"/>
                <w:color w:val="auto"/>
              </w:rPr>
            </w:pPr>
          </w:p>
        </w:tc>
        <w:tc>
          <w:tcPr>
            <w:tcW w:w="1660" w:type="dxa"/>
            <w:vAlign w:val="bottom"/>
            <w:vMerge w:val="restart"/>
          </w:tcPr>
          <w:p>
            <w:pPr>
              <w:jc w:val="center"/>
              <w:ind w:left="1"/>
              <w:spacing w:after="0"/>
              <w:rPr>
                <w:sz w:val="20"/>
                <w:szCs w:val="20"/>
                <w:color w:val="auto"/>
              </w:rPr>
            </w:pPr>
            <w:r>
              <w:rPr>
                <w:rFonts w:ascii="Arial" w:cs="Arial" w:eastAsia="Arial" w:hAnsi="Arial"/>
                <w:sz w:val="20"/>
                <w:szCs w:val="20"/>
                <w:color w:val="auto"/>
                <w:w w:val="99"/>
              </w:rPr>
              <w:t>Less than [●]%</w:t>
            </w:r>
          </w:p>
        </w:tc>
        <w:tc>
          <w:tcPr>
            <w:tcW w:w="2000" w:type="dxa"/>
            <w:vAlign w:val="bottom"/>
          </w:tcPr>
          <w:p>
            <w:pPr>
              <w:jc w:val="center"/>
              <w:ind w:left="1"/>
              <w:spacing w:after="0"/>
              <w:rPr>
                <w:sz w:val="20"/>
                <w:szCs w:val="20"/>
                <w:color w:val="auto"/>
              </w:rPr>
            </w:pPr>
            <w:r>
              <w:rPr>
                <w:rFonts w:ascii="Arial" w:cs="Arial" w:eastAsia="Arial" w:hAnsi="Arial"/>
                <w:sz w:val="20"/>
                <w:szCs w:val="20"/>
                <w:color w:val="auto"/>
                <w:w w:val="99"/>
              </w:rPr>
              <w:t>At least [●]% but less</w:t>
            </w:r>
          </w:p>
        </w:tc>
        <w:tc>
          <w:tcPr>
            <w:tcW w:w="2060" w:type="dxa"/>
            <w:vAlign w:val="bottom"/>
          </w:tcPr>
          <w:p>
            <w:pPr>
              <w:jc w:val="center"/>
              <w:spacing w:after="0"/>
              <w:rPr>
                <w:sz w:val="20"/>
                <w:szCs w:val="20"/>
                <w:color w:val="auto"/>
              </w:rPr>
            </w:pPr>
            <w:r>
              <w:rPr>
                <w:rFonts w:ascii="Arial" w:cs="Arial" w:eastAsia="Arial" w:hAnsi="Arial"/>
                <w:sz w:val="20"/>
                <w:szCs w:val="20"/>
                <w:color w:val="auto"/>
                <w:w w:val="99"/>
              </w:rPr>
              <w:t>At least [●]% but less</w:t>
            </w:r>
          </w:p>
        </w:tc>
        <w:tc>
          <w:tcPr>
            <w:tcW w:w="2180" w:type="dxa"/>
            <w:vAlign w:val="bottom"/>
          </w:tcPr>
          <w:p>
            <w:pPr>
              <w:jc w:val="center"/>
              <w:ind w:right="21"/>
              <w:spacing w:after="0"/>
              <w:rPr>
                <w:sz w:val="20"/>
                <w:szCs w:val="20"/>
                <w:color w:val="auto"/>
              </w:rPr>
            </w:pPr>
            <w:r>
              <w:rPr>
                <w:rFonts w:ascii="Arial" w:cs="Arial" w:eastAsia="Arial" w:hAnsi="Arial"/>
                <w:sz w:val="20"/>
                <w:szCs w:val="20"/>
                <w:color w:val="auto"/>
                <w:w w:val="99"/>
              </w:rPr>
              <w:t>At least [●]% but less</w:t>
            </w:r>
          </w:p>
        </w:tc>
        <w:tc>
          <w:tcPr>
            <w:tcW w:w="1440" w:type="dxa"/>
            <w:vAlign w:val="bottom"/>
            <w:vMerge w:val="restart"/>
          </w:tcPr>
          <w:p>
            <w:pPr>
              <w:jc w:val="center"/>
              <w:ind w:left="41"/>
              <w:spacing w:after="0"/>
              <w:rPr>
                <w:sz w:val="20"/>
                <w:szCs w:val="20"/>
                <w:color w:val="auto"/>
              </w:rPr>
            </w:pPr>
            <w:r>
              <w:rPr>
                <w:rFonts w:ascii="Arial" w:cs="Arial" w:eastAsia="Arial" w:hAnsi="Arial"/>
                <w:sz w:val="20"/>
                <w:szCs w:val="20"/>
                <w:color w:val="auto"/>
                <w:w w:val="98"/>
              </w:rPr>
              <w:t>[●]% or more</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2000" w:type="dxa"/>
            <w:vAlign w:val="bottom"/>
          </w:tcPr>
          <w:p>
            <w:pPr>
              <w:jc w:val="center"/>
              <w:spacing w:after="0" w:line="216" w:lineRule="exact"/>
              <w:rPr>
                <w:sz w:val="20"/>
                <w:szCs w:val="20"/>
                <w:color w:val="auto"/>
              </w:rPr>
            </w:pPr>
            <w:r>
              <w:rPr>
                <w:rFonts w:ascii="Arial" w:cs="Arial" w:eastAsia="Arial" w:hAnsi="Arial"/>
                <w:sz w:val="20"/>
                <w:szCs w:val="20"/>
                <w:color w:val="auto"/>
                <w:w w:val="98"/>
              </w:rPr>
              <w:t>than [●]%</w:t>
            </w:r>
          </w:p>
        </w:tc>
        <w:tc>
          <w:tcPr>
            <w:tcW w:w="2060" w:type="dxa"/>
            <w:vAlign w:val="bottom"/>
            <w:vMerge w:val="restart"/>
          </w:tcPr>
          <w:p>
            <w:pPr>
              <w:jc w:val="center"/>
              <w:spacing w:after="0"/>
              <w:rPr>
                <w:sz w:val="20"/>
                <w:szCs w:val="20"/>
                <w:color w:val="auto"/>
              </w:rPr>
            </w:pPr>
            <w:r>
              <w:rPr>
                <w:rFonts w:ascii="Arial" w:cs="Arial" w:eastAsia="Arial" w:hAnsi="Arial"/>
                <w:sz w:val="20"/>
                <w:szCs w:val="20"/>
                <w:color w:val="auto"/>
                <w:w w:val="98"/>
              </w:rPr>
              <w:t>than [●]%</w:t>
            </w:r>
          </w:p>
        </w:tc>
        <w:tc>
          <w:tcPr>
            <w:tcW w:w="2180" w:type="dxa"/>
            <w:vAlign w:val="bottom"/>
          </w:tcPr>
          <w:p>
            <w:pPr>
              <w:jc w:val="center"/>
              <w:ind w:right="21"/>
              <w:spacing w:after="0" w:line="216" w:lineRule="exact"/>
              <w:rPr>
                <w:sz w:val="20"/>
                <w:szCs w:val="20"/>
                <w:color w:val="auto"/>
              </w:rPr>
            </w:pPr>
            <w:r>
              <w:rPr>
                <w:rFonts w:ascii="Arial" w:cs="Arial" w:eastAsia="Arial" w:hAnsi="Arial"/>
                <w:sz w:val="20"/>
                <w:szCs w:val="20"/>
                <w:color w:val="auto"/>
              </w:rPr>
              <w:t>than [●]%</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5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2060" w:type="dxa"/>
            <w:vAlign w:val="bottom"/>
            <w:vMerge w:val="continue"/>
          </w:tcPr>
          <w:p>
            <w:pPr>
              <w:spacing w:after="0"/>
              <w:rPr>
                <w:sz w:val="5"/>
                <w:szCs w:val="5"/>
                <w:color w:val="auto"/>
              </w:rPr>
            </w:pPr>
          </w:p>
        </w:tc>
        <w:tc>
          <w:tcPr>
            <w:tcW w:w="21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1560" w:type="dxa"/>
            <w:vAlign w:val="bottom"/>
          </w:tcPr>
          <w:p>
            <w:pPr>
              <w:spacing w:after="0"/>
              <w:rPr>
                <w:sz w:val="20"/>
                <w:szCs w:val="20"/>
                <w:color w:val="auto"/>
              </w:rPr>
            </w:pPr>
            <w:r>
              <w:rPr>
                <w:rFonts w:ascii="Arial" w:cs="Arial" w:eastAsia="Arial" w:hAnsi="Arial"/>
                <w:sz w:val="20"/>
                <w:szCs w:val="20"/>
                <w:color w:val="auto"/>
              </w:rPr>
              <w:t>Earned PRSUs</w:t>
            </w:r>
          </w:p>
        </w:tc>
        <w:tc>
          <w:tcPr>
            <w:tcW w:w="1660" w:type="dxa"/>
            <w:vAlign w:val="bottom"/>
          </w:tcPr>
          <w:p>
            <w:pPr>
              <w:jc w:val="center"/>
              <w:ind w:left="1"/>
              <w:spacing w:after="0"/>
              <w:rPr>
                <w:sz w:val="20"/>
                <w:szCs w:val="20"/>
                <w:color w:val="auto"/>
              </w:rPr>
            </w:pPr>
            <w:r>
              <w:rPr>
                <w:rFonts w:ascii="Arial" w:cs="Arial" w:eastAsia="Arial" w:hAnsi="Arial"/>
                <w:sz w:val="20"/>
                <w:szCs w:val="20"/>
                <w:color w:val="auto"/>
              </w:rPr>
              <w:t>0% of target</w:t>
            </w:r>
          </w:p>
        </w:tc>
        <w:tc>
          <w:tcPr>
            <w:tcW w:w="2000" w:type="dxa"/>
            <w:vAlign w:val="bottom"/>
          </w:tcPr>
          <w:p>
            <w:pPr>
              <w:jc w:val="center"/>
              <w:ind w:left="1"/>
              <w:spacing w:after="0"/>
              <w:rPr>
                <w:sz w:val="20"/>
                <w:szCs w:val="20"/>
                <w:color w:val="auto"/>
              </w:rPr>
            </w:pPr>
            <w:r>
              <w:rPr>
                <w:rFonts w:ascii="Arial" w:cs="Arial" w:eastAsia="Arial" w:hAnsi="Arial"/>
                <w:sz w:val="20"/>
                <w:szCs w:val="20"/>
                <w:color w:val="auto"/>
                <w:w w:val="99"/>
              </w:rPr>
              <w:t>25% of target</w:t>
            </w:r>
          </w:p>
        </w:tc>
        <w:tc>
          <w:tcPr>
            <w:tcW w:w="4240" w:type="dxa"/>
            <w:vAlign w:val="bottom"/>
            <w:gridSpan w:val="2"/>
          </w:tcPr>
          <w:p>
            <w:pPr>
              <w:ind w:left="40"/>
              <w:spacing w:after="0"/>
              <w:rPr>
                <w:sz w:val="20"/>
                <w:szCs w:val="20"/>
                <w:color w:val="auto"/>
              </w:rPr>
            </w:pPr>
            <w:r>
              <w:rPr>
                <w:rFonts w:ascii="Arial" w:cs="Arial" w:eastAsia="Arial" w:hAnsi="Arial"/>
                <w:sz w:val="20"/>
                <w:szCs w:val="20"/>
                <w:color w:val="auto"/>
              </w:rPr>
              <w:t>100% of target PRSUs 150% of target PRSUs</w:t>
            </w:r>
          </w:p>
        </w:tc>
        <w:tc>
          <w:tcPr>
            <w:tcW w:w="1440" w:type="dxa"/>
            <w:vAlign w:val="bottom"/>
          </w:tcPr>
          <w:p>
            <w:pPr>
              <w:jc w:val="center"/>
              <w:ind w:left="41"/>
              <w:spacing w:after="0"/>
              <w:rPr>
                <w:sz w:val="20"/>
                <w:szCs w:val="20"/>
                <w:color w:val="auto"/>
              </w:rPr>
            </w:pPr>
            <w:r>
              <w:rPr>
                <w:rFonts w:ascii="Arial" w:cs="Arial" w:eastAsia="Arial" w:hAnsi="Arial"/>
                <w:sz w:val="20"/>
                <w:szCs w:val="20"/>
                <w:color w:val="auto"/>
                <w:w w:val="99"/>
              </w:rPr>
              <w:t>200% of target</w:t>
            </w: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p>
        </w:tc>
        <w:tc>
          <w:tcPr>
            <w:tcW w:w="1660" w:type="dxa"/>
            <w:vAlign w:val="bottom"/>
          </w:tcPr>
          <w:p>
            <w:pPr>
              <w:jc w:val="center"/>
              <w:ind w:left="1"/>
              <w:spacing w:after="0"/>
              <w:rPr>
                <w:sz w:val="20"/>
                <w:szCs w:val="20"/>
                <w:color w:val="auto"/>
              </w:rPr>
            </w:pPr>
            <w:r>
              <w:rPr>
                <w:rFonts w:ascii="Arial" w:cs="Arial" w:eastAsia="Arial" w:hAnsi="Arial"/>
                <w:sz w:val="20"/>
                <w:szCs w:val="20"/>
                <w:color w:val="auto"/>
                <w:w w:val="97"/>
              </w:rPr>
              <w:t>PRSUs</w:t>
            </w:r>
          </w:p>
        </w:tc>
        <w:tc>
          <w:tcPr>
            <w:tcW w:w="2000" w:type="dxa"/>
            <w:vAlign w:val="bottom"/>
          </w:tcPr>
          <w:p>
            <w:pPr>
              <w:jc w:val="center"/>
              <w:ind w:left="1"/>
              <w:spacing w:after="0"/>
              <w:rPr>
                <w:sz w:val="20"/>
                <w:szCs w:val="20"/>
                <w:color w:val="auto"/>
              </w:rPr>
            </w:pPr>
            <w:r>
              <w:rPr>
                <w:rFonts w:ascii="Arial" w:cs="Arial" w:eastAsia="Arial" w:hAnsi="Arial"/>
                <w:sz w:val="20"/>
                <w:szCs w:val="20"/>
                <w:color w:val="auto"/>
              </w:rPr>
              <w:t>PRSUs</w:t>
            </w:r>
          </w:p>
        </w:tc>
        <w:tc>
          <w:tcPr>
            <w:tcW w:w="20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40" w:type="dxa"/>
            <w:vAlign w:val="bottom"/>
          </w:tcPr>
          <w:p>
            <w:pPr>
              <w:jc w:val="center"/>
              <w:ind w:left="41"/>
              <w:spacing w:after="0"/>
              <w:rPr>
                <w:sz w:val="20"/>
                <w:szCs w:val="20"/>
                <w:color w:val="auto"/>
              </w:rPr>
            </w:pPr>
            <w:r>
              <w:rPr>
                <w:rFonts w:ascii="Arial" w:cs="Arial" w:eastAsia="Arial" w:hAnsi="Arial"/>
                <w:sz w:val="20"/>
                <w:szCs w:val="20"/>
                <w:color w:val="auto"/>
              </w:rPr>
              <w:t>PRSUs</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500"/>
        <w:spacing w:after="0" w:line="247" w:lineRule="auto"/>
        <w:rPr>
          <w:sz w:val="20"/>
          <w:szCs w:val="20"/>
          <w:color w:val="auto"/>
        </w:rPr>
      </w:pPr>
      <w:r>
        <w:rPr>
          <w:rFonts w:ascii="Arial" w:cs="Arial" w:eastAsia="Arial" w:hAnsi="Arial"/>
          <w:sz w:val="20"/>
          <w:szCs w:val="20"/>
          <w:color w:val="auto"/>
        </w:rPr>
        <w:t>The Company shall apply linear interpolation if the performance criterion achieved is between the levels specified in the table above.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65" w:right="2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Exhibit 21.1</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b w:val="1"/>
                <w:bCs w:val="1"/>
                <w:color w:val="auto"/>
                <w:w w:val="98"/>
              </w:rPr>
              <w:t>Entity Name</w:t>
            </w:r>
          </w:p>
        </w:tc>
        <w:tc>
          <w:tcPr>
            <w:tcW w:w="3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Jurisdiction</w:t>
            </w:r>
          </w:p>
        </w:tc>
      </w:tr>
      <w:tr>
        <w:trPr>
          <w:trHeight w:val="20"/>
        </w:trPr>
        <w:tc>
          <w:tcPr>
            <w:tcW w:w="10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77"/>
        </w:trPr>
        <w:tc>
          <w:tcPr>
            <w:tcW w:w="4880" w:type="dxa"/>
            <w:vAlign w:val="bottom"/>
            <w:gridSpan w:val="2"/>
          </w:tcPr>
          <w:p>
            <w:pPr>
              <w:spacing w:after="0"/>
              <w:rPr>
                <w:sz w:val="20"/>
                <w:szCs w:val="20"/>
                <w:color w:val="auto"/>
              </w:rPr>
            </w:pPr>
            <w:r>
              <w:rPr>
                <w:rFonts w:ascii="Arial" w:cs="Arial" w:eastAsia="Arial" w:hAnsi="Arial"/>
                <w:sz w:val="18"/>
                <w:szCs w:val="18"/>
                <w:color w:val="auto"/>
              </w:rPr>
              <w:t>Advance Petroleum, LLC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Florida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AHT Services, LLC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Nevada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Air Petro Corp.</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California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Alta Fuels, LLC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Colorado</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Alta Transportation, LLC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Colorado</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Altitude Ventures Holding Inc.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Amelia Holding AB</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ANY-G B.V.</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ANY-G Services B.V.</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Ascent Aviation Group, Inc.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New York</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Associated Petroleum Products, Inc.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Washington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AVCARD Holding Company (BVI) Ltd.</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w w:val="99"/>
              </w:rPr>
              <w:t>British Virgin Islands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AVCARD Services (BVI), Ltd.</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w w:val="99"/>
              </w:rPr>
              <w:t>British Virgin Islands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Avinode, Inc.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Avinode Aktiebolag</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Avinode Shared Services AB</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Baseops International, Inc.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Texas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Bergen Energi AB</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Bergen Energi ApS</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Denmark</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Bergen Energi Deutschland GmbH</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Germany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Bergen Energi France SarL</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France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Bergen Energi Green Services AS</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Norway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Bergen Energi Markets AS</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Norway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Bergen Energi Nederland B.V.</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Bergen Energi Spot AS</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Norway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Casa Petro, S.R.L.</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Costa Rica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Chrome Club, Inc.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Minnesota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Colt International, L.L.C.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Texas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Colt International das Américas Serviços de Aviação Ltda.</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Brazil</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Colt International Europe SARL</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Switzerland</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Colt Risk Management Services, LLC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Texas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Combustibles Aereos Nacionales, S. de R.L. de C.V. *</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Mexico</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Ecuacentair Cia. Ltda.</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Ecuador</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Falmouth Oil Services Limited *</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Falmouth Petroleum Limited</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Gib Oil (UK) Limited</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Gib Oil Limited</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Gibraltar</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Hellenic Aviation Fuel Company S.A.</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Greece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Henty Oil Limited</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Henty Shipping Services Limited</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IRC Oil Technics, Inc.*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JCP Brazil, LLC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Texas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 T M, Inc.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Colorado</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AS</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Norway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Denmark A/S</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Denmark</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Hungary Kft</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Hungary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Inc.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Florida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UK Limited</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Kropp Holdings, Inc.</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Maryland</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LFO Holdings Limited</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219"/>
          </w:cols>
          <w:pgMar w:left="240" w:top="363" w:right="1440"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Exhibit 21.1</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b w:val="1"/>
                <w:bCs w:val="1"/>
                <w:color w:val="auto"/>
                <w:w w:val="98"/>
              </w:rPr>
              <w:t>Entity Name</w:t>
            </w:r>
          </w:p>
        </w:tc>
        <w:tc>
          <w:tcPr>
            <w:tcW w:w="3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Jurisdiction</w:t>
            </w:r>
          </w:p>
        </w:tc>
      </w:tr>
      <w:tr>
        <w:trPr>
          <w:trHeight w:val="20"/>
        </w:trPr>
        <w:tc>
          <w:tcPr>
            <w:tcW w:w="10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4880" w:type="dxa"/>
            <w:vAlign w:val="bottom"/>
            <w:gridSpan w:val="2"/>
          </w:tcPr>
          <w:p>
            <w:pPr>
              <w:spacing w:after="0"/>
              <w:rPr>
                <w:sz w:val="20"/>
                <w:szCs w:val="20"/>
                <w:color w:val="auto"/>
              </w:rPr>
            </w:pPr>
            <w:r>
              <w:rPr>
                <w:rFonts w:ascii="Arial" w:cs="Arial" w:eastAsia="Arial" w:hAnsi="Arial"/>
                <w:sz w:val="18"/>
                <w:szCs w:val="18"/>
                <w:color w:val="auto"/>
              </w:rPr>
              <w:t>Linton Fuel Oils Limited</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w w:val="98"/>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MH Aviation Services (Pty) Ltd</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South Africa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MS Europe B.V.</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Multi Service Aero B.V.</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Multi Service Comercio, S. de R.L. de C.V.</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Mexico</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Multi Service Holding B.V.</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Multi Service Pre Paid Solutions B.V.</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Multi Service Private Label B.V.</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Multi Service PTY Limited</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Australia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Multi Service Technology Solutions, Inc.</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Florida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Nordic Camp Supply ApS</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Denmark</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Nordic Camp Supply B.V.</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Norenergi A/S</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Denmark</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Norse Bunkers AS</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Norway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Oil Shipping (Bunkering) B.V.</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Oil Shipping Korea Limited</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Korea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PAPCO, Inc.</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Virginia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PAX Distribution, LLC</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Washington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PayNode AB</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Petro Air, Corp.</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Puerto Rico</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Petroleum Transport Solutions, LLC</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Minnesota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PetroServicios de Costa Rica, S.R.L.</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Costa Rica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PT Oil Shipping Trans Indonesia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Indonesia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PT Servicios De Guatemala, Limitada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Guatemala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Redline Oil Services Limited</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w w:val="98"/>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Resource Recovery of America, Inc.*</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Florida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Schedaero AB</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Schedaero, Inc.</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Servicios Auxiliares de México, S. de R.L. de C.V.</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Mexico</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Servicios WFSE Ecuador C.L.</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Ecuador</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Spire Flight Solutions (Ireland) Limited</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Ireland</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Tamlyn Shipping Limited *</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w w:val="98"/>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Tank and Marine Engineering Limited</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w w:val="98"/>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The Hiller Group Incorporated</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Florida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The Lubricant Company Limited</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w w:val="98"/>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TM Hawkins Brazil, LLC</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Texas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Tobras Distribuidora de Combustíveis Ltda.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Brazil</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Group Limited *</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w w:val="98"/>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Holdings Limited *</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w w:val="98"/>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&amp; Marine (Argentina) S.R.L.</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Argentina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&amp; Marine (Chile), Limitada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Chile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&amp; Marine (Romania) SRL</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Romania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&amp; Marine Limited *</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w w:val="98"/>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(Brasil) Ltda.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Brazil</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Germany GmbH</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Germany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Participações Ltda.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Brazil</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Tramp Oil Schiffahrts-und Handelsgesellschaft mbH &amp; Co.</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Germany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Trans-Tec International S.R.L.</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Costa Rica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Trans-Tec Mundial Acquisition Company, Limitada</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Costa Rica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U.S. Energy Engineering, Inc.</w:t>
            </w:r>
          </w:p>
        </w:tc>
        <w:tc>
          <w:tcPr>
            <w:tcW w:w="1520" w:type="dxa"/>
            <w:vAlign w:val="bottom"/>
            <w:gridSpan w:val="3"/>
          </w:tcPr>
          <w:p>
            <w:pPr>
              <w:ind w:left="240"/>
              <w:spacing w:after="0"/>
              <w:rPr>
                <w:sz w:val="20"/>
                <w:szCs w:val="20"/>
                <w:color w:val="auto"/>
              </w:rPr>
            </w:pPr>
            <w:r>
              <w:rPr>
                <w:rFonts w:ascii="Arial" w:cs="Arial" w:eastAsia="Arial" w:hAnsi="Arial"/>
                <w:sz w:val="18"/>
                <w:szCs w:val="18"/>
                <w:color w:val="auto"/>
              </w:rPr>
              <w:t>Minnesota</w:t>
            </w:r>
          </w:p>
        </w:tc>
      </w:tr>
    </w:tbl>
    <w:p>
      <w:pPr>
        <w:sectPr>
          <w:pgSz w:w="11900" w:h="16838" w:orient="portrait"/>
          <w:cols w:equalWidth="0" w:num="1">
            <w:col w:w="10219"/>
          </w:cols>
          <w:pgMar w:left="240" w:top="363" w:right="1440"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Exhibit 21.1</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b w:val="1"/>
                <w:bCs w:val="1"/>
                <w:color w:val="auto"/>
                <w:w w:val="98"/>
              </w:rPr>
              <w:t>Entity Name</w:t>
            </w:r>
          </w:p>
        </w:tc>
        <w:tc>
          <w:tcPr>
            <w:tcW w:w="410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Jurisdiction</w:t>
            </w:r>
          </w:p>
        </w:tc>
      </w:tr>
      <w:tr>
        <w:trPr>
          <w:trHeight w:val="20"/>
        </w:trPr>
        <w:tc>
          <w:tcPr>
            <w:tcW w:w="10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5140" w:type="dxa"/>
            <w:vAlign w:val="bottom"/>
            <w:gridSpan w:val="2"/>
          </w:tcPr>
          <w:p>
            <w:pPr>
              <w:spacing w:after="0"/>
              <w:rPr>
                <w:sz w:val="20"/>
                <w:szCs w:val="20"/>
                <w:color w:val="auto"/>
              </w:rPr>
            </w:pPr>
            <w:r>
              <w:rPr>
                <w:rFonts w:ascii="Arial" w:cs="Arial" w:eastAsia="Arial" w:hAnsi="Arial"/>
                <w:sz w:val="18"/>
                <w:szCs w:val="18"/>
                <w:color w:val="auto"/>
              </w:rPr>
              <w:t>U.S. Energy Services, Inc.</w:t>
            </w:r>
          </w:p>
        </w:tc>
        <w:tc>
          <w:tcPr>
            <w:tcW w:w="3020" w:type="dxa"/>
            <w:vAlign w:val="bottom"/>
            <w:gridSpan w:val="2"/>
          </w:tcPr>
          <w:p>
            <w:pPr>
              <w:spacing w:after="0"/>
              <w:rPr>
                <w:sz w:val="20"/>
                <w:szCs w:val="20"/>
                <w:color w:val="auto"/>
              </w:rPr>
            </w:pPr>
            <w:r>
              <w:rPr>
                <w:rFonts w:ascii="Arial" w:cs="Arial" w:eastAsia="Arial" w:hAnsi="Arial"/>
                <w:sz w:val="18"/>
                <w:szCs w:val="18"/>
                <w:color w:val="auto"/>
              </w:rPr>
              <w:t>Minnesota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Western Aviation Products LLC *</w:t>
            </w:r>
          </w:p>
        </w:tc>
        <w:tc>
          <w:tcPr>
            <w:tcW w:w="3020" w:type="dxa"/>
            <w:vAlign w:val="bottom"/>
            <w:gridSpan w:val="2"/>
          </w:tcPr>
          <w:p>
            <w:pPr>
              <w:spacing w:after="0"/>
              <w:rPr>
                <w:sz w:val="20"/>
                <w:szCs w:val="20"/>
                <w:color w:val="auto"/>
              </w:rPr>
            </w:pPr>
            <w:r>
              <w:rPr>
                <w:rFonts w:ascii="Arial" w:cs="Arial" w:eastAsia="Arial" w:hAnsi="Arial"/>
                <w:sz w:val="18"/>
                <w:szCs w:val="18"/>
                <w:color w:val="auto"/>
              </w:rPr>
              <w:t>Minnesota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Western Petroleum Company</w:t>
            </w:r>
          </w:p>
        </w:tc>
        <w:tc>
          <w:tcPr>
            <w:tcW w:w="3020" w:type="dxa"/>
            <w:vAlign w:val="bottom"/>
            <w:gridSpan w:val="2"/>
          </w:tcPr>
          <w:p>
            <w:pPr>
              <w:spacing w:after="0"/>
              <w:rPr>
                <w:sz w:val="20"/>
                <w:szCs w:val="20"/>
                <w:color w:val="auto"/>
              </w:rPr>
            </w:pPr>
            <w:r>
              <w:rPr>
                <w:rFonts w:ascii="Arial" w:cs="Arial" w:eastAsia="Arial" w:hAnsi="Arial"/>
                <w:sz w:val="18"/>
                <w:szCs w:val="18"/>
                <w:color w:val="auto"/>
              </w:rPr>
              <w:t>Minnesota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 Lubricants S.L.</w:t>
            </w:r>
          </w:p>
        </w:tc>
        <w:tc>
          <w:tcPr>
            <w:tcW w:w="30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WFL (UK) Limited</w:t>
            </w:r>
          </w:p>
        </w:tc>
        <w:tc>
          <w:tcPr>
            <w:tcW w:w="30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WFL (UK) II Limited</w:t>
            </w:r>
          </w:p>
        </w:tc>
        <w:tc>
          <w:tcPr>
            <w:tcW w:w="30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WFL Mozambique, Lda</w:t>
            </w:r>
          </w:p>
        </w:tc>
        <w:tc>
          <w:tcPr>
            <w:tcW w:w="3020" w:type="dxa"/>
            <w:vAlign w:val="bottom"/>
            <w:gridSpan w:val="2"/>
          </w:tcPr>
          <w:p>
            <w:pPr>
              <w:spacing w:after="0"/>
              <w:rPr>
                <w:sz w:val="20"/>
                <w:szCs w:val="20"/>
                <w:color w:val="auto"/>
              </w:rPr>
            </w:pPr>
            <w:r>
              <w:rPr>
                <w:rFonts w:ascii="Arial" w:cs="Arial" w:eastAsia="Arial" w:hAnsi="Arial"/>
                <w:sz w:val="18"/>
                <w:szCs w:val="18"/>
                <w:color w:val="auto"/>
              </w:rPr>
              <w:t>Mozambique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&amp; J Company Limited</w:t>
            </w:r>
          </w:p>
        </w:tc>
        <w:tc>
          <w:tcPr>
            <w:tcW w:w="302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Agencia de Naves, Limitada</w:t>
            </w:r>
          </w:p>
        </w:tc>
        <w:tc>
          <w:tcPr>
            <w:tcW w:w="302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Commercial Consulting (Shanghai) Co., Ltd.</w:t>
            </w:r>
          </w:p>
        </w:tc>
        <w:tc>
          <w:tcPr>
            <w:tcW w:w="3020" w:type="dxa"/>
            <w:vAlign w:val="bottom"/>
            <w:gridSpan w:val="2"/>
          </w:tcPr>
          <w:p>
            <w:pPr>
              <w:spacing w:after="0"/>
              <w:rPr>
                <w:sz w:val="20"/>
                <w:szCs w:val="20"/>
                <w:color w:val="auto"/>
              </w:rPr>
            </w:pPr>
            <w:r>
              <w:rPr>
                <w:rFonts w:ascii="Arial" w:cs="Arial" w:eastAsia="Arial" w:hAnsi="Arial"/>
                <w:sz w:val="18"/>
                <w:szCs w:val="18"/>
                <w:color w:val="auto"/>
                <w:w w:val="99"/>
              </w:rPr>
              <w:t>Shanghai, People's Republic of China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Danish Holding Company I ApS *</w:t>
            </w:r>
          </w:p>
        </w:tc>
        <w:tc>
          <w:tcPr>
            <w:tcW w:w="302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Danish Holding Company I ApS - Norway Branch</w:t>
            </w:r>
          </w:p>
        </w:tc>
        <w:tc>
          <w:tcPr>
            <w:tcW w:w="302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Danish Holding Partnership K/S</w:t>
            </w:r>
          </w:p>
        </w:tc>
        <w:tc>
          <w:tcPr>
            <w:tcW w:w="302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UK Holding Company II Limited</w:t>
            </w:r>
          </w:p>
        </w:tc>
        <w:tc>
          <w:tcPr>
            <w:tcW w:w="30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UK Holding Company III Limited</w:t>
            </w:r>
          </w:p>
        </w:tc>
        <w:tc>
          <w:tcPr>
            <w:tcW w:w="30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UK Holding Partnership II LP</w:t>
            </w:r>
          </w:p>
        </w:tc>
        <w:tc>
          <w:tcPr>
            <w:tcW w:w="30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UK Holding Partnership III LP</w:t>
            </w:r>
          </w:p>
        </w:tc>
        <w:tc>
          <w:tcPr>
            <w:tcW w:w="30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UK Holding Partnership LP</w:t>
            </w:r>
          </w:p>
        </w:tc>
        <w:tc>
          <w:tcPr>
            <w:tcW w:w="30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I LLC</w:t>
            </w:r>
          </w:p>
        </w:tc>
        <w:tc>
          <w:tcPr>
            <w:tcW w:w="30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II LLC</w:t>
            </w:r>
          </w:p>
        </w:tc>
        <w:tc>
          <w:tcPr>
            <w:tcW w:w="302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III LLC</w:t>
            </w:r>
          </w:p>
        </w:tc>
        <w:tc>
          <w:tcPr>
            <w:tcW w:w="302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IV, LLC</w:t>
            </w:r>
          </w:p>
        </w:tc>
        <w:tc>
          <w:tcPr>
            <w:tcW w:w="302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V, LLC</w:t>
            </w:r>
          </w:p>
        </w:tc>
        <w:tc>
          <w:tcPr>
            <w:tcW w:w="302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VI, LLC</w:t>
            </w:r>
          </w:p>
        </w:tc>
        <w:tc>
          <w:tcPr>
            <w:tcW w:w="302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VII, LLC</w:t>
            </w:r>
          </w:p>
        </w:tc>
        <w:tc>
          <w:tcPr>
            <w:tcW w:w="302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Capital Limited</w:t>
            </w:r>
          </w:p>
        </w:tc>
        <w:tc>
          <w:tcPr>
            <w:tcW w:w="30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Cayman Holding Company I</w:t>
            </w:r>
          </w:p>
        </w:tc>
        <w:tc>
          <w:tcPr>
            <w:tcW w:w="302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Cayman Holding Company III</w:t>
            </w:r>
          </w:p>
        </w:tc>
        <w:tc>
          <w:tcPr>
            <w:tcW w:w="302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Cayman Holding Company IV *</w:t>
            </w:r>
          </w:p>
        </w:tc>
        <w:tc>
          <w:tcPr>
            <w:tcW w:w="302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Cayman Holding Company V *</w:t>
            </w:r>
          </w:p>
        </w:tc>
        <w:tc>
          <w:tcPr>
            <w:tcW w:w="302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CX, LLC</w:t>
            </w:r>
          </w:p>
        </w:tc>
        <w:tc>
          <w:tcPr>
            <w:tcW w:w="3020" w:type="dxa"/>
            <w:vAlign w:val="bottom"/>
            <w:gridSpan w:val="2"/>
          </w:tcPr>
          <w:p>
            <w:pPr>
              <w:spacing w:after="0"/>
              <w:rPr>
                <w:sz w:val="20"/>
                <w:szCs w:val="20"/>
                <w:color w:val="auto"/>
              </w:rPr>
            </w:pPr>
            <w:r>
              <w:rPr>
                <w:rFonts w:ascii="Arial" w:cs="Arial" w:eastAsia="Arial" w:hAnsi="Arial"/>
                <w:sz w:val="18"/>
                <w:szCs w:val="18"/>
                <w:color w:val="auto"/>
              </w:rPr>
              <w:t>Kansas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Gas and Power Limited</w:t>
            </w:r>
          </w:p>
        </w:tc>
        <w:tc>
          <w:tcPr>
            <w:tcW w:w="30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International S.R.L.</w:t>
            </w:r>
          </w:p>
        </w:tc>
        <w:tc>
          <w:tcPr>
            <w:tcW w:w="302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(Australia) Pty Ltd</w:t>
            </w:r>
          </w:p>
        </w:tc>
        <w:tc>
          <w:tcPr>
            <w:tcW w:w="302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(Bahamas) LLC</w:t>
            </w:r>
          </w:p>
        </w:tc>
        <w:tc>
          <w:tcPr>
            <w:tcW w:w="302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(Costa Rica) Limitada *</w:t>
            </w:r>
          </w:p>
        </w:tc>
        <w:tc>
          <w:tcPr>
            <w:tcW w:w="302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(Denmark) ApS</w:t>
            </w:r>
          </w:p>
        </w:tc>
        <w:tc>
          <w:tcPr>
            <w:tcW w:w="302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(KG) Limited Liability Company</w:t>
            </w:r>
          </w:p>
        </w:tc>
        <w:tc>
          <w:tcPr>
            <w:tcW w:w="3020" w:type="dxa"/>
            <w:vAlign w:val="bottom"/>
            <w:gridSpan w:val="2"/>
          </w:tcPr>
          <w:p>
            <w:pPr>
              <w:spacing w:after="0"/>
              <w:rPr>
                <w:sz w:val="20"/>
                <w:szCs w:val="20"/>
                <w:color w:val="auto"/>
              </w:rPr>
            </w:pPr>
            <w:r>
              <w:rPr>
                <w:rFonts w:ascii="Arial" w:cs="Arial" w:eastAsia="Arial" w:hAnsi="Arial"/>
                <w:sz w:val="18"/>
                <w:szCs w:val="18"/>
                <w:color w:val="auto"/>
              </w:rPr>
              <w:t>Kyrgyzstan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(Malaysia) Sdn. Bhd.</w:t>
            </w:r>
          </w:p>
        </w:tc>
        <w:tc>
          <w:tcPr>
            <w:tcW w:w="302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(New Zealand) Limited</w:t>
            </w:r>
          </w:p>
        </w:tc>
        <w:tc>
          <w:tcPr>
            <w:tcW w:w="3020" w:type="dxa"/>
            <w:vAlign w:val="bottom"/>
            <w:gridSpan w:val="2"/>
          </w:tcPr>
          <w:p>
            <w:pPr>
              <w:spacing w:after="0"/>
              <w:rPr>
                <w:sz w:val="20"/>
                <w:szCs w:val="20"/>
                <w:color w:val="auto"/>
              </w:rPr>
            </w:pPr>
            <w:r>
              <w:rPr>
                <w:rFonts w:ascii="Arial" w:cs="Arial" w:eastAsia="Arial" w:hAnsi="Arial"/>
                <w:sz w:val="18"/>
                <w:szCs w:val="18"/>
                <w:color w:val="auto"/>
              </w:rPr>
              <w:t>New Zealand</w:t>
            </w:r>
          </w:p>
        </w:tc>
      </w:tr>
      <w:tr>
        <w:trPr>
          <w:trHeight w:val="242"/>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(Panama) Limited Liability Company</w:t>
            </w:r>
          </w:p>
        </w:tc>
        <w:tc>
          <w:tcPr>
            <w:tcW w:w="302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17"/>
        </w:trPr>
        <w:tc>
          <w:tcPr>
            <w:tcW w:w="5140" w:type="dxa"/>
            <w:vAlign w:val="bottom"/>
            <w:gridSpan w:val="2"/>
          </w:tcPr>
          <w:p>
            <w:pPr>
              <w:spacing w:after="0"/>
              <w:rPr>
                <w:sz w:val="20"/>
                <w:szCs w:val="20"/>
                <w:color w:val="auto"/>
              </w:rPr>
            </w:pPr>
            <w:r>
              <w:rPr>
                <w:rFonts w:ascii="Arial" w:cs="Arial" w:eastAsia="Arial" w:hAnsi="Arial"/>
                <w:sz w:val="18"/>
                <w:szCs w:val="18"/>
                <w:color w:val="auto"/>
              </w:rPr>
              <w:t>Sociedad de Responsabilidad Limitada *</w:t>
            </w:r>
          </w:p>
        </w:tc>
        <w:tc>
          <w:tcPr>
            <w:tcW w:w="10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(Singapore) Pte Ltd</w:t>
            </w:r>
          </w:p>
        </w:tc>
        <w:tc>
          <w:tcPr>
            <w:tcW w:w="30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(South Africa) (Pty) Ltd</w:t>
            </w:r>
          </w:p>
        </w:tc>
        <w:tc>
          <w:tcPr>
            <w:tcW w:w="302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Argentina S.R.L.</w:t>
            </w:r>
          </w:p>
        </w:tc>
        <w:tc>
          <w:tcPr>
            <w:tcW w:w="302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Aviation Limited</w:t>
            </w:r>
          </w:p>
        </w:tc>
        <w:tc>
          <w:tcPr>
            <w:tcW w:w="30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Belgium BVBA</w:t>
            </w:r>
          </w:p>
        </w:tc>
        <w:tc>
          <w:tcPr>
            <w:tcW w:w="30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Canada, ULC</w:t>
            </w:r>
          </w:p>
        </w:tc>
        <w:tc>
          <w:tcPr>
            <w:tcW w:w="302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Chile, Limitada</w:t>
            </w:r>
          </w:p>
        </w:tc>
        <w:tc>
          <w:tcPr>
            <w:tcW w:w="302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Company, LLC</w:t>
            </w:r>
          </w:p>
        </w:tc>
        <w:tc>
          <w:tcPr>
            <w:tcW w:w="3020" w:type="dxa"/>
            <w:vAlign w:val="bottom"/>
            <w:gridSpan w:val="2"/>
          </w:tcPr>
          <w:p>
            <w:pPr>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10219"/>
          </w:cols>
          <w:pgMar w:left="240" w:top="362" w:right="1440"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Exhibit 21.1</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b w:val="1"/>
                <w:bCs w:val="1"/>
                <w:color w:val="auto"/>
                <w:w w:val="98"/>
              </w:rPr>
              <w:t>Entity Name</w:t>
            </w:r>
          </w:p>
        </w:tc>
        <w:tc>
          <w:tcPr>
            <w:tcW w:w="4100" w:type="dxa"/>
            <w:vAlign w:val="bottom"/>
          </w:tcPr>
          <w:p>
            <w:pPr>
              <w:spacing w:after="0"/>
              <w:rPr>
                <w:sz w:val="17"/>
                <w:szCs w:val="17"/>
                <w:color w:val="auto"/>
              </w:rPr>
            </w:pP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Jurisdiction</w:t>
            </w:r>
          </w:p>
        </w:tc>
      </w:tr>
      <w:tr>
        <w:trPr>
          <w:trHeight w:val="20"/>
        </w:trPr>
        <w:tc>
          <w:tcPr>
            <w:tcW w:w="10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7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Company, LLC - Honduras Branch</w:t>
            </w:r>
          </w:p>
        </w:tc>
        <w:tc>
          <w:tcPr>
            <w:tcW w:w="1720" w:type="dxa"/>
            <w:vAlign w:val="bottom"/>
            <w:gridSpan w:val="2"/>
          </w:tcPr>
          <w:p>
            <w:pPr>
              <w:spacing w:after="0"/>
              <w:rPr>
                <w:sz w:val="20"/>
                <w:szCs w:val="20"/>
                <w:color w:val="auto"/>
              </w:rPr>
            </w:pPr>
            <w:r>
              <w:rPr>
                <w:rFonts w:ascii="Arial" w:cs="Arial" w:eastAsia="Arial" w:hAnsi="Arial"/>
                <w:sz w:val="18"/>
                <w:szCs w:val="18"/>
                <w:color w:val="auto"/>
              </w:rPr>
              <w:t>Honduras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Corporate Aviation Support Services,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CZ s.r.o.</w:t>
            </w:r>
          </w:p>
        </w:tc>
        <w:tc>
          <w:tcPr>
            <w:tcW w:w="172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Europe,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European Holding Company I,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Finance Company II S.à.r.L.</w:t>
            </w:r>
          </w:p>
        </w:tc>
        <w:tc>
          <w:tcPr>
            <w:tcW w:w="172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Finance Company S.à.r.L.</w:t>
            </w:r>
          </w:p>
        </w:tc>
        <w:tc>
          <w:tcPr>
            <w:tcW w:w="172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France SAS</w:t>
            </w:r>
          </w:p>
        </w:tc>
        <w:tc>
          <w:tcPr>
            <w:tcW w:w="172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International (Panama)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Italy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Japan G.K.</w:t>
            </w:r>
          </w:p>
        </w:tc>
        <w:tc>
          <w:tcPr>
            <w:tcW w:w="172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Kenya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Kenya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México, S. de R.L. de C.V.</w:t>
            </w:r>
          </w:p>
        </w:tc>
        <w:tc>
          <w:tcPr>
            <w:tcW w:w="17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Pakistan (Pvt.)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Pakistan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Peru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Peru</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Private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Trading DMCC</w:t>
            </w:r>
          </w:p>
        </w:tc>
        <w:tc>
          <w:tcPr>
            <w:tcW w:w="1720" w:type="dxa"/>
            <w:vAlign w:val="bottom"/>
            <w:gridSpan w:val="2"/>
          </w:tcPr>
          <w:p>
            <w:pPr>
              <w:spacing w:after="0"/>
              <w:rPr>
                <w:sz w:val="20"/>
                <w:szCs w:val="20"/>
                <w:color w:val="auto"/>
              </w:rPr>
            </w:pPr>
            <w:r>
              <w:rPr>
                <w:rFonts w:ascii="Arial" w:cs="Arial" w:eastAsia="Arial" w:hAnsi="Arial"/>
                <w:sz w:val="18"/>
                <w:szCs w:val="18"/>
                <w:color w:val="auto"/>
                <w:w w:val="99"/>
              </w:rPr>
              <w:t>United Arab Emirates</w:t>
            </w:r>
          </w:p>
        </w:tc>
      </w:tr>
      <w:tr>
        <w:trPr>
          <w:trHeight w:val="242"/>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Turkey Petrol Urunleri Dagitim Ve Ticaret</w:t>
            </w:r>
          </w:p>
        </w:tc>
        <w:tc>
          <w:tcPr>
            <w:tcW w:w="172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17"/>
        </w:trPr>
        <w:tc>
          <w:tcPr>
            <w:tcW w:w="5140" w:type="dxa"/>
            <w:vAlign w:val="bottom"/>
            <w:gridSpan w:val="2"/>
          </w:tcPr>
          <w:p>
            <w:pPr>
              <w:spacing w:after="0"/>
              <w:rPr>
                <w:sz w:val="20"/>
                <w:szCs w:val="20"/>
                <w:color w:val="auto"/>
              </w:rPr>
            </w:pPr>
            <w:r>
              <w:rPr>
                <w:rFonts w:ascii="Arial" w:cs="Arial" w:eastAsia="Arial" w:hAnsi="Arial"/>
                <w:sz w:val="18"/>
                <w:szCs w:val="18"/>
                <w:color w:val="auto"/>
              </w:rPr>
              <w:t>Limited Sirketi</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Singapore Holding Company I Pte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Singapore Holding Company II Pte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Yacht Fuel Services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513"/>
        </w:trPr>
        <w:tc>
          <w:tcPr>
            <w:tcW w:w="5140" w:type="dxa"/>
            <w:vAlign w:val="bottom"/>
            <w:gridSpan w:val="2"/>
          </w:tcPr>
          <w:p>
            <w:pPr>
              <w:spacing w:after="0"/>
              <w:rPr>
                <w:sz w:val="20"/>
                <w:szCs w:val="20"/>
                <w:color w:val="auto"/>
              </w:rPr>
            </w:pPr>
            <w:r>
              <w:rPr>
                <w:rFonts w:ascii="Arial" w:cs="Arial" w:eastAsia="Arial" w:hAnsi="Arial"/>
                <w:sz w:val="18"/>
                <w:szCs w:val="18"/>
                <w:color w:val="auto"/>
              </w:rPr>
              <w:t>*These entities are inactive.</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363" w:right="1440"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Exhibit 23.1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CERTIFIED PUBLIC ACCOUNTING FIRM</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333-212927, No. 333-161099, No. 333-144379, No. 333-130528 and No. 333-68276) of World Fuel Services Corporation of our report dated February 17, 2017 relating to the consolidated financial statements and the effectiveness of internal control over financial reporting, which appears in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2017</w:t>
      </w:r>
    </w:p>
    <w:p>
      <w:pPr>
        <w:sectPr>
          <w:pgSz w:w="11900" w:h="16838" w:orient="portrait"/>
          <w:cols w:equalWidth="0" w:num="1">
            <w:col w:w="11420"/>
          </w:cols>
          <w:pgMar w:left="240" w:top="606"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2016;</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17, 2017</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2016;</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17, 2017</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Michael J. Kasbar, the Chairman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7" w:lineRule="exact"/>
        <w:rPr>
          <w:sz w:val="20"/>
          <w:szCs w:val="20"/>
          <w:color w:val="auto"/>
        </w:rPr>
      </w:pPr>
    </w:p>
    <w:p>
      <w:pPr>
        <w:ind w:left="660" w:right="22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2016 (the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17, 2017</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70751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upperLetter"/>
      <w:start w:val="1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1)"/>
      <w:numFmt w:val="lowerRoman"/>
      <w:start w:val="1"/>
    </w:lvl>
  </w:abstractNum>
  <w:abstractNum w:abstractNumId="14">
    <w:nsid w:val="580BD78F"/>
    <w:multiLevelType w:val="hybridMultilevel"/>
    <w:lvl w:ilvl="0">
      <w:lvlJc w:val="left"/>
      <w:lvlText w:val="(%1)"/>
      <w:numFmt w:val="lowerLetter"/>
      <w:start w:val="2"/>
    </w:lvl>
  </w:abstractNum>
  <w:abstractNum w:abstractNumId="15">
    <w:nsid w:val="153EA438"/>
    <w:multiLevelType w:val="hybridMultilevel"/>
    <w:lvl w:ilvl="0">
      <w:lvlJc w:val="left"/>
      <w:lvlText w:val="*"/>
      <w:numFmt w:val="bullet"/>
      <w:start w:val="1"/>
    </w:lvl>
    <w:lvl w:ilvl="1">
      <w:lvlJc w:val="left"/>
      <w:lvlText w:val="%2"/>
      <w:numFmt w:val="decimal"/>
      <w:start w:val="10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1."/>
      <w:numFmt w:val="decimal"/>
      <w:start w:val="3"/>
    </w:lvl>
  </w:abstractNum>
  <w:abstractNum w:abstractNumId="18">
    <w:nsid w:val="6A2342EC"/>
    <w:multiLevelType w:val="hybridMultilevel"/>
    <w:lvl w:ilvl="0">
      <w:lvlJc w:val="left"/>
      <w:lvlText w:val="(%1)"/>
      <w:numFmt w:val="lowerLetter"/>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8"/>
    </w:lvl>
  </w:abstractNum>
  <w:abstractNum w:abstractNumId="21">
    <w:nsid w:val="725A06FB"/>
    <w:multiLevelType w:val="hybridMultilevel"/>
    <w:lvl w:ilvl="0">
      <w:lvlJc w:val="left"/>
      <w:lvlText w:val="%1."/>
      <w:numFmt w:val="decimal"/>
      <w:start w:val="9"/>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12"/>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2"/>
    </w:lvl>
  </w:abstractNum>
  <w:abstractNum w:abstractNumId="27">
    <w:nsid w:val="6DE91B1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8">
    <w:nsid w:val="38437FDB"/>
    <w:multiLevelType w:val="hybridMultilevel"/>
    <w:lvl w:ilvl="0">
      <w:lvlJc w:val="left"/>
      <w:lvlText w:val="%1"/>
      <w:numFmt w:val="decimal"/>
      <w:start w:val="1"/>
    </w:lvl>
    <w:lvl w:ilvl="1">
      <w:lvlJc w:val="left"/>
      <w:lvlText w:val="(%2)"/>
      <w:numFmt w:val="lowerLetter"/>
      <w:start w:val="3"/>
    </w:lvl>
  </w:abstractNum>
  <w:abstractNum w:abstractNumId="29">
    <w:nsid w:val="7644A45C"/>
    <w:multiLevelType w:val="hybridMultilevel"/>
    <w:lvl w:ilvl="0">
      <w:lvlJc w:val="left"/>
      <w:lvlText w:val="%1."/>
      <w:numFmt w:val="decimal"/>
      <w:start w:val="1"/>
    </w:lvl>
    <w:lvl w:ilvl="1">
      <w:lvlJc w:val="left"/>
      <w:lvlText w:val="%2"/>
      <w:numFmt w:val="lowerLetter"/>
      <w:start w:val="1"/>
    </w:lvl>
  </w:abstractNum>
  <w:abstractNum w:abstractNumId="30">
    <w:nsid w:val="32FFF902"/>
    <w:multiLevelType w:val="hybridMultilevel"/>
    <w:lvl w:ilvl="0">
      <w:lvlJc w:val="left"/>
      <w:lvlText w:val="%1."/>
      <w:numFmt w:val="decimal"/>
      <w:start w:val="3"/>
    </w:lvl>
    <w:lvl w:ilvl="1">
      <w:lvlJc w:val="left"/>
      <w:lvlText w:val="(%2)"/>
      <w:numFmt w:val="lowerLetter"/>
      <w:start w:val="1"/>
    </w:lvl>
  </w:abstractNum>
  <w:abstractNum w:abstractNumId="31">
    <w:nsid w:val="684A481A"/>
    <w:multiLevelType w:val="hybridMultilevel"/>
    <w:lvl w:ilvl="0">
      <w:lvlJc w:val="left"/>
      <w:lvlText w:val="%1."/>
      <w:numFmt w:val="decimal"/>
      <w:start w:val="5"/>
    </w:lvl>
  </w:abstractNum>
  <w:abstractNum w:abstractNumId="32">
    <w:nsid w:val="579478FE"/>
    <w:multiLevelType w:val="hybridMultilevel"/>
    <w:lvl w:ilvl="0">
      <w:lvlJc w:val="left"/>
      <w:lvlText w:val="%1."/>
      <w:numFmt w:val="decimal"/>
      <w:start w:val="11"/>
    </w:lvl>
  </w:abstractNum>
  <w:abstractNum w:abstractNumId="33">
    <w:nsid w:val="749ABB43"/>
    <w:multiLevelType w:val="hybridMultilevel"/>
    <w:lvl w:ilvl="0">
      <w:lvlJc w:val="left"/>
      <w:lvlText w:val="%1."/>
      <w:numFmt w:val="decimal"/>
      <w:start w:val="20"/>
    </w:lvl>
    <w:lvl w:ilvl="1">
      <w:lvlJc w:val="left"/>
      <w:lvlText w:val="(%2)"/>
      <w:numFmt w:val="lowerLetter"/>
      <w:start w:val="1"/>
    </w:lvl>
  </w:abstractNum>
  <w:abstractNum w:abstractNumId="34">
    <w:nsid w:val="3DC240FB"/>
    <w:multiLevelType w:val="hybridMultilevel"/>
    <w:lvl w:ilvl="0">
      <w:lvlJc w:val="left"/>
      <w:lvlText w:val="%1"/>
      <w:numFmt w:val="decimal"/>
      <w:start w:val="1"/>
    </w:lvl>
    <w:lvl w:ilvl="1">
      <w:lvlJc w:val="left"/>
      <w:lvlText w:val="(%2)"/>
      <w:numFmt w:val="lowerLetter"/>
      <w:start w:val="2"/>
    </w:lvl>
  </w:abstractNum>
  <w:abstractNum w:abstractNumId="35">
    <w:nsid w:val="1BA026FA"/>
    <w:multiLevelType w:val="hybridMultilevel"/>
    <w:lvl w:ilvl="0">
      <w:lvlJc w:val="left"/>
      <w:lvlText w:val="%1."/>
      <w:numFmt w:val="decimal"/>
      <w:start w:val="23"/>
    </w:lvl>
    <w:lvl w:ilvl="1">
      <w:lvlJc w:val="left"/>
      <w:lvlText w:val="%2"/>
      <w:numFmt w:val="lowerLetter"/>
      <w:start w:val="1"/>
    </w:lvl>
  </w:abstractNum>
  <w:abstractNum w:abstractNumId="36">
    <w:nsid w:val="79A1DEAA"/>
    <w:multiLevelType w:val="hybridMultilevel"/>
    <w:lvl w:ilvl="0">
      <w:lvlJc w:val="left"/>
      <w:lvlText w:val="%1."/>
      <w:numFmt w:val="decimal"/>
      <w:start w:val="1"/>
    </w:lvl>
    <w:lvl w:ilvl="1">
      <w:lvlJc w:val="left"/>
      <w:lvlText w:val="(%2)"/>
      <w:numFmt w:val="lowerLetter"/>
      <w:start w:val="1"/>
    </w:lvl>
  </w:abstractNum>
  <w:abstractNum w:abstractNumId="37">
    <w:nsid w:val="75C6C33A"/>
    <w:multiLevelType w:val="hybridMultilevel"/>
    <w:lvl w:ilvl="0">
      <w:lvlJc w:val="left"/>
      <w:lvlText w:val="(%1)"/>
      <w:numFmt w:val="lowerLetter"/>
      <w:start w:val="1"/>
    </w:lvl>
    <w:lvl w:ilvl="1">
      <w:lvlJc w:val="left"/>
      <w:lvlText w:val="(%2)"/>
      <w:numFmt w:val="lowerRoman"/>
      <w:start w:val="1"/>
    </w:lvl>
  </w:abstractNum>
  <w:abstractNum w:abstractNumId="38">
    <w:nsid w:val="12E685FB"/>
    <w:multiLevelType w:val="hybridMultilevel"/>
    <w:lvl w:ilvl="0">
      <w:lvlJc w:val="left"/>
      <w:lvlText w:val="(%1)"/>
      <w:numFmt w:val="lowerRoman"/>
      <w:start w:val="3"/>
    </w:lvl>
  </w:abstractNum>
  <w:abstractNum w:abstractNumId="39">
    <w:nsid w:val="70C6A529"/>
    <w:multiLevelType w:val="hybridMultilevel"/>
    <w:lvl w:ilvl="0">
      <w:lvlJc w:val="left"/>
      <w:lvlText w:val="(%1)"/>
      <w:numFmt w:val="lowerLetter"/>
      <w:start w:val="4"/>
    </w:lvl>
  </w:abstractNum>
  <w:abstractNum w:abstractNumId="40">
    <w:nsid w:val="520EEDD1"/>
    <w:multiLevelType w:val="hybridMultilevel"/>
    <w:lvl w:ilvl="0">
      <w:lvlJc w:val="left"/>
      <w:lvlText w:val="%1"/>
      <w:numFmt w:val="decimal"/>
      <w:start w:val="1"/>
    </w:lvl>
    <w:lvl w:ilvl="1">
      <w:lvlJc w:val="left"/>
      <w:lvlText w:val="(%2)"/>
      <w:numFmt w:val="lowerLetter"/>
      <w:start w:val="3"/>
    </w:lvl>
  </w:abstractNum>
  <w:abstractNum w:abstractNumId="41">
    <w:nsid w:val="374A3FE6"/>
    <w:multiLevelType w:val="hybridMultilevel"/>
    <w:lvl w:ilvl="0">
      <w:lvlJc w:val="left"/>
      <w:lvlText w:val="%1."/>
      <w:numFmt w:val="decimal"/>
      <w:start w:val="3"/>
    </w:lvl>
    <w:lvl w:ilvl="1">
      <w:lvlJc w:val="left"/>
      <w:lvlText w:val="%2"/>
      <w:numFmt w:val="lowerLetter"/>
      <w:start w:val="1"/>
    </w:lvl>
  </w:abstractNum>
  <w:abstractNum w:abstractNumId="42">
    <w:nsid w:val="4F4EF0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3">
    <w:nsid w:val="23F9C13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4">
    <w:nsid w:val="649BB77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5">
    <w:nsid w:val="275AC794"/>
    <w:multiLevelType w:val="hybridMultilevel"/>
    <w:lvl w:ilvl="0">
      <w:lvlJc w:val="left"/>
      <w:lvlText w:val="(%1)"/>
      <w:numFmt w:val="upperLetter"/>
      <w:start w:val="1"/>
    </w:lvl>
  </w:abstractNum>
  <w:abstractNum w:abstractNumId="46">
    <w:nsid w:val="39386575"/>
    <w:multiLevelType w:val="hybridMultilevel"/>
    <w:lvl w:ilvl="0">
      <w:lvlJc w:val="left"/>
      <w:lvlText w:val="(%1)"/>
      <w:numFmt w:val="upperLetter"/>
      <w:start w:val="2"/>
    </w:lvl>
    <w:lvl w:ilvl="1">
      <w:lvlJc w:val="left"/>
      <w:lvlText w:val="(%2)"/>
      <w:numFmt w:val="lowerRoman"/>
      <w:start w:val="2"/>
    </w:lvl>
  </w:abstractNum>
  <w:abstractNum w:abstractNumId="47">
    <w:nsid w:val="1CF10FD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1"/>
    </w:lvl>
  </w:abstractNum>
  <w:abstractNum w:abstractNumId="48">
    <w:nsid w:val="180115B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upperLetter"/>
      <w:start w:val="1"/>
    </w:lvl>
  </w:abstractNum>
  <w:abstractNum w:abstractNumId="49">
    <w:nsid w:val="235BA86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upperLetter"/>
      <w:start w:val="1"/>
    </w:lvl>
  </w:abstractNum>
  <w:abstractNum w:abstractNumId="50">
    <w:nsid w:val="47398C8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upperLetter"/>
      <w:start w:val="1"/>
    </w:lvl>
  </w:abstractNum>
  <w:abstractNum w:abstractNumId="51">
    <w:nsid w:val="354FE9F9"/>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2"/>
    </w:lvl>
    <w:lvl w:ilvl="3">
      <w:lvlJc w:val="left"/>
      <w:lvlText w:val="%4"/>
      <w:numFmt w:val="lowerLetter"/>
      <w:start w:val="1"/>
    </w:lvl>
  </w:abstractNum>
  <w:abstractNum w:abstractNumId="52">
    <w:nsid w:val="15B5AF5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53">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4">
    <w:nsid w:val="D34B6A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55">
    <w:nsid w:val="10233C99"/>
    <w:multiLevelType w:val="hybridMultilevel"/>
    <w:lvl w:ilvl="0">
      <w:lvlJc w:val="left"/>
      <w:lvlText w:val="%1"/>
      <w:numFmt w:val="decimal"/>
      <w:start w:val="1"/>
    </w:lvl>
    <w:lvl w:ilvl="1">
      <w:lvlJc w:val="left"/>
      <w:lvlText w:val="(%2)"/>
      <w:numFmt w:val="lowerLetter"/>
      <w:start w:val="3"/>
    </w:lvl>
  </w:abstractNum>
  <w:abstractNum w:abstractNumId="56">
    <w:nsid w:val="3F6AB60F"/>
    <w:multiLevelType w:val="hybridMultilevel"/>
    <w:lvl w:ilvl="0">
      <w:lvlJc w:val="left"/>
      <w:lvlText w:val="%1."/>
      <w:numFmt w:val="decimal"/>
      <w:start w:val="10"/>
    </w:lvl>
    <w:lvl w:ilvl="1">
      <w:lvlJc w:val="left"/>
      <w:lvlText w:val="%2"/>
      <w:numFmt w:val="lowerLetter"/>
      <w:start w:val="1"/>
    </w:lvl>
  </w:abstractNum>
  <w:abstractNum w:abstractNumId="57">
    <w:nsid w:val="61574095"/>
    <w:multiLevelType w:val="hybridMultilevel"/>
    <w:lvl w:ilvl="0">
      <w:lvlJc w:val="left"/>
      <w:lvlText w:val="%1."/>
      <w:numFmt w:val="decimal"/>
      <w:start w:val="2"/>
    </w:lvl>
  </w:abstractNum>
  <w:abstractNum w:abstractNumId="58">
    <w:nsid w:val="7E0C57B1"/>
    <w:multiLevelType w:val="hybridMultilevel"/>
    <w:lvl w:ilvl="0">
      <w:lvlJc w:val="left"/>
      <w:lvlText w:val="%1."/>
      <w:numFmt w:val="decimal"/>
      <w:start w:val="11"/>
    </w:lvl>
  </w:abstractNum>
  <w:abstractNum w:abstractNumId="59">
    <w:nsid w:val="77AE35EB"/>
    <w:multiLevelType w:val="hybridMultilevel"/>
    <w:lvl w:ilvl="0">
      <w:lvlJc w:val="left"/>
      <w:lvlText w:val="%1."/>
      <w:numFmt w:val="decimal"/>
      <w:start w:val="16"/>
    </w:lvl>
    <w:lvl w:ilvl="1">
      <w:lvlJc w:val="left"/>
      <w:lvlText w:val="(%2)"/>
      <w:numFmt w:val="lowerLetter"/>
      <w:start w:val="1"/>
    </w:lvl>
  </w:abstractNum>
  <w:abstractNum w:abstractNumId="60">
    <w:nsid w:val="579BE4F1"/>
    <w:multiLevelType w:val="hybridMultilevel"/>
    <w:lvl w:ilvl="0">
      <w:lvlJc w:val="left"/>
      <w:lvlText w:val="(%1)"/>
      <w:numFmt w:val="lowerLetter"/>
      <w:start w:val="2"/>
    </w:lvl>
    <w:lvl w:ilvl="1">
      <w:lvlJc w:val="left"/>
      <w:lvlText w:val="(%2)"/>
      <w:numFmt w:val="lowerRoman"/>
      <w:start w:val="1"/>
    </w:lvl>
  </w:abstractNum>
  <w:abstractNum w:abstractNumId="61">
    <w:nsid w:val="310C50B3"/>
    <w:multiLevelType w:val="hybridMultilevel"/>
    <w:lvl w:ilvl="0">
      <w:lvlJc w:val="left"/>
      <w:lvlText w:val="%1"/>
      <w:numFmt w:val="decimal"/>
      <w:start w:val="1"/>
    </w:lvl>
    <w:lvl w:ilvl="1">
      <w:lvlJc w:val="left"/>
      <w:lvlText w:val="(%2)"/>
      <w:numFmt w:val="lowerLetter"/>
      <w:start w:val="3"/>
    </w:lvl>
  </w:abstractNum>
  <w:abstractNum w:abstractNumId="62">
    <w:nsid w:val="5FF87E05"/>
    <w:multiLevelType w:val="hybridMultilevel"/>
    <w:lvl w:ilvl="0">
      <w:lvlJc w:val="left"/>
      <w:lvlText w:val="%1."/>
      <w:numFmt w:val="decimal"/>
      <w:start w:val="2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2019-12-29T07:24:32Z</dcterms:created>
  <dcterms:modified xsi:type="dcterms:W3CDTF">2019-12-29T07:24:32Z</dcterms:modified>
</cp:coreProperties>
</file>