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Washington, DC 20549</w:t>
      </w:r>
    </w:p>
    <w:p>
      <w:pPr>
        <w:spacing w:after="0" w:line="8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FORM 10-K</w:t>
      </w:r>
    </w:p>
    <w:p>
      <w:pPr>
        <w:spacing w:after="0" w:line="19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59" w:lineRule="exact"/>
        <w:rPr>
          <w:sz w:val="24"/>
          <w:szCs w:val="24"/>
          <w:color w:val="auto"/>
        </w:rPr>
      </w:pPr>
    </w:p>
    <w:p>
      <w:pPr>
        <w:ind w:left="40" w:right="3260" w:hanging="5"/>
        <w:spacing w:after="0" w:line="317" w:lineRule="auto"/>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2017</w:t>
      </w:r>
    </w:p>
    <w:p>
      <w:pPr>
        <w:ind w:left="40"/>
        <w:spacing w:after="0"/>
        <w:rPr>
          <w:rFonts w:ascii="MS PGothic" w:cs="MS PGothic" w:eastAsia="MS PGothic" w:hAnsi="MS PGothic"/>
          <w:sz w:val="16"/>
          <w:szCs w:val="16"/>
          <w:color w:val="auto"/>
        </w:rPr>
      </w:pPr>
      <w:r>
        <w:rPr>
          <w:rFonts w:ascii="Arial" w:cs="Arial" w:eastAsia="Arial" w:hAnsi="Arial"/>
          <w:sz w:val="16"/>
          <w:szCs w:val="16"/>
          <w:color w:val="auto"/>
        </w:rPr>
        <w:t>OR</w:t>
      </w:r>
    </w:p>
    <w:p>
      <w:pPr>
        <w:spacing w:after="0" w:line="17" w:lineRule="exact"/>
        <w:rPr>
          <w:rFonts w:ascii="MS PGothic" w:cs="MS PGothic" w:eastAsia="MS PGothic" w:hAnsi="MS PGothic"/>
          <w:sz w:val="16"/>
          <w:szCs w:val="16"/>
          <w:color w:val="auto"/>
        </w:rPr>
      </w:pPr>
    </w:p>
    <w:p>
      <w:pPr>
        <w:ind w:left="4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TRANSITION REPORT PURSUANT TO SECTION 13 OR 15(d) OF THE SECURITIES EXCHANGE ACT OF 1934</w:t>
      </w:r>
    </w:p>
    <w:p>
      <w:pPr>
        <w:spacing w:after="0" w:line="101" w:lineRule="exact"/>
        <w:rPr>
          <w:sz w:val="24"/>
          <w:szCs w:val="24"/>
          <w:color w:val="auto"/>
        </w:rPr>
      </w:pPr>
    </w:p>
    <w:p>
      <w:pPr>
        <w:ind w:left="40"/>
        <w:spacing w:after="0"/>
        <w:tabs>
          <w:tab w:leader="none" w:pos="2360" w:val="left"/>
        </w:tabs>
        <w:rPr>
          <w:sz w:val="20"/>
          <w:szCs w:val="20"/>
          <w:color w:val="auto"/>
        </w:rPr>
      </w:pPr>
      <w:r>
        <w:rPr>
          <w:rFonts w:ascii="Arial" w:cs="Arial" w:eastAsia="Arial" w:hAnsi="Arial"/>
          <w:sz w:val="16"/>
          <w:szCs w:val="16"/>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1400810</wp:posOffset>
            </wp:positionH>
            <wp:positionV relativeFrom="paragraph">
              <wp:posOffset>-14605</wp:posOffset>
            </wp:positionV>
            <wp:extent cx="85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-14605</wp:posOffset>
            </wp:positionV>
            <wp:extent cx="85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2263775" cy="1140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775"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47"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Florida</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59-2459427</w:t>
      </w:r>
    </w:p>
    <w:p>
      <w:pPr>
        <w:spacing w:after="0" w:line="59"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59"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9800 Northwest 41st Street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Miami, Florida</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33178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48"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Registrant’s telephone number, including area code: (305) 428-8000</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47" w:right="239" w:bottom="1440" w:gutter="0" w:footer="0" w:header="0"/>
          <w:type w:val="continuous"/>
        </w:sectPr>
      </w:pPr>
    </w:p>
    <w:p>
      <w:pPr>
        <w:spacing w:after="0" w:line="79"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 of each class: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New York Stock Exchange</w:t>
      </w:r>
    </w:p>
    <w:p>
      <w:pPr>
        <w:spacing w:after="0" w:line="66" w:lineRule="exact"/>
        <w:rPr>
          <w:sz w:val="24"/>
          <w:szCs w:val="24"/>
          <w:color w:val="auto"/>
        </w:rPr>
      </w:pPr>
    </w:p>
    <w:p>
      <w:pPr>
        <w:sectPr>
          <w:pgSz w:w="11900" w:h="16838" w:orient="portrait"/>
          <w:cols w:equalWidth="0" w:num="2">
            <w:col w:w="5480" w:space="720"/>
            <w:col w:w="5220"/>
          </w:cols>
          <w:pgMar w:left="240" w:top="247"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20"/>
          </w:cols>
          <w:pgMar w:left="240" w:top="247" w:right="239" w:bottom="1440" w:gutter="0" w:footer="0" w:header="0"/>
          <w:type w:val="continuous"/>
        </w:sectPr>
      </w:pPr>
    </w:p>
    <w:p>
      <w:pPr>
        <w:spacing w:after="0" w:line="37" w:lineRule="exact"/>
        <w:rPr>
          <w:sz w:val="24"/>
          <w:szCs w:val="24"/>
          <w:color w:val="auto"/>
        </w:rPr>
      </w:pPr>
    </w:p>
    <w:p>
      <w:pPr>
        <w:ind w:right="200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4"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00" w:hanging="192"/>
        <w:spacing w:after="0" w:line="184" w:lineRule="exact"/>
        <w:tabs>
          <w:tab w:leader="none" w:pos="200" w:val="left"/>
        </w:tabs>
        <w:numPr>
          <w:ilvl w:val="0"/>
          <w:numId w:val="2"/>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76"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As of June 30, 2017, the registrant’s most recently completed second fiscal quarter, the aggregate market value of the voting and non-voting common equity held by non-affiliates computed by reference to the market price at which the common equity was last sold was $2,586,431,684.</w:t>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7, 2018, the registrant had approximately 67,644,036 shares of outstanding common stock, par value $0.01 per share.</w:t>
      </w:r>
    </w:p>
    <w:p>
      <w:pPr>
        <w:sectPr>
          <w:pgSz w:w="11900" w:h="16838" w:orient="portrait"/>
          <w:cols w:equalWidth="0" w:num="1">
            <w:col w:w="11420"/>
          </w:cols>
          <w:pgMar w:left="240" w:top="24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4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6"/>
          <w:szCs w:val="16"/>
          <w:color w:val="auto"/>
        </w:rPr>
        <w:t>Part III -</w:t>
      </w:r>
      <w:r>
        <w:rPr>
          <w:sz w:val="20"/>
          <w:szCs w:val="20"/>
          <w:color w:val="auto"/>
        </w:rPr>
        <w:tab/>
      </w:r>
      <w:r>
        <w:rPr>
          <w:rFonts w:ascii="Arial" w:cs="Arial" w:eastAsia="Arial" w:hAnsi="Arial"/>
          <w:sz w:val="16"/>
          <w:szCs w:val="16"/>
          <w:color w:val="auto"/>
        </w:rPr>
        <w:t>Specified Portions of the Registrant’s Definitive Proxy Statement for the 2018 Annual Meeting of Shareholders.</w:t>
      </w:r>
    </w:p>
    <w:p>
      <w:pPr>
        <w:sectPr>
          <w:pgSz w:w="11900" w:h="16838" w:orient="portrait"/>
          <w:cols w:equalWidth="0" w:num="1">
            <w:col w:w="10219"/>
          </w:cols>
          <w:pgMar w:left="240" w:top="14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30"/>
        </w:trPr>
        <w:tc>
          <w:tcPr>
            <w:tcW w:w="104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7"/>
        </w:trPr>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0" w:type="dxa"/>
            <w:vAlign w:val="bottom"/>
            <w:gridSpan w:val="5"/>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Item 1A.</w:t>
              </w:r>
            </w:hyperlink>
          </w:p>
        </w:tc>
        <w:tc>
          <w:tcPr>
            <w:tcW w:w="360" w:type="dxa"/>
            <w:vAlign w:val="bottom"/>
            <w:gridSpan w:val="3"/>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Risk Factors</w:t>
              </w:r>
            </w:hyperlink>
          </w:p>
        </w:tc>
        <w:tc>
          <w:tcPr>
            <w:tcW w:w="8400" w:type="dxa"/>
            <w:vAlign w:val="bottom"/>
            <w:gridSpan w:val="17"/>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37"/>
        </w:trPr>
        <w:tc>
          <w:tcPr>
            <w:tcW w:w="104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1B.</w:t>
              </w:r>
            </w:hyperlink>
          </w:p>
        </w:tc>
        <w:tc>
          <w:tcPr>
            <w:tcW w:w="940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20</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380" w:type="dxa"/>
            <w:vAlign w:val="bottom"/>
            <w:gridSpan w:val="4"/>
          </w:tcPr>
          <w:p>
            <w:pPr>
              <w:spacing w:after="0"/>
              <w:rPr>
                <w:sz w:val="20"/>
                <w:szCs w:val="20"/>
                <w:color w:val="auto"/>
              </w:rPr>
            </w:pP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160" w:type="dxa"/>
            <w:vAlign w:val="bottom"/>
            <w:gridSpan w:val="11"/>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94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27">
              <w:r>
                <w:rPr>
                  <w:rFonts w:ascii="Arial" w:cs="Arial" w:eastAsia="Arial" w:hAnsi="Arial"/>
                  <w:sz w:val="18"/>
                  <w:szCs w:val="18"/>
                  <w:b w:val="1"/>
                  <w:bCs w:val="1"/>
                  <w:color w:val="0000EE"/>
                  <w:w w:val="98"/>
                </w:rPr>
                <w:t>PART II.</w:t>
              </w:r>
            </w:hyperlink>
          </w:p>
        </w:tc>
        <w:tc>
          <w:tcPr>
            <w:tcW w:w="3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40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940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9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7.</w:t>
              </w:r>
            </w:hyperlink>
          </w:p>
        </w:tc>
        <w:tc>
          <w:tcPr>
            <w:tcW w:w="940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7A.</w:t>
              </w:r>
            </w:hyperlink>
          </w:p>
        </w:tc>
        <w:tc>
          <w:tcPr>
            <w:tcW w:w="940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9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r>
      <w:tr>
        <w:trPr>
          <w:trHeight w:val="237"/>
        </w:trPr>
        <w:tc>
          <w:tcPr>
            <w:tcW w:w="660" w:type="dxa"/>
            <w:vAlign w:val="bottom"/>
            <w:tcBorders>
              <w:top w:val="single" w:sz="8" w:color="0000EE"/>
            </w:tcBorders>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8.</w:t>
              </w:r>
            </w:hyperlink>
          </w:p>
        </w:tc>
        <w:tc>
          <w:tcPr>
            <w:tcW w:w="380" w:type="dxa"/>
            <w:vAlign w:val="bottom"/>
            <w:gridSpan w:val="4"/>
          </w:tcPr>
          <w:p>
            <w:pPr>
              <w:spacing w:after="0"/>
              <w:rPr>
                <w:sz w:val="20"/>
                <w:szCs w:val="20"/>
                <w:color w:val="auto"/>
              </w:rPr>
            </w:pPr>
          </w:p>
        </w:tc>
        <w:tc>
          <w:tcPr>
            <w:tcW w:w="4700" w:type="dxa"/>
            <w:vAlign w:val="bottom"/>
            <w:tcBorders>
              <w:top w:val="single" w:sz="8" w:color="0000EE"/>
            </w:tcBorders>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9.</w:t>
              </w:r>
            </w:hyperlink>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680" w:type="dxa"/>
            <w:vAlign w:val="bottom"/>
            <w:gridSpan w:val="4"/>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9A.</w:t>
              </w:r>
            </w:hyperlink>
          </w:p>
        </w:tc>
        <w:tc>
          <w:tcPr>
            <w:tcW w:w="360" w:type="dxa"/>
            <w:vAlign w:val="bottom"/>
            <w:gridSpan w:val="3"/>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r>
      <w:tr>
        <w:trPr>
          <w:trHeight w:val="237"/>
        </w:trPr>
        <w:tc>
          <w:tcPr>
            <w:tcW w:w="6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Item 9B.</w:t>
              </w:r>
            </w:hyperlink>
          </w:p>
        </w:tc>
        <w:tc>
          <w:tcPr>
            <w:tcW w:w="360" w:type="dxa"/>
            <w:vAlign w:val="bottom"/>
            <w:gridSpan w:val="3"/>
          </w:tcPr>
          <w:p>
            <w:pPr>
              <w:spacing w:after="0"/>
              <w:rPr>
                <w:sz w:val="20"/>
                <w:szCs w:val="20"/>
                <w:color w:val="auto"/>
              </w:rPr>
            </w:pPr>
          </w:p>
        </w:tc>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Other Information</w:t>
              </w:r>
            </w:hyperlink>
          </w:p>
        </w:tc>
        <w:tc>
          <w:tcPr>
            <w:tcW w:w="580" w:type="dxa"/>
            <w:vAlign w:val="bottom"/>
            <w:tcBorders>
              <w:top w:val="single" w:sz="8" w:color="0000EE"/>
            </w:tcBorders>
            <w:gridSpan w:val="4"/>
          </w:tcPr>
          <w:p>
            <w:pPr>
              <w:spacing w:after="0"/>
              <w:rPr>
                <w:sz w:val="20"/>
                <w:szCs w:val="20"/>
                <w:color w:val="auto"/>
              </w:rPr>
            </w:pPr>
          </w:p>
        </w:tc>
        <w:tc>
          <w:tcPr>
            <w:tcW w:w="7420" w:type="dxa"/>
            <w:vAlign w:val="bottom"/>
            <w:gridSpan w:val="12"/>
          </w:tcPr>
          <w:p>
            <w:pPr>
              <w:spacing w:after="0"/>
              <w:rPr>
                <w:sz w:val="20"/>
                <w:szCs w:val="20"/>
                <w:color w:val="auto"/>
              </w:rPr>
            </w:pPr>
          </w:p>
        </w:tc>
        <w:tc>
          <w:tcPr>
            <w:tcW w:w="9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10.</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11.</w:t>
              </w:r>
            </w:hyperlink>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12.</w:t>
              </w:r>
            </w:hyperlink>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13.</w:t>
              </w:r>
            </w:hyperlink>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14.</w:t>
              </w:r>
            </w:hyperlink>
          </w:p>
        </w:tc>
        <w:tc>
          <w:tcPr>
            <w:tcW w:w="9400" w:type="dxa"/>
            <w:vAlign w:val="bottom"/>
            <w:gridSpan w:val="2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9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72"/>
        </w:trPr>
        <w:tc>
          <w:tcPr>
            <w:tcW w:w="1040" w:type="dxa"/>
            <w:vAlign w:val="bottom"/>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2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15.</w:t>
              </w:r>
            </w:hyperlink>
          </w:p>
        </w:tc>
        <w:tc>
          <w:tcPr>
            <w:tcW w:w="320" w:type="dxa"/>
            <w:vAlign w:val="bottom"/>
          </w:tcPr>
          <w:p>
            <w:pPr>
              <w:spacing w:after="0"/>
              <w:rPr>
                <w:sz w:val="20"/>
                <w:szCs w:val="20"/>
                <w:color w:val="auto"/>
              </w:rPr>
            </w:pPr>
          </w:p>
        </w:tc>
        <w:tc>
          <w:tcPr>
            <w:tcW w:w="94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Financial Statement Schedules</w:t>
              </w:r>
            </w:hyperlink>
          </w:p>
        </w:tc>
        <w:tc>
          <w:tcPr>
            <w:tcW w:w="9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r>
      <w:tr>
        <w:trPr>
          <w:trHeight w:val="20"/>
        </w:trPr>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04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16.</w:t>
              </w:r>
            </w:hyperlink>
          </w:p>
        </w:tc>
        <w:tc>
          <w:tcPr>
            <w:tcW w:w="9400" w:type="dxa"/>
            <w:vAlign w:val="bottom"/>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Form 10-K Summary</w:t>
              </w:r>
            </w:hyperlink>
          </w:p>
        </w:tc>
        <w:tc>
          <w:tcPr>
            <w:tcW w:w="92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95">
        <w:r>
          <w:rPr>
            <w:rFonts w:ascii="Arial" w:cs="Arial" w:eastAsia="Arial" w:hAnsi="Arial"/>
            <w:sz w:val="18"/>
            <w:szCs w:val="18"/>
            <w:b w:val="1"/>
            <w:bCs w:val="1"/>
            <w:u w:val="single" w:color="auto"/>
            <w:color w:val="0000EE"/>
          </w:rPr>
          <w:t>SIGNATURES</w:t>
        </w:r>
      </w:hyperlink>
    </w:p>
    <w:p>
      <w:pPr>
        <w:sectPr>
          <w:pgSz w:w="11900" w:h="16838" w:orient="portrait"/>
          <w:cols w:equalWidth="0" w:num="1">
            <w:col w:w="11400"/>
          </w:cols>
          <w:pgMar w:left="240" w:top="140"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(“2017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20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offices throughout the United States and in various foreign jurisdictions, including, but not limited to: Brazil, Costa Rica, Norway, Singapore, the United Kingdom (“U.K.”) and the United States (“U.S.”). See “Item 2 – Properties” for a list of principal offices by business segment and “Exhibit 21.1 – Subsidiaries of the Registrant” included in this 2017 10</w:t>
      </w:r>
      <w:r>
        <w:rPr>
          <w:rFonts w:ascii="MS PGothic" w:cs="MS PGothic" w:eastAsia="MS PGothic" w:hAnsi="MS PGothic"/>
          <w:sz w:val="18"/>
          <w:szCs w:val="18"/>
          <w:color w:val="auto"/>
        </w:rPr>
        <w:t>‑</w:t>
      </w:r>
      <w:r>
        <w:rPr>
          <w:rFonts w:ascii="Arial" w:cs="Arial" w:eastAsia="Arial" w:hAnsi="Arial"/>
          <w:sz w:val="18"/>
          <w:szCs w:val="18"/>
          <w:color w:val="auto"/>
        </w:rPr>
        <w:t>K Report for a list of our subsidiaries.</w:t>
      </w:r>
    </w:p>
    <w:p>
      <w:pPr>
        <w:spacing w:after="0" w:line="21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As of February 7, 2018, we employed more than 5,000 employees globally. Our principal executive office is located at 9800 Northwest 41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2017 10</w:t>
      </w:r>
      <w:r>
        <w:rPr>
          <w:rFonts w:ascii="MS PGothic" w:cs="MS PGothic" w:eastAsia="MS PGothic" w:hAnsi="MS PGothic"/>
          <w:sz w:val="18"/>
          <w:szCs w:val="18"/>
          <w:color w:val="auto"/>
        </w:rPr>
        <w:t>‑</w:t>
      </w:r>
      <w:r>
        <w:rPr>
          <w:rFonts w:ascii="Arial" w:cs="Arial" w:eastAsia="Arial" w:hAnsi="Arial"/>
          <w:sz w:val="18"/>
          <w:szCs w:val="18"/>
          <w:color w:val="auto"/>
        </w:rPr>
        <w:t>K Report and are not incorporated by reference in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three reportable segments consisting of aviation, land and marine. During each of the years presented on the consolidated statements of income and comprehensive income, none of our aviation, land or marine customers accounted for more than 10% of any segment or total consolidated revenue. Financial information with respect to our business segments and the geographic areas of our business is provided below and within Note 13 to the accompanying consolidated financial statements included in this 2017 10-K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31"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We provide global aviation fuel supply and comprehensive service solutions to major commercial airlines, second and third-tier airlines, cargo carriers, regional and low-cost carriers, airports, fixed based operators, corporate fleets, fractional operators and private aircraft. Our aviation</w:t>
      </w:r>
      <w:r>
        <w:rPr>
          <w:rFonts w:ascii="MS PGothic" w:cs="MS PGothic" w:eastAsia="MS PGothic" w:hAnsi="MS PGothic"/>
          <w:sz w:val="18"/>
          <w:szCs w:val="18"/>
          <w:color w:val="auto"/>
        </w:rPr>
        <w:t>‑</w:t>
      </w:r>
      <w:r>
        <w:rPr>
          <w:rFonts w:ascii="Arial" w:cs="Arial" w:eastAsia="Arial" w:hAnsi="Arial"/>
          <w:sz w:val="18"/>
          <w:szCs w:val="18"/>
          <w:color w:val="auto"/>
        </w:rPr>
        <w:t>related service offerings include fuel management, price risk management, ground handling, 24/7 global dispatch services, and international trip planning services, including flight plans, weather reports and overflight permits. We also supply products and services to U.S. and foreign government, intergovernmental and military customers, such as the U.S. Defense Logistics Agency and the North Atlantic Treaty Organization (NATO). In addition, we offer card payment solutions and related processing services and technology.</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Because fuel is a major component of an aircraft’s operating costs, our customers require cost effective and professional fuel services. We have developed an extensive network, consisting of on-airport fueling operations and third</w:t>
      </w:r>
      <w:r>
        <w:rPr>
          <w:rFonts w:ascii="MS PGothic" w:cs="MS PGothic" w:eastAsia="MS PGothic" w:hAnsi="MS PGothic"/>
          <w:sz w:val="18"/>
          <w:szCs w:val="18"/>
          <w:color w:val="auto"/>
        </w:rPr>
        <w:t>‑</w:t>
      </w:r>
      <w:r>
        <w:rPr>
          <w:rFonts w:ascii="Arial" w:cs="Arial" w:eastAsia="Arial" w:hAnsi="Arial"/>
          <w:sz w:val="18"/>
          <w:szCs w:val="18"/>
          <w:color w:val="auto"/>
        </w:rPr>
        <w:t>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w:t>
      </w:r>
      <w:r>
        <w:rPr>
          <w:rFonts w:ascii="MS PGothic" w:cs="MS PGothic" w:eastAsia="MS PGothic" w:hAnsi="MS PGothic"/>
          <w:sz w:val="18"/>
          <w:szCs w:val="18"/>
          <w:color w:val="auto"/>
        </w:rPr>
        <w:t>‑</w:t>
      </w:r>
      <w:r>
        <w:rPr>
          <w:rFonts w:ascii="Arial" w:cs="Arial" w:eastAsia="Arial" w:hAnsi="Arial"/>
          <w:sz w:val="18"/>
          <w:szCs w:val="18"/>
          <w:color w:val="auto"/>
        </w:rPr>
        <w:t>quality services in locations worldwide on short notice.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purchase our aviation fuel from suppliers worldwide, which may be delivered into our customers’ aircraft or to a designated storage facility located at one of our locations or our suppliers’ locations pursuant to arrangements with them. Inventory is purchased at airport locations or shipped via pipelines and held at multiple locations for strategic reasons. We engage in contract sales, which are sales made pursuant to fuel purchase contracts with customers who commit to purchasing fuel from us over the contract term. We also conduct spot sales, which are sales that do not involve continuing contractual obligations by our customers to purchase fuel from us.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Segment</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land segment, we primarily offer fuel, heating oil, propane, natural gas, lubricants and related products and services to petroleum distributors operating in the land transportation market, retail petroleum operators, and industrial, commercial, residential and government customers. Our land related services include management services for the procurement of fuel and price risk management. We primarily conduct these activities throughout most of the U.S. as well as parts of the U.K. and Brazil. We also offer advisory and fulfillment solutions with respect to power, natural gas and other energy products through Kinect, our global energy management solutions business, with offices in the U.S, Australia and throughout Western Europe. In addition, we offer transaction management services, which include card payment solutions, government payment systems for global fuel procurement, merchant processing services, payment solutions for tolls across Europe, and commercial payment programs.</w:t>
      </w:r>
    </w:p>
    <w:p>
      <w:pPr>
        <w:spacing w:after="0" w:line="2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connection with our fuel marketing activities, we distribute fuel under long-term contracts to branded and unbranded distributors, convenience stores and retail fuel outlets operated by third parties. We also distribute heating oil and propane to residential customers and unbranded fuel to numerous other customers, including commercial and industrial customers, such as manufacturing, mining, agriculture, construction, and oil and gas exploration companies, who buy fuel in bulk and do not generally enter into exclusive contractual relationships with us, if they enter into a contractual relationship with us at all. In certain instances, we serve as a reseller, where we purchase fuel from a supplier and contemporaneously resell it to our customers through spot and contract sales. We also maintain inventory in certain strategic locations, including pipelines.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w:t>
      </w:r>
    </w:p>
    <w:p>
      <w:pPr>
        <w:spacing w:after="0" w:line="21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Finally, we provide transportation logistics for our product deliveries, including arranging for fuel products to be delivered from storage terminals to the appropriate sites through our own fleet of trucks as well as third-party transportation providers. The fuel is generally delivered to our customers directly or to a designated tanker truck loading terminal commonly referred to as “racks,” which are owned and operated by our suppliers or other third</w:t>
      </w:r>
      <w:r>
        <w:rPr>
          <w:rFonts w:ascii="MS PGothic" w:cs="MS PGothic" w:eastAsia="MS PGothic" w:hAnsi="MS PGothic"/>
          <w:sz w:val="18"/>
          <w:szCs w:val="18"/>
          <w:color w:val="auto"/>
        </w:rPr>
        <w:t>‑</w:t>
      </w:r>
      <w:r>
        <w:rPr>
          <w:rFonts w:ascii="Arial" w:cs="Arial" w:eastAsia="Arial" w:hAnsi="Arial"/>
          <w:sz w:val="18"/>
          <w:szCs w:val="18"/>
          <w:color w:val="auto"/>
        </w:rPr>
        <w:t>parties.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Segment</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Through our extensive network, we market fuel, lubricants and related products and services to a broad base of marine customers, including international container and tanker fleets, commercial cruise lines, yachts and time-charter operators, U.S. and foreign governments, as well as other fuel suppliers. We provide our customers with real</w:t>
      </w:r>
      <w:r>
        <w:rPr>
          <w:rFonts w:ascii="MS PGothic" w:cs="MS PGothic" w:eastAsia="MS PGothic" w:hAnsi="MS PGothic"/>
          <w:sz w:val="18"/>
          <w:szCs w:val="18"/>
          <w:color w:val="auto"/>
        </w:rPr>
        <w:t>‑</w:t>
      </w:r>
      <w:r>
        <w:rPr>
          <w:rFonts w:ascii="Arial" w:cs="Arial" w:eastAsia="Arial" w:hAnsi="Arial"/>
          <w:sz w:val="18"/>
          <w:szCs w:val="18"/>
          <w:color w:val="auto"/>
        </w:rPr>
        <w:t>time global market intelligence and rapid access to quality, and competitively priced, marine fuel 24 hours a day, every day of the year. Our marine fuel-related services include management services for the procurement of fuel, cost control through the use of price risk management offerings, quality control, claims management, and card payment solutions and related processing services.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primarily as a reseller, where we take delivery for fuel purchased from our supplier at the same place and time as the fuel is sold to our customer. We also sell fuel from our inventory, which we maintain in storage facilities that we own or lease. In certain cases, we serve as a broker and are paid a commission for negotiating the fuel purchase transaction between the supplier and the end user, as well as for expediting delivery of the fuel.</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market</w:t>
      </w:r>
      <w:r>
        <w:rPr>
          <w:rFonts w:ascii="MS PGothic" w:cs="MS PGothic" w:eastAsia="MS PGothic" w:hAnsi="MS PGothic"/>
          <w:sz w:val="18"/>
          <w:szCs w:val="18"/>
          <w:color w:val="auto"/>
        </w:rPr>
        <w:t>‑</w:t>
      </w:r>
      <w:r>
        <w:rPr>
          <w:rFonts w:ascii="Arial" w:cs="Arial" w:eastAsia="Arial" w:hAnsi="Arial"/>
          <w:sz w:val="18"/>
          <w:szCs w:val="18"/>
          <w:color w:val="auto"/>
        </w:rPr>
        <w:t>based formulas, or government-controlled prices. We also contract with third parties to provide various services for our customers, including fueling of vessels in ports and at sea, and transportation and delivery of fuel and fuel-related products.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principally major oil producers, which have significantly greater capital resources than us, to relatively small and specialized firms. In our fuel distribution activities, we compete with major oil producers that market fuel directly to the large commercial airlines, shipping companies and petroleum distributors operating in the land transportation market as well as fuel resellers. We compete, among other things, on the basis of service, convenience, reliability, availability of trade credit and price. We believe that our extensive market knowledge, worldwide footprint, logistics expertise and support, the use of price risk management offerings, and value-added benefits, including single-supplier convenience, fuel quality control and fuel procurement outsourcing, give us the ability to compete within those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of operations may fluctuate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business activities are subject to substantial regulation by federal, state and local government agencies, inside and outside of the U.S.,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w:t>
      </w:r>
      <w:r>
        <w:rPr>
          <w:rFonts w:ascii="MS PGothic" w:cs="MS PGothic" w:eastAsia="MS PGothic" w:hAnsi="MS PGothic"/>
          <w:sz w:val="18"/>
          <w:szCs w:val="18"/>
          <w:color w:val="auto"/>
        </w:rPr>
        <w:t>‑</w:t>
      </w:r>
      <w:r>
        <w:rPr>
          <w:rFonts w:ascii="Arial" w:cs="Arial" w:eastAsia="Arial" w:hAnsi="Arial"/>
          <w:sz w:val="18"/>
          <w:szCs w:val="18"/>
          <w:color w:val="auto"/>
        </w:rPr>
        <w:t>compliance. See “Item 1A – Risk Factors,” and “Item 3 – Legal Proceedings.”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also be affected by new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(“GHG”) emissions. In the U.S., the U.S. Environmental Protection Agency has adopted rules requiring the reporting of GHG emissions by petroleum product suppliers and facilities meeting certain annual emissions thresholds and regulating emissions from major sources of GHGs under the Clean Air Act. In other countries, proposed regulations include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Our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Examples of forward-looking statements in this 2017 10-K Report include, but are not limited to, our expectations about the conditions in the aviation, land, and marine markets, the timing and impact of our cost reduction initiatives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restructuring activities, our expectations regarding government-related activity and the related profit contribution, our expectations about the financial and operational impact of acquisitions on our aviation and land segments, the timing and benefits of our multi-year project and upgrade of our Enterprise Resource Planning (“ERP”) platform, our expectations about oversupplied market conditions in the U.S, our ability to drive greater leverage and ratability in our land operating model, our ability to divest or exit certain businesses, our ability to improve cost competitiveness, gain structural efficiencies and rationalize our operating model, our ability to implement a single common technology platform for our land segment, as well as our business strategy, business prospects, operating results, methods of competition, the impact of the Tax Act, effectiveness of internal controls to manage risk, working capital, liquidity, capital expenditure requirements and adequacy of funding to meet such capital expenditures and working capital requirements and future acquisitions. These forward-looking statements are qualified in their entirety by cautionary statements and risk factor disclosures contained in our Securities and Exchange Commission filings. Important assumptions relating to the forward-looking statements include, among others, assumptions regarding our ability to effectively leverage technology and operating systems and realize the anticipated benefits, our ability to successfully execute and achieve efficiencies and other benefits related to our transformation initiatives and address market conditions, our ability to effectively integrate and derive benefits from acquisitions, our ability to capitalize on new market opportunities, the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2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periods of low oil prices and limited market volatility;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and other global market impacts associated with the U.K. referendum vote to exit from the European Union;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the implementation of an upgrade to our ERP platform;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compete in our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 of any cost savings;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Act), interpretations of such laws, or changes in the mix of taxable income among different tax jurisdictions;</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and those described from time to time in our other filings with the SEC.</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2017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2017 10-K Report will be deemed to modify or supersede such forward-looking statements.</w:t>
      </w: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We extend credit to most of our customers in connection with their purchase of fuel and services from us, and our business, financial condition, results of operations and cash flows will be adversely affected if we are unable to collect accounts receivable. </w:t>
      </w:r>
      <w:r>
        <w:rPr>
          <w:rFonts w:ascii="Arial" w:cs="Arial" w:eastAsia="Arial" w:hAnsi="Arial"/>
          <w:sz w:val="18"/>
          <w:szCs w:val="18"/>
          <w:color w:val="auto"/>
        </w:rPr>
        <w:t>Our success in attracting customers has been due, in part, to our willingness to extend credit on an unsecured basis to customers as opposed to requiring prepayment, letters of credit or other forms of credit support. Even in cases where we do obtain credit enhancements, such as guarantees, offset rights, collateral or other forms of security, such rights may not be sufficient or fully collectible depending on the circumstances of the customer at the time of default. While no single customer represents more than 10% of our total consolidated revenue, diversification of credit risk is limited to the aviation, marine and land transportation industries within which we primarily do business.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exposure to credit losses will depend on the financial condition of our customers and other macroeconomic factors beyond our control, such as deteriorating conditions in the world economy or in the industries we serve, changes in oil prices and political instability. While we actively manage our credit exposure and work to respond to both changes in our customers’ financial conditions or macroeconomic events, there can be no guarantee we will be able to successfully mitigate all of these risks. Substantial credit losses could have a material adverse effect on our business, financial condition, results of operations and cash flows.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dependent on our ability to adequately finance our capital requirements and fund our investments, which, if not available to us, would impact our ability to conduct our operations.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on credit arrangements with banks, suppliers and other parties as an important source of liquidity for capital requirements not satisfied by our operating cash flow. Future market volatility, generally, and persistent weakness in global energy markets may adversely affect our ability to access capital and credit markets or to obtain funds at low interest rates or on other advantageous terms. If we are unable to obtain credit as and when we need it on commercially reasonable terms or at all, such as in the event there is a substantial tightening of the global credit markets or a substantial increase in interest rates, it could have a negative impact on our liquidity, business, financial condition, and cash flows, as well as our future development and growth. Furthermore, our business is impacted by the availability of trade credit to fund fuel purchases and an actual or perceived decline in our liquidity or operations could cause our suppliers to seek credit support in the form of additional collateral, limit the extension of trade credit, or otherwise materially modify their payment terms. Adverse changes in our payment terms from principal suppliers, including shortened payment cycles, decreased credit lines or requiring prepayment could impact our liquidity, business, results of operations and cash flows.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Finally, if we are unable to obtain debt or other forms of financing and instead raise capital through an equity issuance, existing shareholders would be diluted. Even if we are able to obtain financing, the restrictions our creditors may place on our operations or our increased interest expense and leverage could limit our ability to grow.</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Sales to government customers involve unique risks that could have a material adverse effect on our business and results of operations.</w:t>
      </w:r>
    </w:p>
    <w:p>
      <w:pPr>
        <w:spacing w:after="0" w:line="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addition to normal business risks, our supply of products and services to U.S. and foreign government, intergovernmental and military customers (“government customers”) subjects us to unique risks, many of which are beyond our control. These risks include:</w:t>
      </w:r>
    </w:p>
    <w:p>
      <w:pPr>
        <w:spacing w:after="0" w:line="196" w:lineRule="exact"/>
        <w:rPr>
          <w:sz w:val="20"/>
          <w:szCs w:val="20"/>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government spending on defense programs, which can be negatively affected by budgetary constraints, changes in defense spending policies, government shutdowns and changes in military policies or priorities;</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 awards that are typically made through a competitive bidding process, which can involve substantial costs and managerial time to prepare and submit bids for contracts that may not be awarded to us;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 and delays that may arise if our competitors protest or challenge contract awards made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for indefinite delivery, such that there are no guarantees on the quantity the government will buy or when it will buy from us; and</w:t>
      </w: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for government customers to unilaterally modify certain terms and conditions in existing contracts or terminate existing contracts for their convenience.</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government customer contracts are subject to specific procurement regulations and a variety of other complex requirements, which affect how we transact business with our government customers and can impose additional costs on our business operations. Numerous laws and regulations affect our U.S. government contracts, including the Federal Acquisition Regulation, which governs the formation, administration and performance of government contracts, and the federal False Claims Act, which provides for substantial criminal and civil penalties and treble damages where a contractor presents a false or fraudulent claim to the U.S. government for payment. Similar laws and regulations also may apply to our contracts with foreign government and intergovernmental agency customers.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 customers routinely audit government contractors to review contract performance, cost structure and compliance with applicable laws, regulations, and standards, as well as the adequacy of and compliance with internal control systems and policies. Any costs found to be misclassified or inaccurately allocated may not be reimbursable, and to the extent already reimbursed, may need to be refunded and could subject us to a variety of government claims. Also, any inadequacies in our systems and policies could result in payments being withheld, penalties and reduced future business. Improper or illegal activities, including those caused by our subcontractors, could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 material portion of our profitability is derived from our government business, and the loss or material reduction in business from our government customers could have a material adverse effect on our results of operations and cash flows</w:t>
      </w:r>
      <w:r>
        <w:rPr>
          <w:rFonts w:ascii="Arial" w:cs="Arial" w:eastAsia="Arial" w:hAnsi="Arial"/>
          <w:sz w:val="18"/>
          <w:szCs w:val="18"/>
          <w:color w:val="auto"/>
        </w:rPr>
        <w:t>.</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Sales to government customers, which includes sales to the U.S. Defense Logistics Agency and the North Atlantic Treaty Organization (NATO), have accounted for a material portion of our profitability in recent years, and we expect this to continue in the foreseeable future. The profitability associated with our government business can be materially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Furthermore, changes in military policies or priorities, such as the decision to withdraw or reduce armed force levels in different geographies, can be sudden, subjecting us to losses or higher expenses associated with disposing of unused inventory, removal or abandonment of equipment and relocation of employees.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complex supply logistics, the indefinite nature of government contracts, and other associated risks, sales of products and services to government customers often carry higher margins than sales to our other customers. Consequently, a decrease in sales or increase in supply costs to our government customers would contribute disproportionately to a reduction in our gross margin and overall profitability and such decrease could be sudden. The loss of a key government customer or a material reduction in sales to government customers would adversely affect our business, financial condition, results of operations and cash flows.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derivative transactions with customers, suppliers, merchants and financial institutions expose us to price and credit risks, which could have a material adverse effect on our business.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price risk management services, we offer to customers various pricing structures for the purchase of fuel, including derivatives products designed to hedge exposure to fluctuations in fuel prices. In the ordinary course of business, we enter into fixed forward contracts with some of our counterparties under which we agree to sell or purchase certain volumes of fuel at fixed prices. In addition, we may act as a counterparty in over-the-counter swap transactions with some of our customers where the customer may be required to pay us in connection with changes in the price of fuel. Further, we may use derivatives to hedge price risks associated with our fuel inventories and purchase and sale commitments. We typically hedge our price risk in any of the foregoing types of transactions by entering into derivative instruments with large energy companies, trading houses and financial institutions.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and there is an outstanding mark-to-market liability owing, we will have effectively extended unsecured credit to that customer and such amounts could be substantial. Based on the volatility of fuel prices, our counterparties may not be willing or able to fulfill their obligations to us under their fixed forward contracts or swap transactions. In such cases, we would be exposed to potential losses or costs associated with any resulting default. For example, in the event the spot market price of fuel at the time of delivery is substantially less than the fixed price of the contract with the customer, a customer could default on its purchase obligation to us and purchase the fuel at a lower “spot” market price from another supplier. Meanwhile, we may have entered into a corresponding commitment with a supplier to offer our customer specified fixed pricing or terms and would be obligated to perform our fixed price purchase obligations to such supplier. Similarly, the counterparties with whom we may hedge our price risk exposure may not be willing or able to fulfill their obligations to us under their swap transactions.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monitor and manage our credit exposures to our counterparties, credit defaults may still occur and the actual recovery will depend on the financial condition of that counterparty and our ability to enforce any obligation owed to us. Accordingly, if we are unable to recover such losses from a defaulting counterparty, we could sustain substantial losses that would have a material adverse effect on our business, financial condition, results of operations and cash flows.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primarily to mitigate the risk of market price fluctuations in fuel products, to offer our customers fuel pricing alternatives to meet their needs, to manage price exposures associated with our inventories, and to mitigate the risk of fluctuations in foreign currency exchange rates. However, our efforts to hedge our exposure to fuel price and exchange rate fluctuations may be ineffective in certain instances. For example, we hedge jet fuel prices with derivatives tied to other petroleum products that have historically been correlated to aviation jet fuel (e.g. heating oil in the United States or gasoil in Europe or Asia). If the price of aviation jet fuel at a specific location experiences a divergence to historical correlations, our attempts to mitigate price risk associated with our aviation business may not be effective. Moreover, there may be times where the change in the price of jet fuel at a specific location is disrupted (e.g. hurricanes) and is not correlated to the underlying hedges when compared to historical prices.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enter into proprietary derivative transactions, which are not intended to hedge our own risk but rather make a profit by capitalizing on arbitrage opportunities associated with basis, time, quality or geographic spreads related to fuel products we sell. Proprietary derivative transactions, by their nature, expose us to changes in commodity prices in relation to the proprietary positions taken. Although we have established limits on such exposure, any adverse changes could result in losses which can be further exacerbated by volatility in the financial and other markets. In addition, our employees failing to comply with our policies and procedures with respect to hedging or proprietary trading, such as engaging in unauthorized trading activity, failing to hedge a specific price risk or failing to comply with our internal limits on exposure, could have a material adverse effect on our business, financial condition, results of operations and cash flows.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many of our derivative transactions are not designated as hedges for accounting purposes, and we therefore may recognize changes in the fair market value of these derivatives as a component of revenue or cost of revenue (based on the underlying transaction type) in our consolidated statements of income and comprehensive income. Since the fair market value of these derivatives is marked to market at the end of each quarter, changes in the value of our derivative instruments as a result of gains or losses may cause our earnings to fluctuate from period to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If we fail to comply with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required to comply with extensive and complex laws and other regulations in the countries in which we operate at the international, federal, state/provincial and local government levels relating to, among other things:</w:t>
      </w:r>
    </w:p>
    <w:p>
      <w:pPr>
        <w:spacing w:after="0" w:line="19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transportation, handling and delivery of fuel and fuel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operation of fuel storage, blending and distribution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workplace safety;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protection, carbon emissions and hazardous waste disposal;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privacy and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commodities trading, brokerage, derivatives and advisory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and payment card processing and payment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contracting and procurement;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antitrust and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anti-money laundering, financial services, and funds transmission;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reporting and licensing.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complex and technical nature of these laws and regulations, inadvertent violations may occur. If we fail to comply with these laws or regulations for any reason, we would be required to correct or implement measures to prevent a recurrence of any violations, which could increase our operating costs. If more serious violations were to occur, we could be subject to substantial fines or penalties or to civil or criminal liability. Any substantial fines and costs incurred as a result of a violation of such regulations could have a material adverse effect on our business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failure to comply with U.S. or foreign tax laws or a government challenging our tax position could adversely affect our business and future operating results.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 added tax (“VAT”), energy, environmental and other taxes. From time to time, we may also benefit from special tax concessions in certain jurisdictions. For example, we have operated under a special income tax concession in Singapore since 2008 which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income tax concession decreased (increased) foreign income taxes by $1.3 million, $2.7 million and $(7.7) million for 2017, 2016 and 2015, respectively. The impact of the income tax concession on a diluted earnings per common share basis was $0.02 for 2017, $0.04 for 2016 and $(0.11) for 2015. Changes in U.S. and foreign tax laws, our failure to comply with such laws or the loss of tax concessions could adversely affect our business, financial condition, results of operations and cash flows.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Our tax expense includes estimates of additional tax that may be incurred for tax exposures and reflects various estimates and assumptions, including assessments of future earnings that could affect the valuation of our net deferred tax assets. Our operating results could be adversely affected by changes in the effective tax rate as a result of a change in the mix of earnings in countries with differing statutory tax rates, changes in our overall profitability, changes in tax legislation, the results of audits and examinations of previously filed tax returns and continuing assessments of our income tax exposures.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are under review by the Internal Revenue Service (“IRS”) and various other domestic and foreign tax authorities with regards to income tax and indirect tax matters and are involved in various challenges and litigation in a number of countries, including, in particular, the U.S., Brazil, Denmark and South Korea, where the amounts under controversy may be material. We are in the process of challenging a number of these tax assessments in several administrative and legal proceedings, which are at various stages of appeal. In addition, in some jurisdictions these challenges require the posting of collateral or payment of the contested amount which may affect our flexibility in operating our business or our liquidity. If these challenges are ultimately determined adversely to us, these proceedings may have a material adverse effect on our business, results of operations, financial condition or prospects. Furthermore, any failure to comply with applicable laws and regulations or appropriately resolve these challenges could subject us to administrative, civil, and criminal remedies, including fines, penalties, disgorgement, injunctions and damage to our reputation. See notes 9 and 11 of the accompanying consolidated financial statements for additional details regarding certain tax matters.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earn a material amount of our operating income from outside the U.S., and any repatriation of funds currently held in foreign jurisdictions to the U.S. may result in higher effective income tax rates for us. Further, recent developments, including investigations by the European Commission on illegal state aid, the project by the Organisation for Economic Co-operation and Development (“OECD”) on Base Erosion and Profit Shifting (“BEPS”) and other initiatives, could adversely affect our worldwide effective tax rate. With the finalization of specific actions contained within the OECD’s BEPS study, many OECD countries have acknowledged their intent to implement the actions and update their local tax laws. The extent (if any) to which countries in which we operate adopt and implement these actions could have a material adverse impact on our effective tax rate, income tax expense, financial condition, and results of operations and cash flows.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Recent U.S. tax legislation, as well as future substantial changes that may be made by the Trump Administration to regulatory, fiscal and trade policies, may materially adversely affect our financial condition, results of operations and cash flows.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President signed into law tax legislation known as the Tax Cuts and Jobs Act (the “Tax Act”). This legislation significantly changes the U.S. Internal Revenue Code, including taxation of U.S. corporations, by, among other things, limiting interest deductions, reducing the U.S. corporate income tax rate, altering the expensing of capital expenditures, adopting elements of a territorial tax system, taxing global intangible low-taxed income (“GILTI”), assessing a repatriation tax or “toll-charge” on undistributed earnings and profits of U.S.-owned foreign corporations, and introducing certain base erosion and anti-abuse minimum tax provisions. The legislation is unclear in certain respects and will require interpretations and implementing regulations by the IRS, as well as state tax authorities, and the legislation could be subject to potential amendments and technical corrections, any of which could increase certain adverse impacts of the legislation.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of the complexity of the GILTI tax rules effective in 2018, we continue to evaluate this provision of the Tax Act and the application of Financial Accounting Standards Board (“FASB”) Accounting Standard Codification (“ASC”) Topic 740, Income Taxes (“ASC Topic 740”). Under accounting principles generally accepted in the United States of America (“U.S. GAAP”), we are allowed to make an accounting policy choice of either (1) treating taxes due on future U.S. GILTI inclusions as a current period expense when incurred (the “period cost method”) or (2) factoring such amounts into our measurement of our deferred taxes (the “deferred method”). Our selection of an accounting policy with respect to the new GILTI tax rules will depend, in part, on analyzing our global income and our global structure to determine whether we expect to have future U.S. inclusions in taxable income related to GILTI and the impacts thereof. We are currently analyzing this provision and have not made any adjustment related to potential GILTI tax in our financial statements and have not made a policy decision regarding whether to record deferred tax on GILTI since a reasonable amount cannot be determined.</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our estimates, possibly materially, due to, among other items, changes in interpretations of the Tax Act, any legislative action to address questions that arise because of the Tax Act, any changes in accounting standards for income taxes or related interpretations in response to the Tax Act, or any updates or changes to current year earnings and tax estimates. In accordance with Staff Accounting Bulletin No. 118 regarding application of ASC Topic 740, we anticipate that we will finalize our provisional estimates and determine the impact of any potential deferred tax related to GILTI during the measurement period and reflect any necessary adjustments in the subsequent periods. Any material revisions in our computations could adversely affect our results of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may be other material adverse effects resulting from the legislation that we have not yet identified. If we are unable to successfully take actions to manage the adverse impacts of the new tax legislation, or if additional interpretations, regulations, amendments or technical corrections exacerbate the adverse impacts of the legislation, the legislation could have a material adverse effect on our financial condition, results of operations and cash flows.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physical operations have inherent risks that could negatively impact our business, financial condition and results of operations. </w:t>
      </w:r>
      <w:r>
        <w:rPr>
          <w:rFonts w:ascii="Arial" w:cs="Arial" w:eastAsia="Arial" w:hAnsi="Arial"/>
          <w:sz w:val="18"/>
          <w:szCs w:val="18"/>
          <w:color w:val="auto"/>
        </w:rPr>
        <w:t>We provide various products and services to customers, including but not limited to into-plane fueling at airports, fueling of vessels in port and at sea, on the ground fueling of customer storage tanks and vehicles, and transportation, delivery and storage of fuel and fuel products. Operating fuel storage and distribution terminals and transporting fuel products involve inherent risks, such as:</w:t>
      </w:r>
    </w:p>
    <w:p>
      <w:pPr>
        <w:spacing w:after="0" w:line="19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traffic accidents, injuries and loss of life;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spills, discharges, contaminations and other releases;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damage to and destruction of property and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of the foregoing could result in distribution difficulties and disruptions, environmental pollution, government-imposed fines or clean-up obligations, personal injury or wrongful death claims, and other damage to our properties and the properties of others. Although we generally maintain liability insurance for these types of events, such insurance may be insufficient to cover certain losses which may be in excess of coverage limits or outside the scope of the coverage. If we are held liable for any damages, and the liability is not adequately covered by insurance, our financial position and results of operations will be adversely affected.</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some of our employees are represented by labor unions under collective bargaining agreements, including certain of our truck drivers that transport and deliver fuel and fuel-related products. Employees who are not currently represented by labor unions may seek union representation in the future, and any renegotiation of current collective bargaining agreements may result in terms that are less favorable to us. Although we believe that our relations with our employees are good, if our unionized workers were to engage in a strike, work stoppage or other slowdown in the future, we could experience a significant disruption of our operations, which could interfere with our ability to transport and deliver products on a timely basis and could have other negative effects, such as decreased productivity and increased labor costs. A significant labor dispute with our own union employees, or by the union employees of third parties who provide services for our business, could have a material adverse effect on our results of operations and cash flows.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are subject to environmental risks and extensive laws and regulations pertaining to environmental protection, health, safety and security that can result in material costs and liabilities.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the exposure of persons to regulated materials, and the health and safety of our employees. A violation of, liability under, or noncompliance with these laws and regulations, or any future environmental law or regulation, could result in significant liability, including administrative, civil or criminal penalties, remediation costs for natural resource damages as well as third-party damages. Furthermore, some environmental laws impose strict liability for remediation of spills and releases of oil and hazardous substances, which could subject us to liability without regard to whether we were negligent or at fault. In our marine segment we utilize fuel delivery barges and store refined products adjacent to water, thereby potentially subjecting us to strict, joint, and potentially unlimited liability for removal costs and other consequences of an oil spill where the spill is into navigable waters, along shorelines or in the exclusive economic zone of the United States. Any of these occurrences, and any resulting negative media coverage, could have a material adverse effect on our stock price and on our business, financial condition, results of operations and cash flows.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Further, increasingly stringent U.S. federal and foreign environmental regulations have resulted and will likely continue to increase our overall cost of business. For example, compliance with existing and future laws regulating the delivery of fuel by barge, truck, vessel, pipeline or railcar; that regulate fuel storage terminals or underground storage tanks that we own, lease or operate; or that regulate the quality of product under our control may require significant capital expenditures and increased operating and maintenance costs, particularly as we acquire businesses with more physical assets. In addition, mandatory fuel standards have been adopted in many jurisdictions, such as amendments to the International Convention for the Prevention of Pollution from Ships, or MARPOL, which established a phased reduction of the sulfur content in fuel oil and allows for stricter sulfur limits in designated emission control areas, will be effective in January 2020. Further changes in laws and regulations applicable to international and national maritime trade are expected over the coming years. These and future changes to applicable standards or other more stringent requirements in the industries we serve could reduce our ability to procure product, require us to incur additional handling costs and/or require the expenditure of capital. To the extent these expenditures, as with all costs, are not ultimately reflected in the prices of our products, our business and result of operations would be adversely affected.</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Due to our international operations, we are subject to U.S. and international laws, including U.S. economic sanctions, the Foreign Corrupt Practices Act (“FCPA”) and similar anti-bribery laws, which can impose substantial compliance costs and subject us to civil or criminal penalties for non-compliance.</w:t>
      </w:r>
    </w:p>
    <w:p>
      <w:pPr>
        <w:jc w:val="both"/>
        <w:spacing w:after="0" w:line="251" w:lineRule="auto"/>
        <w:rPr>
          <w:sz w:val="20"/>
          <w:szCs w:val="20"/>
          <w:color w:val="auto"/>
        </w:rPr>
      </w:pPr>
      <w:r>
        <w:rPr>
          <w:rFonts w:ascii="Arial" w:cs="Arial" w:eastAsia="Arial" w:hAnsi="Arial"/>
          <w:sz w:val="18"/>
          <w:szCs w:val="18"/>
          <w:color w:val="auto"/>
        </w:rPr>
        <w:t>Doing business on a global basis requires us to comply with the laws and regulations in jurisdictions worldwide that can impose substantial compliance costs and subject us to civil or criminal penalties for non-compliance. In particular, our global operations are subject to anti-corruption laws, such as the FCPA, anti-money laundering laws, international trade controls, and antitrust and competition laws. The FCPA prohibits us from providing anything of value to foreign officials for the purposes of improperly influencing official decisions or improperly obtaining or retaining business. Where applicable, the U.K. Bribery Act prohibits bribery both in the U.K. and internationally, including bribery across both public and private sectors. As part of our business, we regularly deal with state-owned enterprises, the employees of which may be considered foreign officials for purposes of the FCPA, the U.K. Bribery Act, and other applicable anti-bribery laws. In addition, some of the international jurisdictions in which we operate lack a developed legal system and have higher than normal levels of corruption. Our activities in these countries may increase the risk of improper payment demands made to, or offers made by, one of our employees or other parties acting on our behalf, and the rejection of demands to make such improper payments may also negatively impact our activities in those countries.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international trade controls, including economic sanctions such as those administered by the U.S. Department of the Treasury’s Office of Foreign Assets Control (“OFAC”), export controls and anti-boycott regulations are complex, restrict our business dealings with certain countries and individuals, and are constantly changing. Additional restrictions may be enacted, amended, enforced or interpreted in a manner that materially impacts our operations. From time to time, certain of our subsidiaries have limited business dealings in countries subject to comprehensive OFAC administered sanctions. These business dealings currently represent an immaterial amount of our consolidated revenue and income and are undertaken pursuant to general and/or specific licenses issued by OFAC or as otherwise permitted by applicable sanctions regulations. As a result of the above activities, we are exposed to a heightened risk of violating trade control regulations.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established policies and procedures designed to assist with our compliance with these laws and regulations, but such policies and procedures may not always prevent us from violations. Violations of these laws are punishable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by fines and expose us and/or employees to criminal sanctions and civil suits and subject us to other adverse consequences including the denial of export privileges, injunctions, asset seizures, debarment from government contracts, revocations or restrictions of licenses. In addition, non-compliance with laws could adversely affect, among other things, our reputation, business, financial condition, results of operations and cash flows. Violations of law could also cause an event of default under our Credit Facility, which if not waived, could result in the acceleration of any outstanding indebtedness, could trigger cross defaults under other agreements to which we are a party (such as certain derivative contracts), and would impair our ability to obtain working capital advances and letters of credit. Such events could adversely affect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products or services to us or our customers as agreed could harm our business.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purchase fuel and other products from suppliers and resell to customers. If the fuel and other products we sell fail to meet the specifications we have agreed to with customers, we could incur material liabilities if such products cause physical damage to a vessel or aircraft or result in other losses such that a customer initiates a claim or a lawsuit for which we settle or results in a decision against us. In addition, our relationship with our customers could be adversely affected and adverse publicity about any allegations of contaminated products may negatively affect us, regardless of whether the allegations are true. Although in most cases our agreements with suppliers provide that we have recourse against our suppliers for products that fail to meet contractual specifications, if the terms of such agreements are not adequate to protect our interests, we may not be able to enforce such recourse. In the event we are able to pursue it,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 and obligations under the agreement, under applicable foreign laws, and enforcing an agreement in a foreign jurisdiction. Any material liability in excess of any applicable insurance coverage could have a material adverse effect on our business, financial condition, results of operations and cash flows.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use third parties to provide various services to our customers, including into plane fueling at airports, fueling of vessels in port and at sea and delivering land-based fuel. The failure of these third parties to perform these services in accordance with contractual terms for any reason, such as their inability to supply specified fuel or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Information technology (</w:t>
      </w:r>
      <w:r>
        <w:rPr>
          <w:rFonts w:ascii="Arial" w:cs="Arial" w:eastAsia="Arial" w:hAnsi="Arial"/>
          <w:sz w:val="18"/>
          <w:szCs w:val="18"/>
          <w:color w:val="auto"/>
        </w:rPr>
        <w:t>“</w:t>
      </w:r>
      <w:r>
        <w:rPr>
          <w:rFonts w:ascii="Arial" w:cs="Arial" w:eastAsia="Arial" w:hAnsi="Arial"/>
          <w:sz w:val="18"/>
          <w:szCs w:val="18"/>
          <w:b w:val="1"/>
          <w:bCs w:val="1"/>
          <w:color w:val="auto"/>
        </w:rPr>
        <w:t>IT</w:t>
      </w:r>
      <w:r>
        <w:rPr>
          <w:rFonts w:ascii="Arial" w:cs="Arial" w:eastAsia="Arial" w:hAnsi="Arial"/>
          <w:sz w:val="18"/>
          <w:szCs w:val="18"/>
          <w:color w:val="auto"/>
        </w:rPr>
        <w:t>”</w:t>
      </w:r>
      <w:r>
        <w:rPr>
          <w:rFonts w:ascii="Arial" w:cs="Arial" w:eastAsia="Arial" w:hAnsi="Arial"/>
          <w:sz w:val="18"/>
          <w:szCs w:val="18"/>
          <w:b w:val="1"/>
          <w:bCs w:val="1"/>
          <w:color w:val="auto"/>
        </w:rPr>
        <w:t>)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rely heavily on our computer systems, information technology and network infrastructure across our operations, particularly as we seek to grow our technology offerings, digitize our business and drive internal efficiencies. Despite our implementation of security and back-up measures, our technology systems are vulnerable to damage, disability or failures due to physical theft, fire, power loss, telecommunications failure, operational error, or other catastrophic events. Our technology systems are also subject to cybersecurity attacks including malware, other malicious software, phishing email attacks, attempts to gain unauthorized access to our data, the unauthorized release, corruption or loss of our data, loss or damage to our data delivery systems, and other electronic security breaches. Due to the large number of transactions that run through our systems each day, significant system down-time or slow-down could have a material impact on our ability to conduct business, process and record transactions, as well as make operational and financial decisions. In addition, as we continue to grow the volume of transactions in our businesses, our existing IT systems infrastructure, applications and related functionality may be unable to effectively support a larger scale operation, which can cause the information being processed to be unreliable and impact our decision-making or damage our reputation with customers. We have also been increasing our use of cloud-based technology and computing platforms operated by third parties. If our use of these cloud services is disrupted either due to system failures, denial of service or other cyberattacks and computer viruses, or if the infrastructure which allows us to connect to the third party systems is interrupted, it could adversely impact our operations and our business.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our own vulnerabilities, our reliance on email transmissions over public networks to process certain transactions exposes us to risks associated with the failure of our customers, business partners and other third parties to use appropriate controls to protect sensitive information, as well as to risks of on-line fraud and email scams. Furthermore, despite our efforts to ensure the integrity of our systems and prevent future cybersecurity attacks, it is possible that our business, financial and other systems could be compromised, especially because such attacks can originate from a wide variety of sources including persons involved in organized crime or associated with external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service providers. Those parties may also attempt to fraudulently induce employees, customers or other users of our systems to disclose sensitive information in order to gain access to our data or use electronic means to induce us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substantial expenses to address and remediate or otherwise resolve these issues, which could have a material adverse effect on our business, financial condition, results of operations and cash flows.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maintain insurance to protect against cybersecurity risks and incidents. However, insurance coverage may not be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materially adversely affecting our business, financial condition and results of operations.</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The personal information that we collect may be vulnerable to breach, theft, loss or misuse that could increase operational costs, result in regulatory penalties and adversely affect our results of operation and financial condition.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various businesses we operate, such as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 imposed controls. In the ordinary course of business, we collect, process, transmit and retain sensitive information regarding these parties. Despite our efforts to protect this information, our facilities and systems and those of our third party service providers may be vulnerable to security breaches, theft, misplaced or lost data and programming and human errors that could potentially lead to such information being compromised.</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Failure to adequately protect this information could lead to substantial fines, penalties, third party liability, remediation costs, potential cancellation of existing contracts and inability to compete for future business. Due to legislative and regulatory rules, we may be required to notify the owners of such information of any data breaches, which could harm our business relationships, reputation and financial results, as well as subject us to litigation or actions by regulatory authorities. Furthermore, there has been heightened legislative and regulatory focus on data security in the U.S. and abroad (particularly in the European Union through the General Data Protection Regulation that will go into effect in May 2018). Substantial changes in applicable regulations may require us to make costly changes to our systems. Although we have taken steps to address these concerns by implementing network security and internal control measures, these steps may not prevent a data security breach and any data security breach may have a material adverse effect on our business, financial condition, results of operations and cash flows.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Implementation of our growth strategy may place a strain on our management, operational and financial resources, as well as our information systems.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key element of our business strategy has been the growth of our business through acquisitions and strategic investments. However, this growth strategy may place a strain on our management, operational and financial resources, as well as our information systems and expose us to additional business and operating risks and uncertainties, including:</w:t>
      </w:r>
    </w:p>
    <w:p>
      <w:pPr>
        <w:spacing w:after="0" w:line="202" w:lineRule="exact"/>
        <w:rPr>
          <w:sz w:val="20"/>
          <w:szCs w:val="20"/>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and efficiently integrate the operations, financial reporting, and personnel of acquired businesses and manage acquired businesses or strategic investments, while maintaining uniform standards and controls;</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risks associated with entering into businesses or markets in which we may have no or limited direct prior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our liquidity resulting from a material portion of our available cash or borrowing capacity being used to fund acquisitions and a corresponding increase in our interest expense or financial leverage if we incur additional debt to fund acquisitions;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integrate the IT systems and technology of acquired businesses into our existing infrastructure and manage those systems and technologies that cannot be effectively integrated;</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requirement to write down acquired assets in the event the acquired business or strategic investment is worth less than we paid for or invested in it;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regulatory noncompliance or unknown liabilities associated with the acquired businesses, and no or limited indemnities from sellers or ongoing indemnity obligations to purchasers; and</w:t>
      </w: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implement internal controls, procedures and policies appropriate for a public company at companies that prior to the acquisition lacked such controls, procedures and policies.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risks may result in an adverse effect on our results of operations or financial condition or result in costs that outweigh the financial benefit of such opportunities. Furthermore these acquisitions or strategic investments may result in us incurring substantial additional indebtedness and other expenses or consummating potentially dilutive issuances of equity securities to fund the required capital investment. This could adversely affect the market price of our common stock, inhibit our ability to pay dividends or otherwise restrict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recognize the anticipated benefits of our acquisitions and other strategic investments.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growth strategy, we have been pursuing acquisition opportunities complementary to our business portfolio. From time to time, we may also enter into strategic investments such as joint venture arrangements or equity investments intended to complement or expand a portion of our business. Our ability to successfully implement our growth strategy depends on our ability to find attractive acquisition candidates or strategic investments and consummate such transactions on economically acceptable terms. Before making acquisitions or other strategic investments, we conduct due diligence that we deem reasonable and appropriate based on the facts and circumstances applicable to each investment. We rely, among other things, on our due diligence, representations and warranties of the sellers, financial statements and records of target businesses to establish the anticipated revenues and expenses and whether the acquisitions or strategic investments will meet our internal guidelines for current and future potential returns. Our due diligence investigation and other information we rely on with respect to any opportunity may not reveal or highlight all relevant risks and issues that may be necessary or helpful in evaluating such opportunity. Consequently, these transactions could result in (i) an adverse impact on our overall profitability if the acquisitions or strategic investments do not achieve the projected financial results, (ii) unanticipated costs that may impact our results of operations, and (iii) increased demands on our cash resources that may, among other things, impact our ability to explore other opportunities. If our acquisitions or strategic investments do not achieve the financial results anticipated, it could adversely affect our revenues and results of operations.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Integration difficulties, or any other factors that make operating the acquired businesses more challenging following the completion of the acquisitions, may also prevent us from realizing the benefits from the recent acquisitions or any future acquisitions to the extent, or in the time frame, anticipated by us. We have incurred, and expect to continue incurring, expenses related to the integration of acquisitions. These transaction and integration expenses could, particularly in the near term, exceed the savings and synergies that we expect to achieve from the elimination of duplicative expenses and the realization of economies of scale and cost savings related to the integration of the acquired businesses following the completion of the recent acquisitions. Any of these factors could have an adverse effect on our business, financial condition, results of operations and cash flows.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As a result of our acquisition activity, our goodwill and intangible assets have increased substantially in recent years and we have incurred, and may continue to incur, impairments to goodwill or intangible assets.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acquire a business, a substantial portion of the purchase price of the acquisition is allocated to goodwill and other identifiable intangible assets. In accordance with applicable acquisition accounting rules, we are required to record as goodwill on our consolidated balance sheet the amount by which the purchase price exceeds the net fair value of the tangible and intangible assets and liabilities acquired as of the acquisition date. As of December 31, 2017, we had goodwill of $845.5 million and net intangible assets of $279.7 million. We review our indefinite-lived intangible assets, including goodwill, for impairment annually in the fourth fiscal quarter or whenever events or changes in circumstances indicate that a potential impairment exists. Factors that may be considered in assessing whether goodwill or intangible assets may be impaired include a decline in our stock price or market capitalization, reduced estimates of future cash flows in our annual operating plan and slower growth rates in our industry.</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valuation methodology for assessing impairment requires management to make judgments and assumptions based on a number of factors including industry experience, internal benchmarks, and the economic environment. We also rely heavily on projections of future operating performance, however, 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2017, we recorded an impairment charge of $91.9 million, of which $72.3 million was attributable to the write-off of goodwill in our marine segment, and $7.9 million associated with intangible assets, primarily customer relationships. The impairment within our marine segment was driven principally by growing competitive pressures in maritime markets, including the decline of maritime shipping volumes along with lower demand for price risk management products and our ultimate decision in the fourth quarter to exit our marine business in certain international markets. See Note 7 in the accompanying Notes to Consolidated Financial Statements for more information. Due to continual changes in market and general business conditions, we cannot predict whether, and to what extent, our goodwill and long-lived intangible assets may be impaired in future periods. Any resulting impairment loss would have a negative effect on our results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Adverse conditions or events affecting the aviation, marine and land transportation industries may have a material adverse effect on our business.</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focused on the marketing of fuel and other related products and services primarily to the aviation, marine and land transportation industries, which are generally affected by economic cycles. Therefore, weak economic conditions can have a negative impact on the business of our customers which may, in turn, have an adverse effect on our business. For example, our marine segment has been significantly impacted by the economic conditions adversely affecting the maritime industry. In addition, any political instability, terrorist activity, military action that disrupts shipping, flight operations or land transportation or natural disasters and other weather-related events, will adversely affect our customers and may reduce the demand for our products and services. For example, during 2017, an earthquake in Mexico and Hurricanes Irma and Harvey resulted in business interruptions and supply disruptions which negatively impacted our results of operations.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 For example, the shipping industry has gone through a period of significant consolidation in recent years, which has created a concentration of volume among a smaller number of shipping companies. Larger shipping companies often have greater leverage, are more sophisticated purchasers of fuel and have greater ability to buy directly from major oil companies, which can negatively impact our value proposition to these types of customers.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Complying with these and other laws and regulations may require capital expenditures by our customers or otherwise increase our customers’ operating costs, which could in turn, reduce the demand for our products and services or impact the pricing or availability of the products we sell. Although the ultimate impact of any regulations is difficult to predict accurately, they could have a material adverse effect on our business or on the businesses of our customers.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business is subject to seasonal variability, which can cause our revenues and operating results to fluctuate and adversely affect the market price of our shares.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operating results are subject to seasonal variability. Seasonality results from numerous factors, including traditionally higher demand for natural gas and home heating oil during the winter months and for aviation and land fuel during the summer months, as well as other seasonal weather patterns. As such, our results for the second and third quarters of the year in our aviation segment tend to be the strongest and our results for the fourth and first quarters of the year in our land segment tend to be the strongest. However, extreme or unseasonable weather conditions can substantially reduce demand for our products and services which can, in turn, adversely impact our results of operations. There can be no assurance that seasonal variability factors will continue in future periods. Accordingly, results for any one quarter may not necessarily be indicative of the results that may be achieved for any other quarter or for the full fiscal year. These seasonal fluctuations in our quarterly operating results may adversely affect the market price of our shares.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We may be unable to realize the level of benefit that we expect from our restructuring activities and cost reduction initiatives which may hurt our profitability and our business otherwise might be adversely affected</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continually assess the strategic fit of our existing businesses and seek the most cost effective means and efficient structure to serve our customers and suppliers and respond to changes in the markets in which we operate. In line with this commitment, we have in the past and are likely to, in the future, divest of certain non-core assets, exit lines of businesses that are not achieving the desired return on investment, or otherwise restructure certain of our operations in an effort to improve cost competitiveness and profitability. For example, we exited our rail business in the fourth quarter of 2017. We also engaged in cost reduction initiatives, principally in our marine segment in 2016 and throughout our organization in 2017, and restructuring activities during the fourth quarter of 2017. We continue to evaluate additional restructuring activities, cost reduction opportunities and potential divestitures.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able to achieve the level of benefit that we expect to realize from our past or future restructuring activities or divestitures. We may also materially alter various aspects of our business, or our business model, and there can be no assurance that any such changes will be successful or that they will not ultimately have a negative effect on our business and results of operations. Finally, restructuring activities and divestitures may result in restructuring charges and material write-offs, including those related to goodwill and other intangible assets, any of which could have a material adverse effect on our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Fuel prices are impacted by many factors beyond our control,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conditions;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energy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 availability of alternative fuels and energy 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or comply with new environmental regulations to obtain associated incentives. For example, in the shipping industry a number of container ships sail at reduced speeds, known as “slow steaming,” to conserve fuel and reduce carbon emissions. In any such event, the volume of orders from our customers may thereafter decrease and we may not be able to replace lost volumes with new or existing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such as we experienced during 2016 and 2017, can also have an adverse effect on our results of operations and overall profitability. This outcome can be due to a number of factors, including reduced demand from our customers involved in the oil exploration sector and for our price risk management products. Low fuel prices also facilitate increased competition by reducing financial barriers to entry and enabling existing, lower-capitalized competitors to conduct more business as a result of lower working capital requirements.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although we may manage or hedge this price exposure with derivatives. Our inventory is valued using the weighted average cost methodology and is stated at the lower of average cost or market. A rapid decline in fuel prices could cause our inventory value to be higher than market, resulting in our inventory being marked down to market or the inventory itself sold at lower prices. While we attempt to mitigate these fluctuations through hedging, such hedges may not be fully effective. Accordingly, if the market value of our inventory is less than our average cost and to the extent our hedges are not effective at mitigating fluctuations in prices, we could record a write down of inventory on hand and incur a non-cash charge or suffer losses as fuel is sold, which could adversely impact our earnings.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Our business and future operating results could be harmed by a variety of factors, including, but not limited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which may be costly and require significant time to implement;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making distributions;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risks, including changes in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terrorism, war, civil unrest and natural disasters and other weather-related events.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operate in certain high-risk locations that have been experiencing military action, terrorist activity or continued unrest which could disrupt the supply of fuel or otherwise disrupt our operations in those areas. An act of terror could result in disruptions of fuel supply and oil markets, and our facilities could be direct or indirect targets. Terrorist activity may also hinder our ability to transport fuel if our means of transportation become damaged as a result of an attack. In these high-risk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Finally, the U.S. may potentially withdraw from or renegotiate various trade agreements and take other actions that would change current trade policies of the U.S. We cannot predict the impact, if any, of these or other proposed changes to our business. However, it is possible that these proposed changes could adversely affect our business, financial condition and results of operations. It is likely that some policies adopted by the new administration will benefit us and others will negatively affect us. Until we know what changes are enacted, we will not know whether in total we benefit from, or are negatively affected by such changes.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 of our business depends on our ability to purchase, sell and coordinate delivery of fuel and related services to our customers. Political instability, natural disasters and other weather-related events, transportation, terminal or pipeline capacity constraints, terrorist activity, piracy, military action or other similar conditions or events may disrupt the availability or supply of fuel. Decreased availability or supply of fuel or other petroleum products may have a negative impact on our sales and margins and adversely affect our operating results.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We face intense competition and, if we are not able to effectively compete in our markets, our revenues and profits may decrease. </w:t>
      </w: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Industry developments, such as fuel price transparency, procurement technology tools and increasing customer sophistication may, over time, reduce demand for our services and thereby exacerbate the competition. In addition to competing with resellers, we also compete with the major oil producers that market fuel and other energy products directly to the large commercial airlines, shipping companies and commercial and industrial users.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which, among other things, restrict our ability to (i) pay dividends or make certain other restricted payments, (ii) incur additional debt, (iii) create liens, (iv) sell assets, and (v) engage in mergers or acquisitions.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 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Our operations may be adversely affected by legislation and competition from other energy sources and new or advanced technology.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have been significant governmental incentives and consumer pressures to increase the use of alternative fuels in the United States and abroad. A number of automotive, industrial and power generation manufacturers are developing more fuel efficient engines, hybrid engines and alternative clean power systems.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28, 2017, the U.S. President signed an executive order directing the Environmental Protection Agency (“EPA”) and other executive agencies to review their existing regulations, orders, guidance documents and policies that potentially burden the development of energy resources. It remains unclear how and to what extent these executive actions will impact the regulation of GHG emissions at the federal level. Even if federal efforts in this area are slow, state, local and/or foreign governments may enact legislation or regulations that attempt to control or limit GHGs such as carbon dioxide.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Finally, the focus on climate change could also negatively impact the reputation of our fuel products or services. The occurrence of any of the foregoing events could put upward pressure on the cost of fuel relative to other energy sources, increase our costs and the prices we charge our customers, reduce the demand for our products, and therefore adversely affect our business, financial condition, results of operations and cash flows.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our insurance coverage may not be available or, if available, may not be adequate to cover claims that may arise.</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and conditions in the insurance market over which we have no control. If the cost of insurance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increases, we may decide to discontinue certain insurance coverage, reduce our level of coverage or increase our deductibles/retentions in order to offset the cost increase. In addition, our existing types and levels of insurance coverage could become difficult or impossible to obtain in the future. The occurrence of an event that is not fully covered by insurance, the loss of insurance coverage or a material increase in the cost of insurance could have a material adverse effect on our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 material adverse effect on our business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currently, and may in the future be, involved in legal proceedings that arise in the ordinary course of our business. Lawsuits and other administrative or legal proceedings as well as any governmental investigations can involve substantial costs, including the costs associated with investigation, litigation and possible settlement, judgment, penalty or fine. Although we generally maintain insurance to mitigate certain exposures, costs associated with lawsuits or other legal proceedings may exceed the limits of insurance policies, which could adversely impact our results of operations. Furthermore, our business, financial condition, results of operations and cash flows could be adversely affected if a judgment, penalty or fine is not fully covered by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majority of our business transactions are denominated in U.S. dollars. In particular markets, however, payments to certain of our fuel suppliers and from certain of our customers are denominated in local currency. We also have certain liabilities, primarily for local operations, including income and transactional taxes, which are denominated in foreign currencies. This subjects us to foreign currency exchange risk. For example, the strengthening of the U.S. dollar relative to the British pound and other currencies may harm our results of operations as the local currency results of our U.K. operations may translate into fewer U.S. dollars. Currency fluctuations could also impact our customers based outside of the U.S., who may closely monitor their costs and reduce their spending budgets on our products and services, which in turn, may adversely affect our business, results of operations and financial condition.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U.K.’s proposed withdrawal from the European Union (</w:t>
      </w:r>
      <w:r>
        <w:rPr>
          <w:rFonts w:ascii="Arial" w:cs="Arial" w:eastAsia="Arial" w:hAnsi="Arial"/>
          <w:sz w:val="18"/>
          <w:szCs w:val="18"/>
          <w:color w:val="auto"/>
        </w:rPr>
        <w:t>“</w:t>
      </w:r>
      <w:r>
        <w:rPr>
          <w:rFonts w:ascii="Arial" w:cs="Arial" w:eastAsia="Arial" w:hAnsi="Arial"/>
          <w:sz w:val="18"/>
          <w:szCs w:val="18"/>
          <w:b w:val="1"/>
          <w:bCs w:val="1"/>
          <w:color w:val="auto"/>
        </w:rPr>
        <w:t>E.U.</w:t>
      </w:r>
      <w:r>
        <w:rPr>
          <w:rFonts w:ascii="Arial" w:cs="Arial" w:eastAsia="Arial" w:hAnsi="Arial"/>
          <w:sz w:val="18"/>
          <w:szCs w:val="18"/>
          <w:color w:val="auto"/>
        </w:rPr>
        <w:t>”)</w:t>
      </w:r>
      <w:r>
        <w:rPr>
          <w:rFonts w:ascii="Arial" w:cs="Arial" w:eastAsia="Arial" w:hAnsi="Arial"/>
          <w:sz w:val="18"/>
          <w:szCs w:val="18"/>
          <w:b w:val="1"/>
          <w:bCs w:val="1"/>
          <w:color w:val="auto"/>
        </w:rPr>
        <w:t xml:space="preserve"> could harm our business and financial results.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23, 2016, the U.K. held a referendum in which British voters approved an exit from the E.U., commonly referred to as “Brexit”. On March 29, 2017, the U.K. government initiated the exit process under Article 50 of the Treaty of the European Union, commencing a period of up to two years for the U.K. and the other E.U. member states to negotiate the terms of the withdrawal. Uncertainty over the terms of the U.K’s departure from the E.U. could cause political and economic uncertainty in the U.K. and the rest of Europe, which could harm our business and financial results. A withdrawal could, among other outcomes, disrupt the free movement of goods, services and people between the U.K. and the E.U., undermine bilateral cooperation in key geographic areas and significantly disrupt trade between the U.K. and the E.U. or other nations as the U.K. pursues independent trade relations. These factors pose a risk to the overall U.K. economy and as a result, our operations in the U.K., particularly in our land segment, as well as our global operations, could be adversely impacted.</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Brexit could lead to legal uncertainty and potentially divergent national laws and regulations as the U.K. determines which E.U. laws to replace or replicate. We may incur additional costs and expenses as we adapt to such potentially divergent regulatory frameworks. The effects of Brexit will depend on any agreements the U.K. makes to retain access to E.U. or other markets either during a transitional period or more permanently. Given the lack of comparable precedent, it is unclear what financial, trade and legal implications the withdrawal of the U.K. from the E.U. would have and how such withdrawal would affect us. In addition, Brexit may lead other E.U. member countries to consider referendums regarding their E.U. membership. Adverse consequences concerning Brexit or the E.U. could include deterioration in global economic conditions, instability in global financial markets, political uncertainty, continued volatility in currency exchange rates, or adverse changes in the cross-border agreements currently in place, any of which could have an adverse impact on our financial results in the future.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proposed derivatives legislation and rulemaking could have a material adverse effect on our business.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Dodd Frank Wall Street Transparency and Accountability Act of 2010 (the “Dodd-Frank Act”) provides for federal regulation of the over the counter derivative markets both for commodities and securities, and gives the U.S. Commodity Futures Trading Commission (“CFTC”) and the SEC broad authority to regulate such markets and their participants. This includes, among others, derivative transactions linked to crude oil, refined products and natural gas prices. The Dodd-Frank Act and the rules being promulgated thereunder subject certain swap participants to capital and margin requirements and business conduct standards. If we or our derivatives counterparties are subject to additional requirements imposed as a result of the Dodd-Frank Act, this may increase our transaction costs or make it more difficult for us to enter into hedging transactions on favorable terms. Our inability to enter into hedging transactions on favorable terms, or at all, could increase our operating expenses and put us at increased exposure to risks of adverse changes in energy commodities prices. Further, on December 30, 2016, the CFTC re-proposed new position limits rules for public comment, which would limit trading in options, futures, and swaps contracts related to certain agricultural, metal, and energy commodities, including energy commodities in which we currently engage in derivative transactions, and solicited public comment. These rules have not been finalized, and we cannot currently predict whether or when the re-proposed rules will be adopted, in what form the rules will be adopted, or the effect of the final rules, if any, on our businesses. Any such regulations could also subject our derivatives counterparties to limits on commodity positions and thereby have an adverse effect on our ability to hedge risks associated with our business or on the cost of our hedging activity.</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other legislation regulating the use of derivatives that certain foreign jurisdictions have adopted or are in the process of adopting, could have a material adverse effect on our business. One of the most significant pieces of E.U. financial services legislation in recent years, the Markets in Financial Instruments Directive II (“MiFID II”) and the Markets in Financial Instruments Regulation (“MiFIR”), went into effect on January 3, 2018. As a result of the available exemptions from MiFID II licensing, we have experienced minimal disruption in our ability to continue to conduct our business since these regulations took effect in the E.U., although we will continue to evaluate the availability of these exemptions as our business grows or changes in the future. In addition, new rules have been enacted on “position limits,” which places a limit on the number of commodity derivative contracts we can hold at one time that are traded on a “E.U. trading venue,” which includes E.U. Regulated Markets/Exchanges. Although we do not believe these limits pose an immediate threat on our ability to hedge risk or carry out our existing business activities, we will continue to evaluate whether these limits may have any adverse business impact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new (or newly implemented) regulations and international legislation could:</w:t>
      </w:r>
    </w:p>
    <w:p>
      <w:pPr>
        <w:spacing w:after="0" w:line="225" w:lineRule="exact"/>
        <w:rPr>
          <w:sz w:val="20"/>
          <w:szCs w:val="20"/>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materially increase the cost of our derivative contracts (including through requirements to post collateral, which could adversely affect our cash flows and liquidity, or require us to obtain licenses and subject us directly or indirectly to additional reporting and other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materially alter the terms of our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our ability to offer derivative and other price management products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that we limit our derivatives activities to avoid being subject to burdensome requirements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demand for our price risk management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availability of derivatives to protect against risks we encounter;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price volatility in the commodities we buy and sell (and derivatives related to those commodities);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affect cash flow and liquidity due to margin 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our ability to monetize or restructure our existing commodity price contracts;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exposure to less creditworthy counterparties.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the increased cost of derivative contracts is substantial or we reduce or limit our derivatives activities as a result of any such legislation or rules, our profitability and results of operations could be adversely affected. Any of these consequences could have a material adverse effect on us, our financial condition, and our results of operations and cash flows.</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table sets forth our principal properties, the majority of which are leased, as of </w:t>
      </w:r>
      <w:r>
        <w:rPr>
          <w:rFonts w:ascii="Arial" w:cs="Arial" w:eastAsia="Arial" w:hAnsi="Arial"/>
          <w:sz w:val="16"/>
          <w:szCs w:val="16"/>
          <w:color w:val="auto"/>
        </w:rPr>
        <w:t>February 7, 2018</w:t>
      </w:r>
      <w:r>
        <w:rPr>
          <w:rFonts w:ascii="Arial" w:cs="Arial" w:eastAsia="Arial" w:hAnsi="Arial"/>
          <w:sz w:val="18"/>
          <w:szCs w:val="18"/>
          <w:color w:val="auto"/>
        </w:rPr>
        <w:t>. We consider all of our properties and facilities to be suitable and adequate for our present needs and do not anticipate that we will experience difficulty in renewing or replacing those leases that expire in 2018 in any material respect.</w:t>
      </w:r>
    </w:p>
    <w:p>
      <w:pPr>
        <w:spacing w:after="0" w:line="184" w:lineRule="exact"/>
        <w:rPr>
          <w:sz w:val="20"/>
          <w:szCs w:val="20"/>
          <w:color w:val="auto"/>
        </w:rPr>
      </w:pPr>
    </w:p>
    <w:p>
      <w:pPr>
        <w:ind w:right="5020"/>
        <w:spacing w:after="0" w:line="274"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700" w:type="dxa"/>
            <w:vAlign w:val="bottom"/>
          </w:tcPr>
          <w:p>
            <w:pPr>
              <w:ind w:left="1540"/>
              <w:spacing w:after="0"/>
              <w:rPr>
                <w:sz w:val="20"/>
                <w:szCs w:val="20"/>
                <w:color w:val="auto"/>
              </w:rPr>
            </w:pPr>
            <w:r>
              <w:rPr>
                <w:rFonts w:ascii="Arial" w:cs="Arial" w:eastAsia="Arial" w:hAnsi="Arial"/>
                <w:sz w:val="14"/>
                <w:szCs w:val="14"/>
                <w:b w:val="1"/>
                <w:bCs w:val="1"/>
                <w:color w:val="auto"/>
              </w:rPr>
              <w:t>Location</w:t>
            </w:r>
          </w:p>
        </w:tc>
        <w:tc>
          <w:tcPr>
            <w:tcW w:w="5580" w:type="dxa"/>
            <w:vAlign w:val="bottom"/>
          </w:tcPr>
          <w:p>
            <w:pPr>
              <w:ind w:left="2360"/>
              <w:spacing w:after="0"/>
              <w:rPr>
                <w:sz w:val="20"/>
                <w:szCs w:val="20"/>
                <w:color w:val="auto"/>
              </w:rPr>
            </w:pPr>
            <w:r>
              <w:rPr>
                <w:rFonts w:ascii="Arial" w:cs="Arial" w:eastAsia="Arial" w:hAnsi="Arial"/>
                <w:sz w:val="14"/>
                <w:szCs w:val="14"/>
                <w:b w:val="1"/>
                <w:bCs w:val="1"/>
                <w:color w:val="auto"/>
              </w:rPr>
              <w:t>Principal Use</w:t>
            </w:r>
          </w:p>
        </w:tc>
        <w:tc>
          <w:tcPr>
            <w:tcW w:w="15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9"/>
              </w:rPr>
              <w:t>Lease Expiration</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55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3700" w:type="dxa"/>
            <w:vAlign w:val="bottom"/>
          </w:tcPr>
          <w:p>
            <w:pPr>
              <w:spacing w:after="0"/>
              <w:rPr>
                <w:sz w:val="20"/>
                <w:szCs w:val="20"/>
                <w:color w:val="auto"/>
              </w:rPr>
            </w:pPr>
            <w:r>
              <w:rPr>
                <w:rFonts w:ascii="Arial" w:cs="Arial" w:eastAsia="Arial" w:hAnsi="Arial"/>
                <w:sz w:val="18"/>
                <w:szCs w:val="18"/>
                <w:color w:val="auto"/>
              </w:rPr>
              <w:t>9800 Northwest 41st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Executive, administrative, operations and sales office for corporate,</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2031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Miami, FL 33178, USA</w:t>
            </w:r>
          </w:p>
        </w:tc>
        <w:tc>
          <w:tcPr>
            <w:tcW w:w="5580" w:type="dxa"/>
            <w:vAlign w:val="bottom"/>
          </w:tcPr>
          <w:p>
            <w:pPr>
              <w:ind w:left="140"/>
              <w:spacing w:after="0"/>
              <w:rPr>
                <w:sz w:val="20"/>
                <w:szCs w:val="20"/>
                <w:color w:val="auto"/>
              </w:rPr>
            </w:pPr>
            <w:r>
              <w:rPr>
                <w:rFonts w:ascii="Arial" w:cs="Arial" w:eastAsia="Arial" w:hAnsi="Arial"/>
                <w:sz w:val="18"/>
                <w:szCs w:val="18"/>
                <w:color w:val="auto"/>
              </w:rPr>
              <w:t>aviation, land and 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62 Buckingham Gate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2028</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London, United Kingdom SW1E 6AJ</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line="207" w:lineRule="exact"/>
              <w:rPr>
                <w:sz w:val="20"/>
                <w:szCs w:val="20"/>
                <w:color w:val="auto"/>
              </w:rPr>
            </w:pPr>
            <w:r>
              <w:rPr>
                <w:rFonts w:ascii="Arial" w:cs="Arial" w:eastAsia="Arial" w:hAnsi="Arial"/>
                <w:sz w:val="18"/>
                <w:szCs w:val="18"/>
                <w:color w:val="auto"/>
              </w:rPr>
              <w:t>238A Thompson Road #08</w:t>
            </w:r>
            <w:r>
              <w:rPr>
                <w:rFonts w:ascii="MS PGothic" w:cs="MS PGothic" w:eastAsia="MS PGothic" w:hAnsi="MS PGothic"/>
                <w:sz w:val="18"/>
                <w:szCs w:val="18"/>
                <w:color w:val="auto"/>
              </w:rPr>
              <w:t>‑</w:t>
            </w:r>
            <w:r>
              <w:rPr>
                <w:rFonts w:ascii="Arial" w:cs="Arial" w:eastAsia="Arial" w:hAnsi="Arial"/>
                <w:sz w:val="18"/>
                <w:szCs w:val="18"/>
                <w:color w:val="auto"/>
              </w:rPr>
              <w:t>01/10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Novena Square Tower A</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Singapore 307684</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Office No. 2003, Swiss Tower</w:t>
            </w:r>
          </w:p>
        </w:tc>
        <w:tc>
          <w:tcPr>
            <w:tcW w:w="5580" w:type="dxa"/>
            <w:vAlign w:val="bottom"/>
          </w:tcPr>
          <w:p>
            <w:pPr>
              <w:ind w:left="140"/>
              <w:spacing w:after="0"/>
              <w:rPr>
                <w:sz w:val="20"/>
                <w:szCs w:val="20"/>
                <w:color w:val="auto"/>
              </w:rPr>
            </w:pPr>
            <w:r>
              <w:rPr>
                <w:rFonts w:ascii="Arial" w:cs="Arial" w:eastAsia="Arial" w:hAnsi="Arial"/>
                <w:sz w:val="18"/>
                <w:szCs w:val="18"/>
                <w:color w:val="auto"/>
              </w:rPr>
              <w:t>Sales and marketing office for aviation and marine segments</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Plot No. Y3, Jumeirah Lakes Towers</w:t>
            </w:r>
          </w:p>
        </w:tc>
        <w:tc>
          <w:tcPr>
            <w:tcW w:w="5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Dubai, United Arab Emirates</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Praia do Flamengo, 200, 22nd floor</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Rio de Janeiro, Brazil 22210 030</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Forum 2, Building N, Level 4, Radial</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marine</w:t>
            </w:r>
          </w:p>
        </w:tc>
        <w:tc>
          <w:tcPr>
            <w:tcW w:w="1580" w:type="dxa"/>
            <w:vAlign w:val="bottom"/>
          </w:tcPr>
          <w:p>
            <w:pPr>
              <w:ind w:left="80"/>
              <w:spacing w:after="0"/>
              <w:rPr>
                <w:sz w:val="20"/>
                <w:szCs w:val="20"/>
                <w:color w:val="auto"/>
              </w:rPr>
            </w:pPr>
            <w:r>
              <w:rPr>
                <w:rFonts w:ascii="Arial" w:cs="Arial" w:eastAsia="Arial" w:hAnsi="Arial"/>
                <w:sz w:val="18"/>
                <w:szCs w:val="18"/>
                <w:color w:val="auto"/>
              </w:rPr>
              <w:t>December 2019</w:t>
            </w: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Santa Ana Belén (Lindoral), Pozos,</w:t>
            </w:r>
          </w:p>
        </w:tc>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Santa Ana San José, Costa Rica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605 North Highway 169, Suites 1100 &amp; 1200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2018</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Plymouth, MN 55441,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25 Mill Street</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Parish, NY 13131,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Strommen 6</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and land</w:t>
            </w:r>
          </w:p>
        </w:tc>
        <w:tc>
          <w:tcPr>
            <w:tcW w:w="1580" w:type="dxa"/>
            <w:vAlign w:val="bottom"/>
          </w:tcPr>
          <w:p>
            <w:pPr>
              <w:ind w:left="80"/>
              <w:spacing w:after="0"/>
              <w:rPr>
                <w:sz w:val="20"/>
                <w:szCs w:val="20"/>
                <w:color w:val="auto"/>
              </w:rPr>
            </w:pPr>
            <w:r>
              <w:rPr>
                <w:rFonts w:ascii="Arial" w:cs="Arial" w:eastAsia="Arial" w:hAnsi="Arial"/>
                <w:sz w:val="18"/>
                <w:szCs w:val="18"/>
                <w:color w:val="auto"/>
              </w:rPr>
              <w:t>Month-to-month</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9400 Norresundby, Denmark</w:t>
            </w:r>
          </w:p>
        </w:tc>
        <w:tc>
          <w:tcPr>
            <w:tcW w:w="5580" w:type="dxa"/>
            <w:vAlign w:val="bottom"/>
          </w:tcPr>
          <w:p>
            <w:pPr>
              <w:ind w:left="140"/>
              <w:spacing w:after="0"/>
              <w:rPr>
                <w:sz w:val="20"/>
                <w:szCs w:val="20"/>
                <w:color w:val="auto"/>
              </w:rPr>
            </w:pPr>
            <w:r>
              <w:rPr>
                <w:rFonts w:ascii="Arial" w:cs="Arial" w:eastAsia="Arial" w:hAnsi="Arial"/>
                <w:sz w:val="18"/>
                <w:szCs w:val="18"/>
                <w:color w:val="auto"/>
              </w:rPr>
              <w:t>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6000 Metcalf Avenue</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66202,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8650 College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land and</w:t>
            </w:r>
          </w:p>
        </w:tc>
        <w:tc>
          <w:tcPr>
            <w:tcW w:w="1580" w:type="dxa"/>
            <w:vAlign w:val="bottom"/>
          </w:tcPr>
          <w:p>
            <w:pPr>
              <w:ind w:left="80"/>
              <w:spacing w:after="0"/>
              <w:rPr>
                <w:sz w:val="20"/>
                <w:szCs w:val="20"/>
                <w:color w:val="auto"/>
              </w:rPr>
            </w:pPr>
            <w:r>
              <w:rPr>
                <w:rFonts w:ascii="Arial" w:cs="Arial" w:eastAsia="Arial" w:hAnsi="Arial"/>
                <w:sz w:val="18"/>
                <w:szCs w:val="18"/>
                <w:color w:val="auto"/>
              </w:rPr>
              <w:t>August 2024</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5580" w:type="dxa"/>
            <w:vAlign w:val="bottom"/>
          </w:tcPr>
          <w:p>
            <w:pPr>
              <w:ind w:left="140"/>
              <w:spacing w:after="0"/>
              <w:rPr>
                <w:sz w:val="20"/>
                <w:szCs w:val="20"/>
                <w:color w:val="auto"/>
              </w:rPr>
            </w:pPr>
            <w:r>
              <w:rPr>
                <w:rFonts w:ascii="Arial" w:cs="Arial" w:eastAsia="Arial" w:hAnsi="Arial"/>
                <w:sz w:val="18"/>
                <w:szCs w:val="18"/>
                <w:color w:val="auto"/>
              </w:rPr>
              <w:t>marine segments</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Causeway End, Brinkworth,</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Chippenham SN15 5DN, United Kingdom</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300 Flint Ridge Road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aviation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Webster, Texas 77598,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Fantoftvegen 38, 5072</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November 2023</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Bergen, Norway</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2320 Milwaukee Way,</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June 2026</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Tacoma, Washington 98421,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4920 Southern Boulevard</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land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Virginia Beach, VA 23462, USA</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1B North Mole Road (C.P. No. 1360)</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marine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May 2021</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Gibraltar</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The Docks, Falmouth, Cornwall,</w:t>
            </w:r>
          </w:p>
        </w:tc>
        <w:tc>
          <w:tcPr>
            <w:tcW w:w="5580" w:type="dxa"/>
            <w:vAlign w:val="bottom"/>
          </w:tcPr>
          <w:p>
            <w:pPr>
              <w:ind w:left="140"/>
              <w:spacing w:after="0"/>
              <w:rPr>
                <w:sz w:val="20"/>
                <w:szCs w:val="20"/>
                <w:color w:val="auto"/>
              </w:rPr>
            </w:pPr>
            <w:r>
              <w:rPr>
                <w:rFonts w:ascii="Arial" w:cs="Arial" w:eastAsia="Arial" w:hAnsi="Arial"/>
                <w:sz w:val="18"/>
                <w:szCs w:val="18"/>
                <w:color w:val="auto"/>
              </w:rPr>
              <w:t>Administrative, operations and sales office for marine segment</w:t>
            </w:r>
          </w:p>
        </w:tc>
        <w:tc>
          <w:tcPr>
            <w:tcW w:w="1580" w:type="dxa"/>
            <w:vAlign w:val="bottom"/>
          </w:tcPr>
          <w:p>
            <w:pPr>
              <w:ind w:left="80"/>
              <w:spacing w:after="0"/>
              <w:rPr>
                <w:sz w:val="20"/>
                <w:szCs w:val="20"/>
                <w:color w:val="auto"/>
              </w:rPr>
            </w:pPr>
            <w:r>
              <w:rPr>
                <w:rFonts w:ascii="Arial" w:cs="Arial" w:eastAsia="Arial" w:hAnsi="Arial"/>
                <w:sz w:val="18"/>
                <w:szCs w:val="18"/>
                <w:color w:val="auto"/>
              </w:rPr>
              <w:t>February 2037</w:t>
            </w: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TR11 4NR, United Kingdom</w:t>
            </w:r>
          </w:p>
        </w:tc>
        <w:tc>
          <w:tcPr>
            <w:tcW w:w="5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140"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Location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Huskisson Dock No.1</w:t>
      </w:r>
    </w:p>
    <w:p>
      <w:pPr>
        <w:ind w:left="40"/>
        <w:spacing w:after="0" w:line="234" w:lineRule="auto"/>
        <w:rPr>
          <w:sz w:val="20"/>
          <w:szCs w:val="20"/>
          <w:color w:val="auto"/>
        </w:rPr>
      </w:pPr>
      <w:r>
        <w:rPr>
          <w:rFonts w:ascii="Arial" w:cs="Arial" w:eastAsia="Arial" w:hAnsi="Arial"/>
          <w:sz w:val="18"/>
          <w:szCs w:val="18"/>
          <w:color w:val="auto"/>
        </w:rPr>
        <w:t>Regent Road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Liverpool, United Kingdom</w:t>
      </w:r>
    </w:p>
    <w:p>
      <w:pPr>
        <w:spacing w:after="0" w:line="171" w:lineRule="exact"/>
        <w:rPr>
          <w:sz w:val="20"/>
          <w:szCs w:val="20"/>
          <w:color w:val="auto"/>
        </w:rPr>
      </w:pPr>
    </w:p>
    <w:p>
      <w:pPr>
        <w:ind w:left="40" w:right="880"/>
        <w:spacing w:after="0" w:line="275" w:lineRule="auto"/>
        <w:rPr>
          <w:sz w:val="20"/>
          <w:szCs w:val="20"/>
          <w:color w:val="auto"/>
        </w:rPr>
      </w:pPr>
      <w:r>
        <w:rPr>
          <w:rFonts w:ascii="Arial" w:cs="Arial" w:eastAsia="Arial" w:hAnsi="Arial"/>
          <w:sz w:val="17"/>
          <w:szCs w:val="17"/>
          <w:color w:val="auto"/>
        </w:rPr>
        <w:t>Lange Kleiweg 28, 8th Floor Rijswijk, Netherlands 2228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220"/>
        <w:spacing w:after="0"/>
        <w:rPr>
          <w:sz w:val="20"/>
          <w:szCs w:val="20"/>
          <w:color w:val="auto"/>
        </w:rPr>
      </w:pPr>
      <w:r>
        <w:rPr>
          <w:rFonts w:ascii="Arial" w:cs="Arial" w:eastAsia="Arial" w:hAnsi="Arial"/>
          <w:sz w:val="14"/>
          <w:szCs w:val="14"/>
          <w:b w:val="1"/>
          <w:bCs w:val="1"/>
          <w:color w:val="auto"/>
        </w:rPr>
        <w:t>Principal Use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operations and sales office for marine segment</w:t>
      </w:r>
    </w:p>
    <w:p>
      <w:pPr>
        <w:spacing w:after="0" w:line="200" w:lineRule="exact"/>
        <w:rPr>
          <w:sz w:val="20"/>
          <w:szCs w:val="20"/>
          <w:color w:val="auto"/>
        </w:rPr>
      </w:pPr>
    </w:p>
    <w:p>
      <w:pPr>
        <w:spacing w:after="0" w:line="3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Administrative, operations and sales office for aviation, land and marine segments</w:t>
      </w:r>
    </w:p>
    <w:p>
      <w:pPr>
        <w:spacing w:after="0" w:line="378" w:lineRule="exact"/>
        <w:rPr>
          <w:sz w:val="20"/>
          <w:szCs w:val="20"/>
          <w:color w:val="auto"/>
        </w:rPr>
      </w:pPr>
    </w:p>
    <w:p>
      <w:pPr>
        <w:jc w:val="center"/>
        <w:ind w:right="14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Lease Expiration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February 2029</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September 2022</w:t>
      </w:r>
    </w:p>
    <w:p>
      <w:pPr>
        <w:sectPr>
          <w:pgSz w:w="11900" w:h="16838" w:orient="portrait"/>
          <w:cols w:equalWidth="0" w:num="3">
            <w:col w:w="3160" w:space="720"/>
            <w:col w:w="5100" w:space="420"/>
            <w:col w:w="1500"/>
          </w:cols>
          <w:pgMar w:left="240" w:top="140" w:right="7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20, 2016, we were informed that the U.S. Department of Justice (the “DOJ”) is conducting an investigation into the aviation fuel supply industry, including certain activities by us and other industry participants at an airport in Central America. In connection therewith, we were served with formal requests by the DOJ about its activities at that airport and its aviation fuel supply business more broadly. We are cooperating with the investigation.</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U.S., Brazil, Denmark and South Korea, where the amounts under controversy may be material. See Notes 9 and 11 of the accompanying consolidated financial statements for additional details regarding certain tax matters.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common stock is traded on the New York Stock Exchange (“NYSE”) under the symbol INT. As of December 29, 2017, the closing price of our stock on the NYSE was $28.14. The following table sets forth, for each quarter in 2017 and 2016, the high and low sales prices of our common stock as reported by the NYSE.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tcBorders>
              <w:bottom w:val="single" w:sz="8" w:color="auto"/>
            </w:tcBorders>
          </w:tcPr>
          <w:p>
            <w:pPr>
              <w:spacing w:after="0"/>
              <w:rPr>
                <w:sz w:val="17"/>
                <w:szCs w:val="17"/>
                <w:color w:val="auto"/>
              </w:rPr>
            </w:pPr>
          </w:p>
        </w:tc>
      </w:tr>
      <w:tr>
        <w:trPr>
          <w:trHeight w:val="264"/>
        </w:trPr>
        <w:tc>
          <w:tcPr>
            <w:tcW w:w="8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Low</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47.49</w:t>
            </w:r>
          </w:p>
        </w:tc>
        <w:tc>
          <w:tcPr>
            <w:tcW w:w="62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34.79</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34.64</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40.16</w:t>
            </w:r>
          </w:p>
        </w:tc>
        <w:tc>
          <w:tcPr>
            <w:tcW w:w="62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32.28</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r>
      <w:tr>
        <w:trPr>
          <w:trHeight w:val="297"/>
        </w:trPr>
        <w:tc>
          <w:tcPr>
            <w:tcW w:w="8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49.50</w:t>
            </w:r>
          </w:p>
        </w:tc>
        <w:tc>
          <w:tcPr>
            <w:tcW w:w="62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35.13</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42.95</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49.38</w:t>
            </w:r>
          </w:p>
        </w:tc>
        <w:tc>
          <w:tcPr>
            <w:tcW w:w="62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44.14</w:t>
            </w:r>
          </w:p>
        </w:tc>
      </w:tr>
      <w:tr>
        <w:trPr>
          <w:trHeight w:val="270"/>
        </w:trPr>
        <w:tc>
          <w:tcPr>
            <w:tcW w:w="8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6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38.79</w:t>
            </w: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7, 2018, there were 370 shareholders of record of our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2017 and 2016.</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Per Share Amount</w:t>
            </w:r>
          </w:p>
        </w:tc>
        <w:tc>
          <w:tcPr>
            <w:tcW w:w="23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Declaration Date</w:t>
            </w:r>
          </w:p>
        </w:tc>
        <w:tc>
          <w:tcPr>
            <w:tcW w:w="232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rPr>
              <w:t>Record Date</w:t>
            </w:r>
          </w:p>
        </w:tc>
        <w:tc>
          <w:tcPr>
            <w:tcW w:w="19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Payment Date</w:t>
            </w: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3, 2017</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March 17, 2017</w:t>
            </w:r>
          </w:p>
        </w:tc>
        <w:tc>
          <w:tcPr>
            <w:tcW w:w="1920" w:type="dxa"/>
            <w:vAlign w:val="bottom"/>
          </w:tcPr>
          <w:p>
            <w:pPr>
              <w:jc w:val="right"/>
              <w:spacing w:after="0"/>
              <w:rPr>
                <w:sz w:val="20"/>
                <w:szCs w:val="20"/>
                <w:color w:val="auto"/>
              </w:rPr>
            </w:pPr>
            <w:r>
              <w:rPr>
                <w:rFonts w:ascii="Arial" w:cs="Arial" w:eastAsia="Arial" w:hAnsi="Arial"/>
                <w:sz w:val="18"/>
                <w:szCs w:val="18"/>
                <w:color w:val="auto"/>
              </w:rPr>
              <w:t>April 7, 2017</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May 25, 2017</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June 9, 2017</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7, 2017</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October 4, 2017</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October 16, 2017</w:t>
            </w:r>
          </w:p>
        </w:tc>
        <w:tc>
          <w:tcPr>
            <w:tcW w:w="1920" w:type="dxa"/>
            <w:vAlign w:val="bottom"/>
          </w:tcPr>
          <w:p>
            <w:pPr>
              <w:jc w:val="right"/>
              <w:spacing w:after="0"/>
              <w:rPr>
                <w:sz w:val="20"/>
                <w:szCs w:val="20"/>
                <w:color w:val="auto"/>
              </w:rPr>
            </w:pPr>
            <w:r>
              <w:rPr>
                <w:rFonts w:ascii="Arial" w:cs="Arial" w:eastAsia="Arial" w:hAnsi="Arial"/>
                <w:sz w:val="18"/>
                <w:szCs w:val="18"/>
                <w:color w:val="auto"/>
              </w:rPr>
              <w:t>November 6, 2017</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December 1, 2017</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December 15, 2017</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5, 2018</w:t>
            </w:r>
          </w:p>
        </w:tc>
      </w:tr>
      <w:tr>
        <w:trPr>
          <w:trHeight w:val="324"/>
        </w:trPr>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9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March 3, 2016</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March 18, 2016</w:t>
            </w:r>
          </w:p>
        </w:tc>
        <w:tc>
          <w:tcPr>
            <w:tcW w:w="1920" w:type="dxa"/>
            <w:vAlign w:val="bottom"/>
          </w:tcPr>
          <w:p>
            <w:pPr>
              <w:jc w:val="right"/>
              <w:spacing w:after="0"/>
              <w:rPr>
                <w:sz w:val="20"/>
                <w:szCs w:val="20"/>
                <w:color w:val="auto"/>
              </w:rPr>
            </w:pPr>
            <w:r>
              <w:rPr>
                <w:rFonts w:ascii="Arial" w:cs="Arial" w:eastAsia="Arial" w:hAnsi="Arial"/>
                <w:sz w:val="18"/>
                <w:szCs w:val="18"/>
                <w:color w:val="auto"/>
              </w:rPr>
              <w:t>April 8, 2016</w:t>
            </w:r>
          </w:p>
        </w:tc>
      </w:tr>
      <w:tr>
        <w:trPr>
          <w:trHeight w:val="27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May 26, 2016</w:t>
            </w:r>
          </w:p>
        </w:tc>
        <w:tc>
          <w:tcPr>
            <w:tcW w:w="2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June 10, 2016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2016</w:t>
            </w:r>
          </w:p>
        </w:tc>
      </w:tr>
      <w:tr>
        <w:trPr>
          <w:trHeight w:val="263"/>
        </w:trPr>
        <w:tc>
          <w:tcPr>
            <w:tcW w:w="2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Pr>
          <w:p>
            <w:pPr>
              <w:spacing w:after="0"/>
              <w:rPr>
                <w:sz w:val="22"/>
                <w:szCs w:val="22"/>
                <w:color w:val="auto"/>
              </w:rPr>
            </w:pPr>
          </w:p>
        </w:tc>
        <w:tc>
          <w:tcPr>
            <w:tcW w:w="1800" w:type="dxa"/>
            <w:vAlign w:val="bottom"/>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Pr>
          <w:p>
            <w:pPr>
              <w:jc w:val="right"/>
              <w:ind w:right="232"/>
              <w:spacing w:after="0"/>
              <w:rPr>
                <w:sz w:val="20"/>
                <w:szCs w:val="20"/>
                <w:color w:val="auto"/>
              </w:rPr>
            </w:pPr>
            <w:r>
              <w:rPr>
                <w:rFonts w:ascii="Arial" w:cs="Arial" w:eastAsia="Arial" w:hAnsi="Arial"/>
                <w:sz w:val="18"/>
                <w:szCs w:val="18"/>
                <w:color w:val="auto"/>
              </w:rPr>
              <w:t>September 12, 2016</w:t>
            </w:r>
          </w:p>
        </w:tc>
        <w:tc>
          <w:tcPr>
            <w:tcW w:w="2320" w:type="dxa"/>
            <w:vAlign w:val="bottom"/>
          </w:tcPr>
          <w:p>
            <w:pPr>
              <w:jc w:val="right"/>
              <w:ind w:right="292"/>
              <w:spacing w:after="0"/>
              <w:rPr>
                <w:sz w:val="20"/>
                <w:szCs w:val="20"/>
                <w:color w:val="auto"/>
              </w:rPr>
            </w:pPr>
            <w:r>
              <w:rPr>
                <w:rFonts w:ascii="Arial" w:cs="Arial" w:eastAsia="Arial" w:hAnsi="Arial"/>
                <w:sz w:val="18"/>
                <w:szCs w:val="18"/>
                <w:color w:val="auto"/>
              </w:rPr>
              <w:t>September 23, 2016</w:t>
            </w:r>
          </w:p>
        </w:tc>
        <w:tc>
          <w:tcPr>
            <w:tcW w:w="1920" w:type="dxa"/>
            <w:vAlign w:val="bottom"/>
          </w:tcPr>
          <w:p>
            <w:pPr>
              <w:jc w:val="right"/>
              <w:spacing w:after="0"/>
              <w:rPr>
                <w:sz w:val="20"/>
                <w:szCs w:val="20"/>
                <w:color w:val="auto"/>
              </w:rPr>
            </w:pPr>
            <w:r>
              <w:rPr>
                <w:rFonts w:ascii="Arial" w:cs="Arial" w:eastAsia="Arial" w:hAnsi="Arial"/>
                <w:sz w:val="18"/>
                <w:szCs w:val="18"/>
                <w:color w:val="auto"/>
              </w:rPr>
              <w:t>October 12, 2016</w:t>
            </w:r>
          </w:p>
        </w:tc>
      </w:tr>
      <w:tr>
        <w:trPr>
          <w:trHeight w:val="270"/>
        </w:trPr>
        <w:tc>
          <w:tcPr>
            <w:tcW w:w="2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0.0600</w:t>
            </w:r>
          </w:p>
        </w:tc>
        <w:tc>
          <w:tcPr>
            <w:tcW w:w="23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November 30, 2016</w:t>
            </w:r>
          </w:p>
        </w:tc>
        <w:tc>
          <w:tcPr>
            <w:tcW w:w="23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December 16, 2016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January 6, 2017</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and Term Loans restrict the payment of cash dividends to a maximum of the sum of (i) $100.0 million plus (ii) 50% of the cumulative consolidated net income for each fiscal quarter beginning with the fiscal quarter ended March 31, 2016, plus (iii) 100% of the net proceeds of all equity issuances made after October 2013. For additional information regarding our Credit Facility and Term Loans, see Note 8 to the accompanying consolidated financial statements, included herein, and “Liquidity and Capital Resources” in “Item 7 – Management’s Discussion and Analysis of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2012 through December 31, 2017.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137160</wp:posOffset>
            </wp:positionV>
            <wp:extent cx="5848985" cy="4871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87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under our 2016 omnibus plan (the “2016 Plan”) and available for future issuance under our 2016 Plan as of December 31, 2017 (in millions, except weighted average price data), as well as the 2006 omnibus plan, as amended and restated (the “2006 Plan”):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(c) Number</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of securities</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5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03"/>
              <w:spacing w:after="0"/>
              <w:rPr>
                <w:sz w:val="20"/>
                <w:szCs w:val="20"/>
                <w:color w:val="auto"/>
              </w:rPr>
            </w:pPr>
            <w:r>
              <w:rPr>
                <w:rFonts w:ascii="Arial" w:cs="Arial" w:eastAsia="Arial" w:hAnsi="Arial"/>
                <w:sz w:val="14"/>
                <w:szCs w:val="14"/>
                <w:b w:val="1"/>
                <w:bCs w:val="1"/>
                <w:color w:val="auto"/>
              </w:rPr>
              <w:t>(a) Maximum number</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(b) Weighted</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03"/>
              <w:spacing w:after="0"/>
              <w:rPr>
                <w:sz w:val="20"/>
                <w:szCs w:val="20"/>
                <w:color w:val="auto"/>
              </w:rPr>
            </w:pPr>
            <w:r>
              <w:rPr>
                <w:rFonts w:ascii="Arial" w:cs="Arial" w:eastAsia="Arial" w:hAnsi="Arial"/>
                <w:sz w:val="14"/>
                <w:szCs w:val="14"/>
                <w:b w:val="1"/>
                <w:bCs w:val="1"/>
                <w:color w:val="auto"/>
              </w:rPr>
              <w:t>of securities to be</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average exercise</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compensation plan</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23"/>
              <w:spacing w:after="0"/>
              <w:rPr>
                <w:sz w:val="20"/>
                <w:szCs w:val="20"/>
                <w:color w:val="auto"/>
              </w:rPr>
            </w:pPr>
            <w:r>
              <w:rPr>
                <w:rFonts w:ascii="Arial" w:cs="Arial" w:eastAsia="Arial" w:hAnsi="Arial"/>
                <w:sz w:val="14"/>
                <w:szCs w:val="14"/>
                <w:b w:val="1"/>
                <w:bCs w:val="1"/>
                <w:color w:val="auto"/>
              </w:rPr>
              <w:t>issued upon exercise</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 of outstanding</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(excluding securities</w:t>
            </w:r>
          </w:p>
        </w:tc>
      </w:tr>
      <w:tr>
        <w:trPr>
          <w:trHeight w:val="162"/>
        </w:trPr>
        <w:tc>
          <w:tcPr>
            <w:tcW w:w="5020" w:type="dxa"/>
            <w:vAlign w:val="bottom"/>
          </w:tcPr>
          <w:p>
            <w:pPr>
              <w:spacing w:after="0"/>
              <w:rPr>
                <w:sz w:val="14"/>
                <w:szCs w:val="14"/>
                <w:color w:val="auto"/>
              </w:rPr>
            </w:pPr>
          </w:p>
        </w:tc>
        <w:tc>
          <w:tcPr>
            <w:tcW w:w="2800" w:type="dxa"/>
            <w:vAlign w:val="bottom"/>
          </w:tcPr>
          <w:p>
            <w:pPr>
              <w:jc w:val="center"/>
              <w:ind w:left="823"/>
              <w:spacing w:after="0"/>
              <w:rPr>
                <w:sz w:val="20"/>
                <w:szCs w:val="20"/>
                <w:color w:val="auto"/>
              </w:rPr>
            </w:pPr>
            <w:r>
              <w:rPr>
                <w:rFonts w:ascii="Arial" w:cs="Arial" w:eastAsia="Arial" w:hAnsi="Arial"/>
                <w:sz w:val="14"/>
                <w:szCs w:val="14"/>
                <w:b w:val="1"/>
                <w:bCs w:val="1"/>
                <w:color w:val="auto"/>
              </w:rPr>
              <w:t>of outstanding RSUs</w:t>
            </w:r>
          </w:p>
        </w:tc>
        <w:tc>
          <w:tcPr>
            <w:tcW w:w="340" w:type="dxa"/>
            <w:vAlign w:val="bottom"/>
          </w:tcPr>
          <w:p>
            <w:pPr>
              <w:spacing w:after="0"/>
              <w:rPr>
                <w:sz w:val="14"/>
                <w:szCs w:val="14"/>
                <w:color w:val="auto"/>
              </w:rPr>
            </w:pPr>
          </w:p>
        </w:tc>
        <w:tc>
          <w:tcPr>
            <w:tcW w:w="1520" w:type="dxa"/>
            <w:vAlign w:val="bottom"/>
          </w:tcPr>
          <w:p>
            <w:pPr>
              <w:jc w:val="center"/>
              <w:ind w:right="242"/>
              <w:spacing w:after="0"/>
              <w:rPr>
                <w:sz w:val="20"/>
                <w:szCs w:val="20"/>
                <w:color w:val="auto"/>
              </w:rPr>
            </w:pPr>
            <w:r>
              <w:rPr>
                <w:rFonts w:ascii="Arial" w:cs="Arial" w:eastAsia="Arial" w:hAnsi="Arial"/>
                <w:sz w:val="14"/>
                <w:szCs w:val="14"/>
                <w:b w:val="1"/>
                <w:bCs w:val="1"/>
                <w:color w:val="auto"/>
              </w:rPr>
              <w:t>RSUs and SSAR</w:t>
            </w:r>
          </w:p>
        </w:tc>
        <w:tc>
          <w:tcPr>
            <w:tcW w:w="1740" w:type="dxa"/>
            <w:vAlign w:val="bottom"/>
          </w:tcPr>
          <w:p>
            <w:pPr>
              <w:jc w:val="center"/>
              <w:ind w:left="85"/>
              <w:spacing w:after="0"/>
              <w:rPr>
                <w:sz w:val="20"/>
                <w:szCs w:val="20"/>
                <w:color w:val="auto"/>
              </w:rPr>
            </w:pPr>
            <w:r>
              <w:rPr>
                <w:rFonts w:ascii="Arial" w:cs="Arial" w:eastAsia="Arial" w:hAnsi="Arial"/>
                <w:sz w:val="14"/>
                <w:szCs w:val="14"/>
                <w:b w:val="1"/>
                <w:bCs w:val="1"/>
                <w:color w:val="auto"/>
              </w:rPr>
              <w:t>reflected in column</w:t>
            </w:r>
          </w:p>
        </w:tc>
      </w:tr>
      <w:tr>
        <w:trPr>
          <w:trHeight w:val="202"/>
        </w:trPr>
        <w:tc>
          <w:tcPr>
            <w:tcW w:w="502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Plan name or description</w:t>
            </w:r>
          </w:p>
        </w:tc>
        <w:tc>
          <w:tcPr>
            <w:tcW w:w="2800" w:type="dxa"/>
            <w:vAlign w:val="bottom"/>
            <w:tcBorders>
              <w:bottom w:val="single" w:sz="8" w:color="auto"/>
            </w:tcBorders>
          </w:tcPr>
          <w:p>
            <w:pPr>
              <w:jc w:val="center"/>
              <w:ind w:left="803"/>
              <w:spacing w:after="0"/>
              <w:rPr>
                <w:sz w:val="20"/>
                <w:szCs w:val="20"/>
                <w:color w:val="auto"/>
              </w:rPr>
            </w:pPr>
            <w:r>
              <w:rPr>
                <w:rFonts w:ascii="Arial" w:cs="Arial" w:eastAsia="Arial" w:hAnsi="Arial"/>
                <w:sz w:val="14"/>
                <w:szCs w:val="14"/>
                <w:b w:val="1"/>
                <w:bCs w:val="1"/>
                <w:color w:val="auto"/>
              </w:rPr>
              <w:t>and SSAR Awards</w:t>
            </w: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9"/>
              </w:rPr>
              <w:t>Awards</w:t>
            </w:r>
            <w:r>
              <w:rPr>
                <w:rFonts w:ascii="Arial" w:cs="Arial" w:eastAsia="Arial" w:hAnsi="Arial"/>
                <w:sz w:val="17"/>
                <w:szCs w:val="17"/>
                <w:b w:val="1"/>
                <w:bCs w:val="1"/>
                <w:color w:val="auto"/>
                <w:w w:val="99"/>
                <w:vertAlign w:val="superscript"/>
              </w:rPr>
              <w:t>(1)</w:t>
            </w:r>
          </w:p>
        </w:tc>
        <w:tc>
          <w:tcPr>
            <w:tcW w:w="1740" w:type="dxa"/>
            <w:vAlign w:val="bottom"/>
            <w:tcBorders>
              <w:bottom w:val="single" w:sz="8" w:color="auto"/>
            </w:tcBorders>
          </w:tcPr>
          <w:p>
            <w:pPr>
              <w:jc w:val="center"/>
              <w:ind w:left="85"/>
              <w:spacing w:after="0"/>
              <w:rPr>
                <w:sz w:val="20"/>
                <w:szCs w:val="20"/>
                <w:color w:val="auto"/>
              </w:rPr>
            </w:pPr>
            <w:r>
              <w:rPr>
                <w:rFonts w:ascii="Arial" w:cs="Arial" w:eastAsia="Arial" w:hAnsi="Arial"/>
                <w:sz w:val="14"/>
                <w:szCs w:val="14"/>
                <w:b w:val="1"/>
                <w:bCs w:val="1"/>
                <w:color w:val="auto"/>
              </w:rPr>
              <w:t>(a))</w:t>
            </w:r>
          </w:p>
        </w:tc>
      </w:tr>
      <w:tr>
        <w:trPr>
          <w:trHeight w:val="257"/>
        </w:trPr>
        <w:tc>
          <w:tcPr>
            <w:tcW w:w="5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w:t>
            </w:r>
          </w:p>
        </w:tc>
        <w:tc>
          <w:tcPr>
            <w:tcW w:w="28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rPr>
              <w:t>14.68</w:t>
            </w:r>
          </w:p>
        </w:tc>
        <w:tc>
          <w:tcPr>
            <w:tcW w:w="17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8"/>
                <w:szCs w:val="18"/>
                <w:color w:val="auto"/>
              </w:rPr>
              <w:t>3.4</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51"/>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w:t>
            </w:r>
          </w:p>
        </w:tc>
        <w:tc>
          <w:tcPr>
            <w:tcW w:w="280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rPr>
              <w:t>9.71</w:t>
            </w:r>
          </w:p>
        </w:tc>
        <w:tc>
          <w:tcPr>
            <w:tcW w:w="17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without taking into account shares of common stock subject to the RSUs reported in column (a) and that will become issuable following vesting of such RSUs without any cash consideration or other payment required.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 except average price per share):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1920" w:type="dxa"/>
            <w:vAlign w:val="bottom"/>
          </w:tcPr>
          <w:p>
            <w:pPr>
              <w:jc w:val="center"/>
              <w:ind w:right="5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4"/>
                <w:szCs w:val="14"/>
                <w:color w:val="auto"/>
              </w:rPr>
            </w:pPr>
          </w:p>
        </w:tc>
        <w:tc>
          <w:tcPr>
            <w:tcW w:w="1920" w:type="dxa"/>
            <w:vAlign w:val="bottom"/>
          </w:tcPr>
          <w:p>
            <w:pPr>
              <w:jc w:val="center"/>
              <w:ind w:right="78"/>
              <w:spacing w:after="0"/>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54"/>
        </w:trPr>
        <w:tc>
          <w:tcPr>
            <w:tcW w:w="4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180" w:type="dxa"/>
            <w:vAlign w:val="bottom"/>
            <w:gridSpan w:val="2"/>
            <w:vMerge w:val="restart"/>
          </w:tcPr>
          <w:p>
            <w:pPr>
              <w:jc w:val="center"/>
              <w:ind w:left="36"/>
              <w:spacing w:after="0"/>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600" w:type="dxa"/>
            <w:vAlign w:val="bottom"/>
            <w:gridSpan w:val="2"/>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46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Period</w:t>
            </w:r>
          </w:p>
        </w:tc>
        <w:tc>
          <w:tcPr>
            <w:tcW w:w="13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Per Share</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4"/>
                <w:szCs w:val="4"/>
                <w:color w:val="auto"/>
              </w:rPr>
            </w:pPr>
          </w:p>
        </w:tc>
        <w:tc>
          <w:tcPr>
            <w:tcW w:w="19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145"/>
        </w:trPr>
        <w:tc>
          <w:tcPr>
            <w:tcW w:w="4460" w:type="dxa"/>
            <w:vAlign w:val="bottom"/>
            <w:tcBorders>
              <w:bottom w:val="single" w:sz="8" w:color="auto"/>
            </w:tcBorders>
            <w:vMerge w:val="continue"/>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10/1/2017 - 10/31/2017</w:t>
            </w:r>
          </w:p>
        </w:tc>
        <w:tc>
          <w:tcPr>
            <w:tcW w:w="1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11/1/2017 - 11/30/2017</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ind w:left="840"/>
              <w:spacing w:after="0"/>
              <w:rPr>
                <w:sz w:val="20"/>
                <w:szCs w:val="20"/>
                <w:color w:val="auto"/>
              </w:rPr>
            </w:pPr>
            <w:r>
              <w:rPr>
                <w:rFonts w:ascii="Arial" w:cs="Arial" w:eastAsia="Arial" w:hAnsi="Arial"/>
                <w:sz w:val="18"/>
                <w:szCs w:val="18"/>
                <w:color w:val="auto"/>
              </w:rPr>
              <w:t>—</w:t>
            </w: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12/1/2017 - 12/31/2017</w:t>
            </w:r>
          </w:p>
        </w:tc>
        <w:tc>
          <w:tcPr>
            <w:tcW w:w="138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340" w:right="20" w:hanging="332"/>
        <w:spacing w:after="0" w:line="256"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201" w:lineRule="exact"/>
        <w:rPr>
          <w:rFonts w:ascii="Arial" w:cs="Arial" w:eastAsia="Arial" w:hAnsi="Arial"/>
          <w:sz w:val="18"/>
          <w:szCs w:val="18"/>
          <w:color w:val="auto"/>
        </w:rPr>
      </w:pPr>
    </w:p>
    <w:p>
      <w:pPr>
        <w:jc w:val="both"/>
        <w:ind w:left="340" w:hanging="332"/>
        <w:spacing w:after="0" w:line="25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December 31, 2017, $100.0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2017, see the corresponding Quarterly Report on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2017 10</w:t>
      </w:r>
      <w:r>
        <w:rPr>
          <w:rFonts w:ascii="MS PGothic" w:cs="MS PGothic" w:eastAsia="MS PGothic" w:hAnsi="MS PGothic"/>
          <w:sz w:val="18"/>
          <w:szCs w:val="18"/>
          <w:color w:val="auto"/>
        </w:rPr>
        <w:t>‑</w:t>
      </w:r>
      <w:r>
        <w:rPr>
          <w:rFonts w:ascii="Arial" w:cs="Arial" w:eastAsia="Arial" w:hAnsi="Arial"/>
          <w:sz w:val="18"/>
          <w:szCs w:val="18"/>
          <w:color w:val="auto"/>
        </w:rPr>
        <w:t>K Report. The historical results are not necessarily indicative of the operating results to be expected in the future. All financial information presented has been prepared in U.S. dollars and in accordance with accounting principles generally accepted in the United States (“U.S. GAAP”).</w:t>
      </w:r>
    </w:p>
    <w:p>
      <w:pPr>
        <w:spacing w:after="0" w:line="200" w:lineRule="exact"/>
        <w:rPr>
          <w:sz w:val="20"/>
          <w:szCs w:val="20"/>
          <w:color w:val="auto"/>
        </w:rPr>
      </w:pPr>
    </w:p>
    <w:p>
      <w:pPr>
        <w:ind w:right="5040"/>
        <w:spacing w:after="0" w:line="264"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rPr>
          <w:sz w:val="20"/>
          <w:szCs w:val="20"/>
          <w:color w:val="auto"/>
        </w:rPr>
      </w:pPr>
      <w:r>
        <w:rPr>
          <w:rFonts w:ascii="Arial" w:cs="Arial" w:eastAsia="Arial" w:hAnsi="Arial"/>
          <w:sz w:val="18"/>
          <w:szCs w:val="18"/>
          <w:color w:val="auto"/>
        </w:rPr>
        <w:t>(In millions, except earnings and dividends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711"/>
              <w:spacing w:after="0"/>
              <w:rPr>
                <w:sz w:val="20"/>
                <w:szCs w:val="20"/>
                <w:color w:val="auto"/>
              </w:rPr>
            </w:pPr>
            <w:r>
              <w:rPr>
                <w:rFonts w:ascii="Arial" w:cs="Arial" w:eastAsia="Arial" w:hAnsi="Arial"/>
                <w:sz w:val="14"/>
                <w:szCs w:val="14"/>
                <w:b w:val="1"/>
                <w:bCs w:val="1"/>
                <w:color w:val="auto"/>
              </w:rPr>
              <w:t>For the Year ended December 31,</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jc w:val="right"/>
              <w:ind w:right="75"/>
              <w:spacing w:after="0"/>
              <w:rPr>
                <w:sz w:val="20"/>
                <w:szCs w:val="20"/>
                <w:color w:val="auto"/>
              </w:rPr>
            </w:pPr>
            <w:r>
              <w:rPr>
                <w:rFonts w:ascii="Arial" w:cs="Arial" w:eastAsia="Arial" w:hAnsi="Arial"/>
                <w:sz w:val="9"/>
                <w:szCs w:val="9"/>
                <w:color w:val="auto"/>
              </w:rPr>
              <w:t>(1)(2)</w:t>
            </w:r>
          </w:p>
        </w:tc>
        <w:tc>
          <w:tcPr>
            <w:tcW w:w="320" w:type="dxa"/>
            <w:vAlign w:val="bottom"/>
          </w:tcPr>
          <w:p>
            <w:pPr>
              <w:spacing w:after="0"/>
              <w:rPr>
                <w:sz w:val="15"/>
                <w:szCs w:val="15"/>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jc w:val="right"/>
              <w:ind w:right="66"/>
              <w:spacing w:after="0"/>
              <w:rPr>
                <w:sz w:val="20"/>
                <w:szCs w:val="20"/>
                <w:color w:val="auto"/>
              </w:rPr>
            </w:pPr>
            <w:r>
              <w:rPr>
                <w:rFonts w:ascii="Arial" w:cs="Arial" w:eastAsia="Arial" w:hAnsi="Arial"/>
                <w:sz w:val="9"/>
                <w:szCs w:val="9"/>
                <w:color w:val="auto"/>
              </w:rPr>
              <w:t>(3)(4)</w:t>
            </w:r>
          </w:p>
        </w:tc>
        <w:tc>
          <w:tcPr>
            <w:tcW w:w="220" w:type="dxa"/>
            <w:vAlign w:val="bottom"/>
          </w:tcPr>
          <w:p>
            <w:pPr>
              <w:spacing w:after="0"/>
              <w:rPr>
                <w:sz w:val="15"/>
                <w:szCs w:val="15"/>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(4)(5)</w:t>
            </w:r>
          </w:p>
        </w:tc>
        <w:tc>
          <w:tcPr>
            <w:tcW w:w="280" w:type="dxa"/>
            <w:vAlign w:val="bottom"/>
          </w:tcPr>
          <w:p>
            <w:pPr>
              <w:spacing w:after="0"/>
              <w:rPr>
                <w:sz w:val="15"/>
                <w:szCs w:val="15"/>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jc w:val="right"/>
              <w:ind w:right="75"/>
              <w:spacing w:after="0"/>
              <w:rPr>
                <w:sz w:val="20"/>
                <w:szCs w:val="20"/>
                <w:color w:val="auto"/>
              </w:rPr>
            </w:pPr>
            <w:r>
              <w:rPr>
                <w:rFonts w:ascii="Arial" w:cs="Arial" w:eastAsia="Arial" w:hAnsi="Arial"/>
                <w:sz w:val="9"/>
                <w:szCs w:val="9"/>
                <w:color w:val="auto"/>
                <w:w w:val="99"/>
              </w:rPr>
              <w:t>(4)(6)</w:t>
            </w:r>
          </w:p>
        </w:tc>
        <w:tc>
          <w:tcPr>
            <w:tcW w:w="320" w:type="dxa"/>
            <w:vAlign w:val="bottom"/>
          </w:tcPr>
          <w:p>
            <w:pPr>
              <w:spacing w:after="0"/>
              <w:rPr>
                <w:sz w:val="15"/>
                <w:szCs w:val="15"/>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jc w:val="right"/>
              <w:ind w:right="155"/>
              <w:spacing w:after="0"/>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76"/>
        </w:trPr>
        <w:tc>
          <w:tcPr>
            <w:tcW w:w="3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33,695.5</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27,015.8</w:t>
            </w: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30,381.4</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43,391.8</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41,559.9</w:t>
            </w: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32,763.3</w:t>
            </w: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26,116.8</w:t>
            </w: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29,520.4</w:t>
            </w:r>
          </w:p>
        </w:tc>
        <w:tc>
          <w:tcPr>
            <w:tcW w:w="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42,572.7</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40,807.8</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899.0</w:t>
            </w: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861.0</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819.1</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752.2</w:t>
            </w: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color w:val="auto"/>
                <w:vertAlign w:val="superscript"/>
              </w:rPr>
              <w:t>(8)</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710.1</w:t>
            </w: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615.3</w:t>
            </w:r>
          </w:p>
        </w:tc>
        <w:tc>
          <w:tcPr>
            <w:tcW w:w="4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542.4</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488.5</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188.9</w:t>
            </w: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276.7</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Non-operating expenses, net </w:t>
            </w:r>
            <w:r>
              <w:rPr>
                <w:rFonts w:ascii="Arial" w:cs="Arial" w:eastAsia="Arial" w:hAnsi="Arial"/>
                <w:sz w:val="18"/>
                <w:szCs w:val="18"/>
                <w:color w:val="auto"/>
                <w:vertAlign w:val="superscript"/>
              </w:rPr>
              <w:t>(9)</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4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142.1</w:t>
            </w: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217.7</w:t>
            </w:r>
          </w:p>
        </w:tc>
        <w:tc>
          <w:tcPr>
            <w:tcW w:w="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274.8</w:t>
            </w: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47.2</w:t>
            </w:r>
          </w:p>
        </w:tc>
        <w:tc>
          <w:tcPr>
            <w:tcW w:w="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53.6</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126.4</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221.1</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8"/>
                <w:szCs w:val="18"/>
                <w:color w:val="auto"/>
                <w:vertAlign w:val="superscript"/>
              </w:rPr>
              <w:t>(10)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c>
          <w:tcPr>
            <w:tcW w:w="3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c>
          <w:tcPr>
            <w:tcW w:w="4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224.5</w:t>
            </w:r>
          </w:p>
        </w:tc>
        <w:tc>
          <w:tcPr>
            <w:tcW w:w="3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198.0</w:t>
            </w:r>
          </w:p>
        </w:tc>
        <w:tc>
          <w:tcPr>
            <w:tcW w:w="4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Basic earnings (loss) per common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share </w:t>
            </w:r>
            <w:r>
              <w:rPr>
                <w:rFonts w:ascii="Arial" w:cs="Arial" w:eastAsia="Arial" w:hAnsi="Arial"/>
                <w:sz w:val="18"/>
                <w:szCs w:val="18"/>
                <w:color w:val="auto"/>
                <w:vertAlign w:val="superscript"/>
              </w:rPr>
              <w:t>(10)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w:t>
            </w: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w:t>
            </w:r>
          </w:p>
        </w:tc>
        <w:tc>
          <w:tcPr>
            <w:tcW w:w="4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69.3</w:t>
            </w:r>
          </w:p>
        </w:tc>
        <w:tc>
          <w:tcPr>
            <w:tcW w:w="3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c>
          <w:tcPr>
            <w:tcW w:w="4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3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c>
          <w:tcPr>
            <w:tcW w:w="4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Diluted earnings (loss) per common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share </w:t>
            </w:r>
            <w:r>
              <w:rPr>
                <w:rFonts w:ascii="Arial" w:cs="Arial" w:eastAsia="Arial" w:hAnsi="Arial"/>
                <w:sz w:val="18"/>
                <w:szCs w:val="18"/>
                <w:color w:val="auto"/>
                <w:vertAlign w:val="superscript"/>
              </w:rPr>
              <w:t>(10)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w:t>
            </w: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4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3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2.76</w:t>
            </w: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c>
          <w:tcPr>
            <w:tcW w:w="3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4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c>
          <w:tcPr>
            <w:tcW w:w="3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4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Pr>
          <w:p>
            <w:pPr>
              <w:ind w:left="40"/>
              <w:spacing w:after="0"/>
              <w:rPr>
                <w:sz w:val="20"/>
                <w:szCs w:val="20"/>
                <w:color w:val="auto"/>
              </w:rPr>
            </w:pPr>
            <w:r>
              <w:rPr>
                <w:rFonts w:ascii="Arial" w:cs="Arial" w:eastAsia="Arial" w:hAnsi="Arial"/>
                <w:sz w:val="18"/>
                <w:szCs w:val="18"/>
                <w:color w:val="auto"/>
              </w:rPr>
              <w:t>Cash dividends declared per common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jc w:val="right"/>
              <w:ind w:right="75"/>
              <w:spacing w:after="0"/>
              <w:rPr>
                <w:sz w:val="20"/>
                <w:szCs w:val="20"/>
                <w:color w:val="auto"/>
              </w:rPr>
            </w:pPr>
            <w:r>
              <w:rPr>
                <w:rFonts w:ascii="Arial" w:cs="Arial" w:eastAsia="Arial" w:hAnsi="Arial"/>
                <w:sz w:val="9"/>
                <w:szCs w:val="9"/>
                <w:color w:val="auto"/>
              </w:rPr>
              <w:t>(1)(2)</w:t>
            </w:r>
          </w:p>
        </w:tc>
        <w:tc>
          <w:tcPr>
            <w:tcW w:w="320" w:type="dxa"/>
            <w:vAlign w:val="bottom"/>
          </w:tcPr>
          <w:p>
            <w:pPr>
              <w:spacing w:after="0"/>
              <w:rPr>
                <w:sz w:val="15"/>
                <w:szCs w:val="15"/>
                <w:color w:val="auto"/>
              </w:rPr>
            </w:pPr>
          </w:p>
        </w:tc>
        <w:tc>
          <w:tcPr>
            <w:tcW w:w="9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jc w:val="right"/>
              <w:ind w:right="66"/>
              <w:spacing w:after="0"/>
              <w:rPr>
                <w:sz w:val="20"/>
                <w:szCs w:val="20"/>
                <w:color w:val="auto"/>
              </w:rPr>
            </w:pPr>
            <w:r>
              <w:rPr>
                <w:rFonts w:ascii="Arial" w:cs="Arial" w:eastAsia="Arial" w:hAnsi="Arial"/>
                <w:sz w:val="9"/>
                <w:szCs w:val="9"/>
                <w:color w:val="auto"/>
              </w:rPr>
              <w:t>(3)(4)</w:t>
            </w:r>
          </w:p>
        </w:tc>
        <w:tc>
          <w:tcPr>
            <w:tcW w:w="220" w:type="dxa"/>
            <w:vAlign w:val="bottom"/>
          </w:tcPr>
          <w:p>
            <w:pPr>
              <w:spacing w:after="0"/>
              <w:rPr>
                <w:sz w:val="15"/>
                <w:szCs w:val="15"/>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jc w:val="right"/>
              <w:ind w:right="95"/>
              <w:spacing w:after="0"/>
              <w:rPr>
                <w:sz w:val="20"/>
                <w:szCs w:val="20"/>
                <w:color w:val="auto"/>
              </w:rPr>
            </w:pPr>
            <w:r>
              <w:rPr>
                <w:rFonts w:ascii="Arial" w:cs="Arial" w:eastAsia="Arial" w:hAnsi="Arial"/>
                <w:sz w:val="9"/>
                <w:szCs w:val="9"/>
                <w:color w:val="auto"/>
              </w:rPr>
              <w:t>(4)(5)</w:t>
            </w:r>
          </w:p>
        </w:tc>
        <w:tc>
          <w:tcPr>
            <w:tcW w:w="280" w:type="dxa"/>
            <w:vAlign w:val="bottom"/>
          </w:tcPr>
          <w:p>
            <w:pPr>
              <w:spacing w:after="0"/>
              <w:rPr>
                <w:sz w:val="15"/>
                <w:szCs w:val="15"/>
                <w:color w:val="auto"/>
              </w:rPr>
            </w:pPr>
          </w:p>
        </w:tc>
        <w:tc>
          <w:tcPr>
            <w:tcW w:w="9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jc w:val="right"/>
              <w:ind w:right="75"/>
              <w:spacing w:after="0"/>
              <w:rPr>
                <w:sz w:val="20"/>
                <w:szCs w:val="20"/>
                <w:color w:val="auto"/>
              </w:rPr>
            </w:pPr>
            <w:r>
              <w:rPr>
                <w:rFonts w:ascii="Arial" w:cs="Arial" w:eastAsia="Arial" w:hAnsi="Arial"/>
                <w:sz w:val="9"/>
                <w:szCs w:val="9"/>
                <w:color w:val="auto"/>
                <w:w w:val="99"/>
              </w:rPr>
              <w:t>(4)(6)</w:t>
            </w:r>
          </w:p>
        </w:tc>
        <w:tc>
          <w:tcPr>
            <w:tcW w:w="320" w:type="dxa"/>
            <w:vAlign w:val="bottom"/>
          </w:tcPr>
          <w:p>
            <w:pPr>
              <w:spacing w:after="0"/>
              <w:rPr>
                <w:sz w:val="15"/>
                <w:szCs w:val="15"/>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jc w:val="right"/>
              <w:ind w:right="155"/>
              <w:spacing w:after="0"/>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76"/>
        </w:trPr>
        <w:tc>
          <w:tcPr>
            <w:tcW w:w="34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698.6</w:t>
            </w:r>
          </w:p>
        </w:tc>
        <w:tc>
          <w:tcPr>
            <w:tcW w:w="38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582.5</w:t>
            </w:r>
          </w:p>
        </w:tc>
        <w:tc>
          <w:tcPr>
            <w:tcW w:w="4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292.1</w:t>
            </w:r>
          </w:p>
        </w:tc>
        <w:tc>
          <w:tcPr>
            <w:tcW w:w="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2,705.6</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2,344.0</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1,812.6</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2,308.2</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2,538.6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3,940.4</w:t>
            </w:r>
          </w:p>
        </w:tc>
        <w:tc>
          <w:tcPr>
            <w:tcW w:w="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3,836.6</w:t>
            </w: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3,246.0</w:t>
            </w: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3,675.2</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3,815.5</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5,587.8</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5,412.6</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4,525.3</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4,878.1</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4,735.2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2,718.6</w:t>
            </w:r>
          </w:p>
        </w:tc>
        <w:tc>
          <w:tcPr>
            <w:tcW w:w="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2,182.7</w:t>
            </w: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1,754.2</w:t>
            </w:r>
          </w:p>
        </w:tc>
        <w:tc>
          <w:tcPr>
            <w:tcW w:w="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2,241.9</w:t>
            </w: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2,518.9</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1,131.3</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1,290.1</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865.3</w:t>
            </w: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776.8</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545.9</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equity </w:t>
            </w:r>
            <w:r>
              <w:rPr>
                <w:rFonts w:ascii="Arial" w:cs="Arial" w:eastAsia="Arial" w:hAnsi="Arial"/>
                <w:sz w:val="18"/>
                <w:szCs w:val="18"/>
                <w:color w:val="auto"/>
                <w:vertAlign w:val="superscript"/>
              </w:rPr>
              <w:t>(10)</w:t>
            </w: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3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1,940.0</w:t>
            </w:r>
          </w:p>
        </w:tc>
        <w:tc>
          <w:tcPr>
            <w:tcW w:w="3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1,905.9</w:t>
            </w:r>
          </w:p>
        </w:tc>
        <w:tc>
          <w:tcPr>
            <w:tcW w:w="4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1,859.4</w:t>
            </w:r>
          </w:p>
        </w:tc>
        <w:tc>
          <w:tcPr>
            <w:tcW w:w="3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w:t>
            </w:r>
          </w:p>
        </w:tc>
        <w:tc>
          <w:tcPr>
            <w:tcW w:w="4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27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2017, we acquired the assets of certain ExxonMobil affiliates in Italy, Germany, Australia and New Zealand and completed five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expenses for 2017 includes goodwill and other impairments of $91.9 million and restructuring related charges of $59.6 million. Provision for income taxes for 2017 includes a $143.7 million expense related to the one-time transition tax on accumulated foreign earnings recorded as a result of the Tax Act.</w:t>
      </w:r>
    </w:p>
    <w:p>
      <w:pPr>
        <w:spacing w:after="0" w:line="199" w:lineRule="exact"/>
        <w:rPr>
          <w:rFonts w:ascii="Arial" w:cs="Arial" w:eastAsia="Arial" w:hAnsi="Arial"/>
          <w:sz w:val="18"/>
          <w:szCs w:val="18"/>
          <w:color w:val="auto"/>
        </w:rPr>
      </w:pPr>
    </w:p>
    <w:p>
      <w:pPr>
        <w:jc w:val="both"/>
        <w:ind w:left="340" w:hanging="332"/>
        <w:spacing w:after="0" w:line="22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2016, we acquired the assets of certain ExxonMobil affiliates in Canada and two airports in France on November 1</w:t>
      </w:r>
      <w:r>
        <w:rPr>
          <w:rFonts w:ascii="Arial" w:cs="Arial" w:eastAsia="Arial" w:hAnsi="Arial"/>
          <w:sz w:val="21"/>
          <w:szCs w:val="21"/>
          <w:color w:val="auto"/>
          <w:vertAlign w:val="superscript"/>
        </w:rPr>
        <w:t>st</w:t>
      </w:r>
      <w:r>
        <w:rPr>
          <w:rFonts w:ascii="Arial" w:cs="Arial" w:eastAsia="Arial" w:hAnsi="Arial"/>
          <w:sz w:val="18"/>
          <w:szCs w:val="18"/>
          <w:color w:val="auto"/>
        </w:rPr>
        <w:t>, and the U.K. and one airport in France on December 1</w:t>
      </w:r>
      <w:r>
        <w:rPr>
          <w:rFonts w:ascii="Arial" w:cs="Arial" w:eastAsia="Arial" w:hAnsi="Arial"/>
          <w:sz w:val="21"/>
          <w:szCs w:val="21"/>
          <w:color w:val="auto"/>
          <w:vertAlign w:val="superscript"/>
        </w:rPr>
        <w:t>st</w:t>
      </w:r>
      <w:r>
        <w:rPr>
          <w:rFonts w:ascii="Arial" w:cs="Arial" w:eastAsia="Arial" w:hAnsi="Arial"/>
          <w:sz w:val="18"/>
          <w:szCs w:val="18"/>
          <w:color w:val="auto"/>
        </w:rPr>
        <w:t>, as well as all of the outstanding stock of PAPCO, Inc. (“PAPCO”) and Associated Petroleum Products, Inc. (“APP”) on July 1</w:t>
      </w:r>
      <w:r>
        <w:rPr>
          <w:rFonts w:ascii="Arial" w:cs="Arial" w:eastAsia="Arial" w:hAnsi="Arial"/>
          <w:sz w:val="21"/>
          <w:szCs w:val="21"/>
          <w:color w:val="auto"/>
          <w:vertAlign w:val="superscript"/>
        </w:rPr>
        <w:t>st</w:t>
      </w:r>
      <w:r>
        <w:rPr>
          <w:rFonts w:ascii="Arial" w:cs="Arial" w:eastAsia="Arial" w:hAnsi="Arial"/>
          <w:sz w:val="18"/>
          <w:szCs w:val="18"/>
          <w:color w:val="auto"/>
        </w:rPr>
        <w:t>. We also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prior period amounts have been revised to reflect the impact of adjustments made to our provision for income taxes.</w:t>
      </w:r>
    </w:p>
    <w:p>
      <w:pPr>
        <w:spacing w:after="0" w:line="222" w:lineRule="exact"/>
        <w:rPr>
          <w:rFonts w:ascii="Arial" w:cs="Arial" w:eastAsia="Arial" w:hAnsi="Arial"/>
          <w:sz w:val="18"/>
          <w:szCs w:val="18"/>
          <w:color w:val="auto"/>
        </w:rPr>
      </w:pPr>
    </w:p>
    <w:p>
      <w:pPr>
        <w:jc w:val="both"/>
        <w:ind w:left="340" w:hanging="332"/>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2015, we acquired all the outstanding stock of Pester Marketing Company (“Pester”) on September 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and completed four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6" w:lineRule="exact"/>
        <w:rPr>
          <w:rFonts w:ascii="Arial" w:cs="Arial" w:eastAsia="Arial" w:hAnsi="Arial"/>
          <w:sz w:val="18"/>
          <w:szCs w:val="18"/>
          <w:color w:val="auto"/>
        </w:rPr>
      </w:pPr>
    </w:p>
    <w:p>
      <w:pPr>
        <w:jc w:val="both"/>
        <w:ind w:left="340" w:hanging="332"/>
        <w:spacing w:after="0" w:line="24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2014, we acquired i) all of the outstanding stock of Watson Petroleum Limited (now known as WFL (UK) Limited) (“Watson Petroleum”) on March 7</w:t>
      </w:r>
      <w:r>
        <w:rPr>
          <w:rFonts w:ascii="Arial" w:cs="Arial" w:eastAsia="Arial" w:hAnsi="Arial"/>
          <w:sz w:val="21"/>
          <w:szCs w:val="21"/>
          <w:color w:val="auto"/>
          <w:vertAlign w:val="superscript"/>
        </w:rPr>
        <w:t>th</w:t>
      </w:r>
      <w:r>
        <w:rPr>
          <w:rFonts w:ascii="Arial" w:cs="Arial" w:eastAsia="Arial" w:hAnsi="Arial"/>
          <w:sz w:val="18"/>
          <w:szCs w:val="18"/>
          <w:color w:val="auto"/>
        </w:rPr>
        <w:t>, ii) all of the outstanding stock of Colt International, L.L.C. (“Colt”) on July 29</w:t>
      </w:r>
      <w:r>
        <w:rPr>
          <w:rFonts w:ascii="Arial" w:cs="Arial" w:eastAsia="Arial" w:hAnsi="Arial"/>
          <w:sz w:val="21"/>
          <w:szCs w:val="21"/>
          <w:color w:val="auto"/>
          <w:vertAlign w:val="superscript"/>
        </w:rPr>
        <w:t>th</w:t>
      </w:r>
      <w:r>
        <w:rPr>
          <w:rFonts w:ascii="Arial" w:cs="Arial" w:eastAsia="Arial" w:hAnsi="Arial"/>
          <w:sz w:val="18"/>
          <w:szCs w:val="18"/>
          <w:color w:val="auto"/>
        </w:rPr>
        <w: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14"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2013, we completed three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196" w:lineRule="exact"/>
        <w:rPr>
          <w:rFonts w:ascii="Arial" w:cs="Arial" w:eastAsia="Arial" w:hAnsi="Arial"/>
          <w:sz w:val="18"/>
          <w:szCs w:val="18"/>
          <w:color w:val="auto"/>
        </w:rPr>
      </w:pPr>
    </w:p>
    <w:p>
      <w:pPr>
        <w:jc w:val="both"/>
        <w:ind w:left="340" w:hanging="332"/>
        <w:spacing w:after="0" w:line="216"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operating expenses are total non</w:t>
      </w:r>
      <w:r>
        <w:rPr>
          <w:rFonts w:ascii="MS PGothic" w:cs="MS PGothic" w:eastAsia="MS PGothic" w:hAnsi="MS PGothic"/>
          <w:sz w:val="18"/>
          <w:szCs w:val="18"/>
          <w:color w:val="auto"/>
        </w:rPr>
        <w:t>‑</w:t>
      </w:r>
      <w:r>
        <w:rPr>
          <w:rFonts w:ascii="Arial" w:cs="Arial" w:eastAsia="Arial" w:hAnsi="Arial"/>
          <w:sz w:val="18"/>
          <w:szCs w:val="18"/>
          <w:color w:val="auto"/>
        </w:rPr>
        <w:t>cash compensation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of $21.2 million for 2017, $19.3 million for 2016, $17.0 million for 2015, $15.8 million for 2014, and $16.7 million for 2013 and intangible amortization expense of $41.9 million for 2017, $39.7 million for 2016, $30.4 million for 2015, $27.0 million for 2014, and $22.6 million for 2013.</w:t>
      </w:r>
    </w:p>
    <w:p>
      <w:pPr>
        <w:spacing w:after="0" w:line="217"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non-operating income (expenses), net for 2014 is a gain of $18.1 million related to the sale of our crude oil joint venture interests. The after-tax gain, net of certain related operating expenses was $9.9 million, or $0.14 per basic and diluted share.</w:t>
      </w:r>
    </w:p>
    <w:p>
      <w:pPr>
        <w:spacing w:after="0" w:line="196" w:lineRule="exact"/>
        <w:rPr>
          <w:sz w:val="20"/>
          <w:szCs w:val="20"/>
          <w:color w:val="auto"/>
        </w:rPr>
      </w:pPr>
    </w:p>
    <w:p>
      <w:pPr>
        <w:jc w:val="both"/>
        <w:ind w:left="340" w:hanging="323"/>
        <w:spacing w:after="0" w:line="256" w:lineRule="auto"/>
        <w:rPr>
          <w:sz w:val="20"/>
          <w:szCs w:val="20"/>
          <w:color w:val="auto"/>
        </w:rPr>
      </w:pPr>
      <w:r>
        <w:rPr>
          <w:rFonts w:ascii="Arial" w:cs="Arial" w:eastAsia="Arial" w:hAnsi="Arial"/>
          <w:sz w:val="18"/>
          <w:szCs w:val="18"/>
          <w:color w:val="auto"/>
        </w:rPr>
        <w:t>(10)In 2017, we repurchased 1.7 million shares of common stock for an aggregate value of $61.9 million. In 2016, we repurchased 1.0 million shares of common stock for an aggregate value of $41.2 million. In 2015, we repurchased 1.6 million shares of our common stock for an aggregate value of $70.5 million. In 2014, we repurchased 0.2 million shares of our common stock for an aggregate value of $10.0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3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2017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our actual results may differ materially from the results suggested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factors that may cause our results to differ materially from the results and events anticipated or implied by such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are described in “Item 1A – Risk Factors” and under “Forward-Looking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overall aviation market remains strong, reflecting healthy airline financial performance and strong overall demand. Our aviation segment has benefited from our increased logistics capability and expanded footprint from the acquisition of international aviation fueling operations from various ExxonMobil affiliates, which has facilitated our expansion into additional airport locations. The aviation segment has also benefited from increased sales to government customers, which include the U.S. Defense Logistics Agency, the North Atlantic Treaty Organization (NATO) and other government and military customers. Sales to government customers account for a material portion of our aviation segment's profitability. We expect our government-related activity to remain strong, although we believe the related profit contribution will decrease in 2018 as a result of compressed margins associated with contract renewals. Sales to government customers are driven by global events and military-related activities and can therefore significantly change from period to period and materially impact our results of operations.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primarily in the U.S. and U.K. Recently, our land segment has been negatively impacted by lower profitability from our supply and trading activities as a result of market conditions, specifically within the U.S., which we do not expect will improve in the near future. In addition, our operating results in the U.S. and U.K. in recent years have been adversely impacted by unseasonably warm winter weather conditions. In contrast, our land segment has benefited from sales to government customers and we expect such activity to remain strong in the near term. We are focused on realizing the synergies associated with our acquisitions, implementing a single common technology platform and driving greater leverage and ratability in our operating model.</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Over the course of 2017, our marine segment was adversely impacted by the weak conditions within the global shipping and offshore oil exploration markets and as a result, our marine segment experienced lower overall volumes in our core resale business as compared to historical levels. We also experienced lower demand for our price risk management products as a result of low fuel prices and limited market volatility. Due to growing competitive pressures in maritime markets, including the prolonged decline of maritime shipping volumes along with lower demand for price risk management products and our decision to exit our marine business in certain international markets, we expect lower than previously anticipated sales and operating margins.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rationalize our operating model to gain efficiencies through various initiatives that are ongoing throughout the company, including moving to cloud-based solutions. Furthermore, during the fourth quarter, we began an enterprise-wide restructuring plan that is designed to streamline the organization, and reallocate resources to better align our organizational structure and costs with our strategy, ultimately to improve operating efficiencies. The restructuring program involves reviewing non-core businesses and investments, our organizational structure, and expected commercial opportunities in the markets we serve. We will also consider our existing technology platforms in connection with our ongoing enterprise resource planning platform upgrade, specifically with an aim to more fully integrate recent acquisitions and increase associated profit contribution. While these activities are ongoing, we expect the majority of these activities to be completed over the course of 2018.</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three reportable segments consisting of aviation, land and marine.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Within each of our segments we may enter into derivative contracts to mitigate the risk of market price fluctuations and also to offer our customers fuel pricing alternatives to meet their needs.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expenses are allocated to each segment based on usage, where possible, or on other factors according to the nature of the activity.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evaluate and manage our business segments using the performance measurement of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include the results of the fueling operations acquired from certain ExxonMobil affiliates in during 2017.</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Selected financial information with respect to our business segments is provided in Note 13 to the accompanying consolidated financial statements included in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2017 was $33.7 billion, an increase of $6.7 billion, or 24.7%, as compared to 2016. Our revenue during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14,538.2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10,914.4</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3,623.9</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74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10,958.0</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8,918.8</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2,039.1</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7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8,199.3</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7,182.5</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1,016.7</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33,695.5</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27,015.8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6,679.7</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aviation segment were $14.5 billion for the year ended 2017, an increase of $3.6 billion, or 33.2% as compared to 2016. The increase in aviation revenues was driven by higher average jet fuel prices per gallon sold during the year ended 2017, where the average price per gallon sold was $1.83, as compared to $1.53 in 2016. The overall increase in revenue was also driven by higher volumes from foreign military-related activity and our international fueling operations, where total volumes for the year ended 2017 were 7.9 billion gallons, an increase of 11.4%, as compared to 2016.</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land segment were $11.0 billion for the year ended 2017, an increase of $ 2.0 billion, or 22.9%, as compared to 2016. The increase in land revenues primarily resulted from a higher average fuel price per gallon sold during the year ended 2017, where the average price per gallon sold was $1.84, as compared to $1.66 in 2016. The increase was also due to an increase in volumes from acquired businesses, where volumes for the year ended 2017 were 5.9 billion gallons, an increase of 10.7%, as compared to 2016.</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$8.2 billion for the year ended 2017, an increase of $1.0 billion, or 14.2%, as compared to 2016. The increase was driven primarily by a 34.8% increase in the average price per metric ton sold, to $308.88 for the year ended 2017, as compared to $229.2 in 2016. Volumes in our marine segment for the year ended 2017 were 26.5 million metric tons, a decrease of 4.8 million metric tons or 15.3%, as compared to 2016, driven principally by lower volumes in Asia.</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Gross </w:t>
      </w:r>
      <w:r>
        <w:rPr>
          <w:rFonts w:ascii="Arial" w:cs="Arial" w:eastAsia="Arial" w:hAnsi="Arial"/>
          <w:sz w:val="18"/>
          <w:szCs w:val="18"/>
          <w:color w:val="auto"/>
        </w:rPr>
        <w:t>Profit. Our gross profit for 2017 was $932.2 million, an increase of $33.3 million, or 3.7%, as compared to 2016. Our gross profit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4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401.0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40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365.8</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348.5</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149.5</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932.2</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899.0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aviation segment gross profit for the year ended 2017 was $440.5 million, an increase of $39.5 million, or 9.9%, as compared to 2016. The increase in aviation gross profit was due to increased activity from our government-related business, including certain spot government supply opportunities and increased volumes and profitability from our international fueling operations. These increases were partially offset by lower gross profit per gallon sold in our physical inventory business, as a result of unfavorable jet fuel price movements.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land segment gross profit for the year ended 2017 was $365.8 million, an increase of $17.3 million, or 5.0%, as compared to 2016. The increase in land segment gross profit was primarily driven by the benefit derived from recently acquired businesses, and were partially offset by continued lower profits from our supply and trading activities in North America.</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marine segment gross profit for the year ended 2017 was $126.0 million, a decrease of $23.5 million, or 15.7%, as compared to 2016. Over the course of 2017, the marine segment continued to be adversely impacted by the prolonged weakness in the overall maritime industry, lower overall volumes and profitability in our core resale business, primarily in the Asia Pacific region, and our decision to exit certain markets, combined with further declines in profits from the sale of price risk management products globally.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2017 were $886.6 million, an increase of $176.5 million, or 24.9%, as compared to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expense categories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5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428.2</w:t>
            </w:r>
          </w:p>
        </w:tc>
        <w:tc>
          <w:tcPr>
            <w:tcW w:w="11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413.3</w:t>
            </w:r>
          </w:p>
        </w:tc>
        <w:tc>
          <w:tcPr>
            <w:tcW w:w="72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306.9</w:t>
            </w:r>
          </w:p>
        </w:tc>
        <w:tc>
          <w:tcPr>
            <w:tcW w:w="1180" w:type="dxa"/>
            <w:vAlign w:val="bottom"/>
          </w:tcPr>
          <w:p>
            <w:pPr>
              <w:spacing w:after="0"/>
              <w:rPr>
                <w:sz w:val="22"/>
                <w:szCs w:val="22"/>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296.8</w:t>
            </w:r>
          </w:p>
        </w:tc>
        <w:tc>
          <w:tcPr>
            <w:tcW w:w="7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10.1</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other impairments</w:t>
            </w:r>
          </w:p>
        </w:tc>
        <w:tc>
          <w:tcPr>
            <w:tcW w:w="25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91.9</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25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w:t>
            </w:r>
          </w:p>
        </w:tc>
        <w:tc>
          <w:tcPr>
            <w:tcW w:w="1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59.6</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886.6</w:t>
            </w:r>
          </w:p>
        </w:tc>
        <w:tc>
          <w:tcPr>
            <w:tcW w:w="11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710.1</w:t>
            </w:r>
          </w:p>
        </w:tc>
        <w:tc>
          <w:tcPr>
            <w:tcW w:w="7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176.5</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$14.9 million increase in compensation and employee benefits and the $10.1 million increase in general and administrative expenses was principally due to the inclusion of expenses of acquired businesses.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and other impairments of $91.9 million were primarily attributable to the $72.3 million impairment of goodwill in our marine segment, $7.9 million associated with intangible assets, primarily customer relationships in both the marine and land segments, and certain impairments of property and equipment within our marine segment. The restructuring charges of $59.6 million were comprised primarily of costs associated with exiting two business activities, our railcar business and an underperforming capital-intensive distributor program.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Income (loss) from Operations. </w:t>
      </w:r>
      <w:r>
        <w:rPr>
          <w:rFonts w:ascii="Arial" w:cs="Arial" w:eastAsia="Arial" w:hAnsi="Arial"/>
          <w:sz w:val="18"/>
          <w:szCs w:val="18"/>
          <w:color w:val="auto"/>
        </w:rPr>
        <w:t>Our income from operations for 2017 was $45.6 million, a decrease of $143.3 million, or 75.9%,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192.9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160.5</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08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70.8</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0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30.2</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63"/>
        </w:trPr>
        <w:tc>
          <w:tcPr>
            <w:tcW w:w="4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127.2</w:t>
            </w:r>
          </w:p>
        </w:tc>
        <w:tc>
          <w:tcPr>
            <w:tcW w:w="48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261.5</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0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81.6</w:t>
            </w:r>
          </w:p>
        </w:tc>
        <w:tc>
          <w:tcPr>
            <w:tcW w:w="4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72.7</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45.6</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188.9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from operations, including unallocated corporate overhead, for the year ended 2017 was $45.6 million, a decrease of $143.3 million as compared to 2016. The decline was primarily attributable to our marine and land segments, specifically as a result of the impairment of goodwill, intangible assets and the restructuring charges recorded in 2017. In our marine segment, loss from operations for the year ended 2017 was $57.8 million, a decrease of $88.1 million as compared to 2016. Our marine segment continued to be adversely impacted by the prolonged weakness in the overall maritime industry. Limited fuel price volatility continued to result in decreased demand for our price risk management offerings. The lower fuel price environment resulted in lower overall unit margins in 2017 as compared to 2016. In our land segment, loss from operations for the year ended 2017 was $ 7.9 million, a decrease of $78.8 million as compared to 2016. Our land segment continued to be adversely impacted by lower profits from our supply and trading activities in North America, as well as increased acquisition-related costs that were directly attributable to our acquired businesses. The declines in our income from operations in our marine and land segments were partially offset by an increase in our aviation segment of $ 32.4 million, or 20.2%, where our aviation segment benefited from increased profitability from our government-related business, and increased volumes and profitability from our international fueling operations.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net of $66.7 million and $46.7 million, for the year ended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driven principally by higher average borrowings, fees associated with our receivable purchase program and interest rates.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2017, our effective income tax rate was (707.1)% and our income tax provision was $149.2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11.0% and an income tax provision of $15.7 million in 2016. The higher effective income tax rate for 2017, as compared to 2016, resulted principally from the effects of the Tax Act's $143.7 million one-time transition tax on historical accumulated foreign earnings. Without the one-time tax charge, the effective tax rate for 2017 would have been (25.9)%.</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Tax Act, we recorded an income tax charge of $157.4 million, payable over eight years, which includes the $143.7 million one-time transition tax. As we intend to use our U.S. net operating losses, we expect to only pay approximately $100.0 million over the eight-year period.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Loss and Diluted Earnings per Common Share</w:t>
      </w:r>
      <w:r>
        <w:rPr>
          <w:rFonts w:ascii="Arial" w:cs="Arial" w:eastAsia="Arial" w:hAnsi="Arial"/>
          <w:sz w:val="18"/>
          <w:szCs w:val="18"/>
          <w:color w:val="auto"/>
        </w:rPr>
        <w:t>. Our net loss for the year ended 2017 was $170.2 million as compared to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$126.5 million in 2016. Diluted loss per common share for the year ended 2017 was $2.50 per common share as compared to diluted earnings per common share of $1.81 in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2016 was $27.0 billion, a decrease of $3.4 billion, or 11.1%, as compared to 2015.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10,914.4</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11,739.8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63"/>
        </w:trPr>
        <w:tc>
          <w:tcPr>
            <w:tcW w:w="352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960" w:type="dxa"/>
            <w:vAlign w:val="bottom"/>
          </w:tcPr>
          <w:p>
            <w:pPr>
              <w:spacing w:after="0"/>
              <w:rPr>
                <w:sz w:val="22"/>
                <w:szCs w:val="22"/>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8,918.8</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9,274.3</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(355.5)</w:t>
            </w:r>
          </w:p>
        </w:tc>
      </w:tr>
      <w:tr>
        <w:trPr>
          <w:trHeight w:val="270"/>
        </w:trPr>
        <w:tc>
          <w:tcPr>
            <w:tcW w:w="3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9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7,182.5</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9,367.2</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9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27,015.8</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30,381.4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(3,365.6)</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3"/>
        </w:trPr>
        <w:tc>
          <w:tcPr>
            <w:tcW w:w="3520" w:type="dxa"/>
            <w:vAlign w:val="bottom"/>
          </w:tcPr>
          <w:p>
            <w:pPr>
              <w:spacing w:after="0"/>
              <w:rPr>
                <w:sz w:val="24"/>
                <w:szCs w:val="24"/>
                <w:color w:val="auto"/>
              </w:rPr>
            </w:pPr>
          </w:p>
        </w:tc>
        <w:tc>
          <w:tcPr>
            <w:tcW w:w="2960" w:type="dxa"/>
            <w:vAlign w:val="bottom"/>
          </w:tcPr>
          <w:p>
            <w:pPr>
              <w:jc w:val="right"/>
              <w:ind w:right="596"/>
              <w:spacing w:after="0"/>
              <w:rPr>
                <w:sz w:val="20"/>
                <w:szCs w:val="20"/>
                <w:color w:val="auto"/>
              </w:rPr>
            </w:pPr>
            <w:r>
              <w:rPr>
                <w:rFonts w:ascii="Arial" w:cs="Arial" w:eastAsia="Arial" w:hAnsi="Arial"/>
                <w:sz w:val="14"/>
                <w:szCs w:val="14"/>
                <w:color w:val="auto"/>
              </w:rPr>
              <w:t>32</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aviation segment were $10.9 billion for the year ended 2016, a decrease of $0.8 billion, or 7.0% as compared to 2015. The decline in aviation revenues was driven by lower average jet fuel prices per gallon sold during the year ended 2016, where the average price per gallon sold was $1.53, as compared to $1.85 in 2015. The overall decline attributable to jet fuel prices was partially offset by increased volume, where volumes for the year ended 2016 were 7.1 billion gallons, an increase of 12.4%, as compared to 2015.</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our land segment were $8.9 billion for the year ended 2016, a decrease of $0.4 billion, or 3.8%, as compared to 2015. The decline in land revenues primarily resulted from a lower average fuel price per gallon sold during the year ended 2016, where the average price per gallon sold was $1.66, as compared to $1.88 in 2015. The overall decline was partially offset by an increase in volumes from new customers and acquired businesses, where volumes for the year ended 2016 were 5.4 billion gallons, an increase of $433.2 million, or 8.8%, as compared to 2015.</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 our marine segment were $7.2 billion for the year ended 2016, a decrease of $2.2 billion, or 23.3%, as compared to 2015. The decrease was driven primarily by a 20.1% decline in the average price per metric ton sold, to $229.17 for the year ended 2016, as compared to $286.9 in 2015. Volumes in our marine segment for the year ended 2016 were 31.4 million metric tons, a decrease of 1.3 million metric tons or 4.0%, as compared to 2015.</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2016 was $899.0 million, an increase of $38.0 million, or 4.4%, as compared to 2015.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40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401.0</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361.9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40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348.5</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309.5</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39.0</w:t>
            </w:r>
          </w:p>
        </w:tc>
      </w:tr>
      <w:tr>
        <w:trPr>
          <w:trHeight w:val="270"/>
        </w:trPr>
        <w:tc>
          <w:tcPr>
            <w:tcW w:w="3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4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189.6</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64"/>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40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899.0</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861.0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38.0</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aviation segment gross profit for the year ended 2016 was $401.0 million, an increase of $39.1 million, or 10.8%, as compared to 2015. The increase in aviation gross profit was due to increased volume attributable to the core resale business in North America and Europe, as well as increased activity in our U.S. and foreign military-related businesses.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land segment gross profit for the year ended 2016 was $348.5 million, an increase of $ 39.0 million, or 12.6%, as compared to 2015. The increase in land segment gross profit was primarily driven by recently acquired businesses, including PAPCO, APP and acquisitions in Kinect, our global energy management services business. Increases in our land segment were partially offset by lower demand in the U.K. due to unseasonably warm weather conditions.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marine segment gross profit for the year ended 2016 was $ 149.5 million, a decrease of $40.1 million, or 21.1%, as compared to 2015. The marine segment continued to be adversely impacted by the prolonged weakness in the overall maritime industry. The lower fuel price environment combined with lower price volatility, led to decreased demand for our price risk management offerings, which contributed to lower overall unit margins.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2016 were $710.1 million, an increase of $94.8 million, or 15.4%, as compared to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25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365.8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47.5</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Provision for bad debt</w:t>
            </w:r>
          </w:p>
        </w:tc>
        <w:tc>
          <w:tcPr>
            <w:tcW w:w="256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520" w:type="dxa"/>
            <w:vAlign w:val="bottom"/>
          </w:tcPr>
          <w:p>
            <w:pPr>
              <w:spacing w:after="0"/>
              <w:rPr>
                <w:sz w:val="22"/>
                <w:szCs w:val="22"/>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8.0</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5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242.1</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615.3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94.8</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the $47.5 million increase in compensation and employee benefits, $29.4 million was due to expenses related to acquired businesses and $18.1 million was due to compensation for new hires to support our growing global business. The $39.3 million increase in general and administrative expenses was principally due to expenses related to acquired businesses.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14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2016 was $188.9 million, a decrease of $56.8 million, or 23.1%,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2015. Income from operations during these periods was attributable to the following segments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2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132.2</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r>
      <w:tr>
        <w:trPr>
          <w:trHeight w:val="263"/>
        </w:trPr>
        <w:tc>
          <w:tcPr>
            <w:tcW w:w="440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208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20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73.0</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63"/>
        </w:trPr>
        <w:tc>
          <w:tcPr>
            <w:tcW w:w="4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261.5</w:t>
            </w:r>
          </w:p>
        </w:tc>
        <w:tc>
          <w:tcPr>
            <w:tcW w:w="520" w:type="dxa"/>
            <w:vAlign w:val="bottom"/>
          </w:tcPr>
          <w:p>
            <w:pPr>
              <w:spacing w:after="0"/>
              <w:rPr>
                <w:sz w:val="22"/>
                <w:szCs w:val="22"/>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306.5</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0"/>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Corporate overhead - unallocated</w:t>
            </w:r>
          </w:p>
        </w:tc>
        <w:tc>
          <w:tcPr>
            <w:tcW w:w="20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72.7</w:t>
            </w:r>
          </w:p>
        </w:tc>
        <w:tc>
          <w:tcPr>
            <w:tcW w:w="5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60.9</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188.9</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245.7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income from operations, including unallocated corporate overhead, for the year ended 2016 was $188.9 million, a decrease of $56.8 million, or 23.1%, as compared to 2015. The decline was attributable to our marine segment and our land segment. In our marine segment, income from operations for the year ended 2016 was $30.2 million, a decrease of $42.7 million, or 58.6%, as compared to 2015. Our marine segment continued to be adversely impacted by the prolonged weakness in the overall maritime industry. The lower fuel price environment, combined with lower price volatility and to a lesser extent, increased competition, led to decreased demand for our price risk management offerings and lower overall unit margins in 2016 as compared to 2015. In addition, certain large marine customers experienced financial challenges, which created disruption and resulted in lower sales to such customers. In our land segment, income from operations for the year ended 2016 was $70.8 million, a decrease of $30.6 million, or 30.1% as compared to 2015 due to the higher compensation expenses and increased amortization expenses related to acquired businesses. The declines in our income from operations in our marine and land segments were partially offset by increases in our aviation segment of $28.3 million, or 21.4%, where our aviation segment benefited from increased volume attributable to our core resale business in North America and Europe, and increased activity in our U.S. and foreign military-related businesses.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We had non-operating expenses, net of $46.7 million and $27.9 million, for the year ended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Increased debt costs of $8.8 million resulted from higher average borrowings in 2016 as compared to 2015. Also, in connection with the December 2016 bankruptcy filing of our former joint venture partner, we wrote off approximately $ 7.5 million of outstanding amounts owed to us, during the three months ended December 31, 2016. These expenses were offset by a $4.4 million positive change related to foreign currency exchange during 2016 as compared to 2015.</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year ended 2016, our effective income tax rate was 11.0% and our income tax provision was $15.7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an effective income tax rate of 21.7% and an income tax provision of $47.2 million in 2015. The lower effective income tax rate for 2016, as compared to 2015, resulted principally from differences in the results of our subsidiaries in tax jurisdictions with different income tax rates.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year ended 2016 was $126.5 million, a decrease of $48.0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27.5%, as compared to 2015. Diluted earnings per common share for the year ended 2016 was $1.81 per common share, a decrease of $0.66 per common share, or 26.7%, as compared to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reflects the major categories of cash flows for 2017, 2016 and 2015. For additional details, please see the consolidated statements of cash flows in the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447.5</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6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48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(428.5)</w:t>
            </w:r>
          </w:p>
        </w:tc>
        <w:tc>
          <w:tcPr>
            <w:tcW w:w="4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70"/>
        </w:trPr>
        <w:tc>
          <w:tcPr>
            <w:tcW w:w="4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(361.6)</w:t>
            </w:r>
          </w:p>
        </w:tc>
        <w:tc>
          <w:tcPr>
            <w:tcW w:w="4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340.9</w:t>
            </w:r>
          </w:p>
        </w:tc>
        <w:tc>
          <w:tcPr>
            <w:tcW w:w="4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23"/>
        </w:trPr>
        <w:tc>
          <w:tcPr>
            <w:tcW w:w="4460" w:type="dxa"/>
            <w:vAlign w:val="bottom"/>
          </w:tcPr>
          <w:p>
            <w:pPr>
              <w:spacing w:after="0"/>
              <w:rPr>
                <w:sz w:val="24"/>
                <w:szCs w:val="24"/>
                <w:color w:val="auto"/>
              </w:rPr>
            </w:pPr>
          </w:p>
        </w:tc>
        <w:tc>
          <w:tcPr>
            <w:tcW w:w="2660" w:type="dxa"/>
            <w:vAlign w:val="bottom"/>
          </w:tcPr>
          <w:p>
            <w:pPr>
              <w:jc w:val="right"/>
              <w:ind w:right="1242"/>
              <w:spacing w:after="0"/>
              <w:rPr>
                <w:sz w:val="20"/>
                <w:szCs w:val="20"/>
                <w:color w:val="auto"/>
              </w:rPr>
            </w:pPr>
            <w:r>
              <w:rPr>
                <w:rFonts w:ascii="Arial" w:cs="Arial" w:eastAsia="Arial" w:hAnsi="Arial"/>
                <w:sz w:val="14"/>
                <w:szCs w:val="14"/>
                <w:color w:val="auto"/>
              </w:rPr>
              <w:t>34</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Net cash provided by operating activities was $ 205.2 million in each 2016 and 2017. Cash flows related to cash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with financial counterparties decreased $175.9 million as a result of reduced hedging activity. This change was offset by increased cash flows from net accounts receivable and accounts payable balances, which were $168.0 million higher primarily as a result of higher fuel prices during 2017, as compared to 2016. Operating cash flow impact of the year over year net income decrease of $296.7 million was primarily offset by increased income taxes payable and deferred income tax liabilities as a result of the Tax Act, including the one-time transition tax on accumulated foreign earnings recorded in 2017 and the non-cash operating expenses related to the goodwill and other impairment charges recorded in 2017.</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2017, net cash used in investing activities was $180.1 million as compared to $428.5 million for 2016. The $248.4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cash used in investing activities was principally due to a decrease in the cash used for the acquisition of businesses in 2017 as compared to 2016.</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2017, net cash used in financing activities was $361.6 million as compared to $340.9 million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for 2016. The $702.5 million change was principally due to a $ 684.7 million decrease in net borrowing under our credit facility in 2017 as compared to 2016. This reduction in borrowing was facilitated by the ability to use foreign cash without incurring additional U.S. tax costs as a result of the recently enacted Tax Act. Additionally, cash used for common stock repurchases increased $20.8 million in 2017 as compared to 2016.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2016, net cash provided by operating activities was $ 205.2 million as compared to $447.5 million for 2015. The $ 242.2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decrease in operating cash flows was primarily due to year-over-year changes in assets and liabilities, net of acquisitions. Cash flows from changes in inventory resulted in a cash use of $130.9 million in 2016 as compared to 2015, primarily as a result of additional inventory in support of overall volume increases, specifically in our aviation and land segments. Additionally, cash flows from net accounts receivable and accounts payable balances, decreased $86.9 million primarily to fund the working capital needs of the aviation fueling business acquired. In 2016, changes in short-term derivative assets provided cash of 163.7 million as compared to $81.5 million in 2015. This $82.3 million positive cash flow change was offset by a $43.3 million negative cash flow change in short-term derivative liabilities, reported within accrued expenses and other current liabilities, both of which primarily related to a decline in fuel prices.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2016, net cash used in investing activities was $428.5 million as compared to $144.8 million for 2015. The $ 283.7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cash used in investing activities was principally due to a increase in the cash used for the acquisition of businesses in 2016 as compared to 2015.</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2016, net cash provided by financing activities was $340.9 million as compared to net cash used in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$17.0 million for 2015. The $357.9 million change was principally due to a $328.4 million increase in net borrowing under our credit facility in 2016 as compared to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2017 and 2016, we had cash and cash equivalents of $372.3 million and $698.6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primary uses of cash and cash equivalents are to make strategic investments, primarily acquisitions, and to purchase inventory. We are provided unsecured trade credit by nearly all of our suppliers for our fuel purchases; however, a small number of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Credit Facility and Term Loans</w:t>
      </w:r>
      <w:r>
        <w:rPr>
          <w:rFonts w:ascii="Arial" w:cs="Arial" w:eastAsia="Arial" w:hAnsi="Arial"/>
          <w:sz w:val="18"/>
          <w:szCs w:val="18"/>
          <w:color w:val="auto"/>
        </w:rPr>
        <w:t>. As of December 31, 2017, our Credit Facility permitted us to borrow up to $1.26 billion, with a sublimit of $400.0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issuance of letters of credit and bankers' acceptances. We had outstanding borrowings under our Credit Facility totaling $60.0 million as of December 31, 2017 compared to $325.2 million as of December 31, 2016. Our issued letters of credit under the Credit Facility totaled $8.6 million as of December 31, 2017 compared to $8.3 million as of December 31, 2016. We also had $835.8 million in Term Loans outstanding as of December 31, 2017 compared to $840.0 million as of December 31, 2016. As of December 31, 2017, the unused portion of our Credit Facility was $1,191.4 million compared to $926.5 million, as of December 31, 2016. Borrowings under our Credit Facility and Term Loans related to base rate loans or Eurodollar rate loans bear floating interest rates plus applicable margins. As of December 31, 2017, the applicable margins for base rate loans and Eurodollar rate loans were 1.50% and 2.50%, respectively. Letters of credit issued under our Credit Facility are subject to letter of</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credit fees of 0.25% as of December 31, 2017, and the unused portion of our Credit Facility is subject to commitment fees of 0.35% as of December 31, 2017.</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30, 2018, we amended our Credit Facility and elected to prepay $300.0 million of our outstanding Term Loans and decrease the borrowing capacity of our Credit Facility to approximately $1.16 billion. The Credit Facility continues to have a sublimit of $400.0 million for the issuance of letters of credit and bankers' acceptances and we have the right to request increases in available borrowings up to an additional $200.0 million, subject to the satisfaction of certain conditions. The Credit Facility matures in October 2021.</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Availability under our Credit Facility is principally limited by the ratio of adjusted total debt to adjusted EBITDA, as defined in the agreement, which limits the total amount of indebtedness we may incur to not more than 3.5 to 1. Accordingly, our availability under the Credit Facility may fluctuate from period to period.</w:t>
      </w:r>
    </w:p>
    <w:p>
      <w:pPr>
        <w:spacing w:after="0" w:line="2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2017, we were in compliance with all financial and other covenants contained in our Credit Facility and our Term Loans.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letters of credit, bank guarantees and bankers’ acceptances. These credit lines are renewable on an annual basis and are subject to fees at market rates. As of December 31, 2017 and December 31, 2016, our outstanding letters of credit and bank guarantees under these credit lines totaled $272.0 million and $176.5 million, respectively. We also have Receivables Purchase Agreements (“RPAs”) that allow for the sale of our accounts receivable. We had sold accounts receivable of $377.3 million and $235.5 million under the RPAs, as of December 31, 2017 and 2016, respectively.</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December 31, 2017, our short-term debt of $25.6 million primarily represents the current maturities (within the next</w:t>
      </w:r>
      <w:r>
        <w:rPr>
          <w:rFonts w:ascii="Arial" w:cs="Arial" w:eastAsia="Arial" w:hAnsi="Arial"/>
          <w:sz w:val="18"/>
          <w:szCs w:val="18"/>
          <w:i w:val="1"/>
          <w:iCs w:val="1"/>
          <w:color w:val="auto"/>
        </w:rPr>
        <w:t xml:space="preserve"> </w:t>
      </w:r>
      <w:r>
        <w:rPr>
          <w:rFonts w:ascii="Arial" w:cs="Arial" w:eastAsia="Arial" w:hAnsi="Arial"/>
          <w:sz w:val="18"/>
          <w:szCs w:val="18"/>
          <w:color w:val="auto"/>
        </w:rPr>
        <w:t>twelve months) of Term Loan borrowings, certain promissory notes related to acquisitions and capital lease obligations.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ERP</w:t>
      </w:r>
      <w:r>
        <w:rPr>
          <w:rFonts w:ascii="Arial" w:cs="Arial" w:eastAsia="Arial" w:hAnsi="Arial"/>
          <w:sz w:val="18"/>
          <w:szCs w:val="18"/>
          <w:color w:val="auto"/>
        </w:rPr>
        <w:t>. We previously committed to undertake a multi-year project designed to drive greater improvement in operating efficiencies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scalability, particularly when integrating future acquisitions. We planned to accomplish this in part by a global design and deployment of an upgrade to our existing ERP platform. We made certain provider determinations and completed design phases of the upgrade, and the overall costs incurred to date have not been material. Our digital transformation is predicated on bringing agility to business teams and driving improved operational performance through technology solutions. In connection with our recently announced restructuring plan, the organizational structure will be assessed and the ultimate solutions deployed by us will be geared towards facilitating an optimized and collaborative workforce, coupled with an exceptional experience to our customers and suppliers. These restructuring activities may have a material impact on our timing and overall expected cost of the project. If we fail to successfully implement the upgrade to our existing ERP platform, or other technology platforms we decide upon, or should we experience material delays, or fail to properly manage the project, our ability to grow our business could be adversely affected. Estimating the expected expenditures related to these activities is highly complex and is subject to variables that can materially change our costs. Should the actual costs exceed our estimates, our liquidity and results of operations could be adversely affected.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cash and cash equivalents as of December 31, 2017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9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Contractual Obligations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are set forth below. For additional information on any of the following and other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see Notes 8 and 9 in the notes to the consolidated financial statements in Item 15 of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w:t>
      </w:r>
      <w:r>
        <w:rPr>
          <w:rFonts w:ascii="MS PGothic" w:cs="MS PGothic" w:eastAsia="MS PGothic" w:hAnsi="MS PGothic"/>
          <w:sz w:val="18"/>
          <w:szCs w:val="18"/>
          <w:color w:val="auto"/>
        </w:rPr>
        <w:t>‑</w:t>
      </w:r>
      <w:r>
        <w:rPr>
          <w:rFonts w:ascii="Arial" w:cs="Arial" w:eastAsia="Arial" w:hAnsi="Arial"/>
          <w:sz w:val="18"/>
          <w:szCs w:val="18"/>
          <w:color w:val="auto"/>
        </w:rPr>
        <w:t>rate and variable</w:t>
      </w:r>
      <w:r>
        <w:rPr>
          <w:rFonts w:ascii="MS PGothic" w:cs="MS PGothic" w:eastAsia="MS PGothic" w:hAnsi="MS PGothic"/>
          <w:sz w:val="18"/>
          <w:szCs w:val="18"/>
          <w:color w:val="auto"/>
        </w:rPr>
        <w:t>‑</w:t>
      </w:r>
      <w:r>
        <w:rPr>
          <w:rFonts w:ascii="Arial" w:cs="Arial" w:eastAsia="Arial" w:hAnsi="Arial"/>
          <w:sz w:val="18"/>
          <w:szCs w:val="18"/>
          <w:color w:val="auto"/>
        </w:rPr>
        <w:t>rate, fixed</w:t>
      </w:r>
      <w:r>
        <w:rPr>
          <w:rFonts w:ascii="MS PGothic" w:cs="MS PGothic" w:eastAsia="MS PGothic" w:hAnsi="MS PGothic"/>
          <w:sz w:val="18"/>
          <w:szCs w:val="18"/>
          <w:color w:val="auto"/>
        </w:rPr>
        <w:t>‑</w:t>
      </w:r>
      <w:r>
        <w:rPr>
          <w:rFonts w:ascii="Arial" w:cs="Arial" w:eastAsia="Arial" w:hAnsi="Arial"/>
          <w:sz w:val="18"/>
          <w:szCs w:val="18"/>
          <w:color w:val="auto"/>
        </w:rPr>
        <w:t>term debt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expected payment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2017, our gross liabilities for unrecognized income tax benefits (“Unrecognized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penalties and interest, were $72.6 million. The timing of any settlement of our Unrecognized Tax Liabilities with the respective taxing authority cannot be reasonably estimated.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contractual obligations were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&lt; 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1-3 years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3-5 years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&gt; 5 years</w:t>
            </w:r>
          </w:p>
        </w:tc>
      </w:t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and interest obligations</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1,011.0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165.2</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Employment agreement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3500" w:type="dxa"/>
            <w:vAlign w:val="bottom"/>
          </w:tcPr>
          <w:p>
            <w:pPr>
              <w:ind w:left="40"/>
              <w:spacing w:after="0"/>
              <w:rPr>
                <w:sz w:val="20"/>
                <w:szCs w:val="20"/>
                <w:color w:val="auto"/>
              </w:rPr>
            </w:pPr>
            <w:r>
              <w:rPr>
                <w:rFonts w:ascii="Arial" w:cs="Arial" w:eastAsia="Arial" w:hAnsi="Arial"/>
                <w:sz w:val="18"/>
                <w:szCs w:val="18"/>
                <w:color w:val="auto"/>
              </w:rPr>
              <w:t>Derivatives obligations</w:t>
            </w:r>
          </w:p>
        </w:tc>
        <w:tc>
          <w:tcPr>
            <w:tcW w:w="920" w:type="dxa"/>
            <w:vAlign w:val="bottom"/>
          </w:tcPr>
          <w:p>
            <w:pPr>
              <w:spacing w:after="0"/>
              <w:rPr>
                <w:sz w:val="22"/>
                <w:szCs w:val="22"/>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64.2</w:t>
            </w:r>
          </w:p>
        </w:tc>
        <w:tc>
          <w:tcPr>
            <w:tcW w:w="3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commitment obligations</w:t>
            </w:r>
          </w:p>
        </w:tc>
        <w:tc>
          <w:tcPr>
            <w:tcW w:w="9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516.4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502.2</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obligations</w:t>
            </w:r>
          </w:p>
        </w:tc>
        <w:tc>
          <w:tcPr>
            <w:tcW w:w="9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20.9</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r>
      <w:tr>
        <w:trPr>
          <w:trHeight w:val="264"/>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1,842.8</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719.9</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240.4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847.6</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Additionally, we have certain purchase contracts, that run through 2026, under which we agreed to purchase annually between 1.72 million barrels and 2.00 million barrels of aviation fuel at future market prices.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 suppliers.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these letters of credit expire within one year from their issuance, and expired letters of credit are renewed as needed.</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2017, we had issued letters of credit and bank guarantees totaling $280.6 million under our Credit Facility and other uncommitted credit lines. For additional information on our Credit Facility and other credit lines, see the discussion in “Liquidity and Capital Resources” above.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other surety-related bonds. The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surety bonds posted relate to our aviation and land segments. We had outstanding bonds that were executed in order to satisfy various security requirements of $44.6 million as of December 31, 2017.</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2017 10</w:t>
      </w:r>
      <w:r>
        <w:rPr>
          <w:rFonts w:ascii="MS PGothic" w:cs="MS PGothic" w:eastAsia="MS PGothic" w:hAnsi="MS PGothic"/>
          <w:sz w:val="18"/>
          <w:szCs w:val="18"/>
          <w:color w:val="auto"/>
        </w:rPr>
        <w:t>‑</w:t>
      </w:r>
      <w:r>
        <w:rPr>
          <w:rFonts w:ascii="Arial" w:cs="Arial" w:eastAsia="Arial" w:hAnsi="Arial"/>
          <w:sz w:val="18"/>
          <w:szCs w:val="18"/>
          <w:color w:val="auto"/>
        </w:rPr>
        <w:t>K Report, which have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goodwill and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2017 10-K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accounts receivables credit terms are generally 30-60 days. Accounts receivable balances that are not paid within the terms of the sales agreement are generally subject to finance fees, based on the outstanding balance. Credit extension, monitoring and collection are performed for each of our business segments. Each business segment has a credit function that is responsible for establishing credit limits and approving limits above previously approved amounts,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year ended December 31, 2017 did not have a material impact on our consolidated statement of operations.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continuously monitor the composition of accounts receivable,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Principally based on these factors, an internally derived risk-based reserve is established on a quarterly basis. In addition to a risk-based reserve, a specific reserve is established for certain customers, based on customer receivable balances, overall exposure, payment history, current and expected market conditions, business developments, and other factors that influence the likelihood of collectability.</w:t>
      </w:r>
    </w:p>
    <w:p>
      <w:pPr>
        <w:spacing w:after="0" w:line="2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Historical payment trends may not be an accurate indicator of current or future credit 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 If credit losses exceed established allowances, our business, financial condition, results of operations and cash flows may be adversely affected. For additional information on the credit risks inherent in our business, see “Item 1A – Risk Factors” in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 first-out in certain limited locations, and are stated at the lower of average cost and net realizable value. We utilize a variety of fuel indices and other indicators of market value. Sharp negative changes in these indices can result in reduction of our inventory valuation, which could have an adverse impact on our results of operations in the period in which we take the adjustment. Historically, these adjustments have not had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acquisition method of accounting, under which the purchase price of the acquisition is allocated to the assets acquired and liabilities assumed using the fair values determined by management as of the acquisition date. We calculate the fair value based on the present value of estimated future cash flows. The estimated future cash flows are based on the best information available to us at the time, acquisition-related costs incurred in connection with a business combination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a material adverse change in the markets where we operate, similar to the current conditions within the shipping and offshore markets, limited market volatility, which adversely impact our supply and trading activities, among others.</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the time, including our annual operating plan, which is completed annually during the fourth quarter and is approved by our Board of Directors. Our estimates are considered supportable assumptions that we believe are reasonable based on information available to us at that time,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3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execute contracts with customers through a variety of methods including by executing a master supply or blanket sales agreement combined with a purchase order or delivery ticket, stand-alone contracts, or through spot transactions where fuel is delivered for immediate settlement. Our contracts primarily require us to deliver fuel and fuel-related products, while other arrangements require us to complete agreed-upon services. Our contracts may contain fixed or variable pricing or some combination of those.</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delivery is made to our customers and title has passed, the sales price is determinable and collectability is reasonably assured.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fuel sales are generated as a fuel reseller as well as from inventory supply. When acting as a fuel reseller, we generally purchase fuel from the supplier, and contemporaneously resell the fuel to the customer, normally taking delivery for purchased fuel at the same place and time as the delivery is made to the customer.</w:t>
      </w:r>
    </w:p>
    <w:p>
      <w:pPr>
        <w:spacing w:after="0" w:line="16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record fuel sales and services on a gross basis as we generally take inventory risk, have latitude in establishing the sales price, have discretion in the supplier selection, maintain credit risk and are the primary obligor in the sales arrangement.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material estimates or assumptions with respect to revenue recognition.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President signed into law the Tax Act. This legislation will significantly change the U.S. Internal Revenue Code, including taxation of U.S. corporations, by, among other things, limiting interest deductions, reducing the U.S. corporate income tax rate, altering the expensing of capital expenditures, adopting elements of a territorial tax system, GILTI, assessing a repatriation tax or “toll-charge” on undistributed earnings and profits of U.S.-owned foreign corporations, and introducing certain base erosion and anti-abuse minimum tax provisions. The legislation is unclear in certain respects and will require interpretations and implementing regulations by the IRS, as well as state tax authorities, and the legislation could be subject to potential amendments and technical corrections, any of which could increase certain adverse impacts of the legislation.</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the complexity of the GILTI tax rules effective in 2018, we continue to evaluate this provision of the Tax Act and the application of ASC 740, Income Taxes. Under US GAAP, we are allowed to make an accounting policy choice of either (1) treating taxes due on future US GILTI inclusions as a current period expense when incurred (the "period cost method") or (2) factoring such amounts into our measurement of our deferred taxes (the "deferred method"). Our selection of an accounting policy with respect to the new GILTI tax rules will depend, in part, on analyzing our global income and our global structure to determine whether we expect to have future U.S. inclusions in taxable income related to GILTI and the impacts thereof. We are currently analyzing this provision and have not made any adjustment related to potential GILTI tax in our financial statements and have not made a policy decision regarding whether to record deferred tax on GILTI since a reasonable amount cannot be determined.</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changes included in the Tax Act are broad and complex. The final transition impacts of the Tax Act may differ from those recorded as of December 31, 2017, possibly materially, due in part to changes in interpretations of the Tax Act, any legislative action to address questions that arise as a result of the Tax Act, any changes in accounting standards for income taxes or related interpretations in response to the Tax Act, or any other updates to current tax estimates that may be required. In accordance with Staff Accounting Bulletin No. 118 regarding the application of ASC Topic 740, Income Taxes, we anticipate that we will finalize our provisional estimates and determine the impact of any potential deferred tax related to GILTI during the measurement period and will reflect any necessary changes to those estimates in subsequent periods. Any material revisions in our computations could adversely affect our financial condition,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Information regarding accounting standards adopted during 2017 is included in Note 1 to the accompanying consolidated financial statements included in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Revenue Recognition (Topic 606): Revenue from Contracts with Customers. </w:t>
      </w:r>
      <w:r>
        <w:rPr>
          <w:rFonts w:ascii="Arial" w:cs="Arial" w:eastAsia="Arial" w:hAnsi="Arial"/>
          <w:sz w:val="18"/>
          <w:szCs w:val="18"/>
          <w:color w:val="auto"/>
        </w:rPr>
        <w:t>In May 2014, ASU 2014-09 was issued. Under this ASU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retrospective approach. The modified retrospective approach would result in recognition of the cumulative impact of a retrospective application as of the beginning of the period of initial application, which in our case is the period beginning January 1, 2018.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preparation for adoption, we initially developed a cross-functional team and utilized a third-party service provider to assist us throughout our evaluation. In addition, we factored in the adoption into our ongoing enterprise resource planning platform upgrade, which we previously committed to perform.</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completed our review of a representative sample of contracts across each of our revenue streams. Through this process, we have made determinations on how our revenue streams will be accounted for after adoption, concluding that we will have similar performance obligations and timing of revenue recognition under ASC 606, as compared to those prior to adoption.</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completing these activities, we have prepared and made accessible internally our revenue recognition policy, which captures those decisions. We conducted an initial training that was distributed to our finance and accounting organization and we are in the process of training our commercial and operational teams on the relevant facets of our revenue recognition policy. We execute contracts with customers through a variety of methods including by executing a master supply or blanket sales agreement combined with a purchase order, stand-alone contracts, or through spot transactions where fuel is delivered for immediate settlement. An important aspect of adoption is the design of our contract management review process and its impact on the control environment. The ongoing training activities will also serve as a platform to communicate certain process changes associated with our contract review process.</w:t>
      </w:r>
    </w:p>
    <w:p>
      <w:pPr>
        <w:spacing w:after="0" w:line="167"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color w:val="auto"/>
        </w:rPr>
        <w:t>We have selected the modified retrospective adoption approach, and there is no cumulative adjustment that would impact our financial statements materially. We anticipate certain disclosure changes, specifically as it relates to the financial statement line items where certain costs are recorded. Accordingly, the adoption of the new standard will not have a material impact on our financial statements after adoption.</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Leases, was issued. This standard will require all lessees to recognize a right of use</w:t>
      </w:r>
      <w:r>
        <w:rPr>
          <w:rFonts w:ascii="Arial" w:cs="Arial" w:eastAsia="Arial" w:hAnsi="Arial"/>
          <w:sz w:val="18"/>
          <w:szCs w:val="18"/>
          <w:i w:val="1"/>
          <w:iCs w:val="1"/>
          <w:color w:val="auto"/>
        </w:rPr>
        <w:t xml:space="preserve"> </w:t>
      </w:r>
      <w:r>
        <w:rPr>
          <w:rFonts w:ascii="Arial" w:cs="Arial" w:eastAsia="Arial" w:hAnsi="Arial"/>
          <w:sz w:val="18"/>
          <w:szCs w:val="18"/>
          <w:color w:val="auto"/>
        </w:rPr>
        <w:t>asset and a lease liability on the balance sheet, except for leases with durations that are less than twelve months. This standard is effective at the beginning of our 2019 fiscal year. We are currently evaluating whether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Statement of Cash Flows (Topic 230): Classification of Certain Cash Receipts and Cash Payments. </w:t>
      </w:r>
      <w:r>
        <w:rPr>
          <w:rFonts w:ascii="Arial" w:cs="Arial" w:eastAsia="Arial" w:hAnsi="Arial"/>
          <w:sz w:val="18"/>
          <w:szCs w:val="18"/>
          <w:color w:val="auto"/>
        </w:rPr>
        <w:t>In August 2016 ASU 2016-15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provides guidance on classification of eight specific cash flows items. This standard is effective at the beginning of our 2018 fiscal year. We do not believe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update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businesses. This standard is effective at the beginning of our 2018 fiscal year. We do not believe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Derivatives and Hedging (Topic 815): Targeted Improvements to Accounting for Hedging Activities. </w:t>
      </w:r>
      <w:r>
        <w:rPr>
          <w:rFonts w:ascii="Arial" w:cs="Arial" w:eastAsia="Arial" w:hAnsi="Arial"/>
          <w:sz w:val="18"/>
          <w:szCs w:val="18"/>
          <w:color w:val="auto"/>
        </w:rPr>
        <w:t>In August 2017, ASU 2017-12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targeted at simplifying the application of hedge accounting and is effective at the beginning of our 2019 fiscal year. The amended guidance aims at aligning the recognition and presentation of the effects of hedge instruments and hedge items. We are currently evaluating whether the adoption of this new guidance will have a material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and Financial Instruments Market Risk</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commodity-based derivative contracts and financial instruments, when we deem it appropriate, to manage the risks associated with changes in the prices of fuel and fuel-related products, fluctuations in foreign currency exchange rates and interest rates, or to capture market opportunities. We utilize hedge accounting and formally designate certain of our derivative instruments as either cash flow or fair value hedges. Derivative instruments that are not designated are considered non-designated hedges and are designed to achieve an economic offset of the underlying price risk exposure. Financial instruments and positions affecting our financial statements are described below and are held primarily for hedging purposes. As a result, any changes in income associated with our derivatives contracts are substantially offset by corresponding changes in the value of the underlying risk being mitigated.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commercial business segments use derivative instruments, primarily futures, forward, swap, and option contracts, in various markets to manage price risk inherent in the purchase and sale of fuel. Certain of these derivative instruments are utilized to mitigate the risk of price volatility in forecasted transactions in a cash flow hedge relationship, and to mitigate the risk of changes in the price of our inventory in a fair value hedge relationship. In addition, we use derivatives as economic hedges or to optimize the value of our fuel inventory to capitalize on anticipated market opportunities. As of December 31, 2017, and December 31, 2016, the notional and fair market values of our commodity-based derivative instruments position were as follows (in millions, except weighted average contract price):</w:t>
      </w: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484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rPr>
              <w:t>Commodity Contracts (In millions of BBL)</w:t>
            </w:r>
          </w:p>
        </w:tc>
        <w:tc>
          <w:tcPr>
            <w:tcW w:w="298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Pr>
          <w:p>
            <w:pPr>
              <w:spacing w:after="0"/>
              <w:rPr>
                <w:sz w:val="17"/>
                <w:szCs w:val="17"/>
                <w:color w:val="auto"/>
              </w:rPr>
            </w:pPr>
          </w:p>
        </w:tc>
        <w:tc>
          <w:tcPr>
            <w:tcW w:w="296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14"/>
                <w:szCs w:val="14"/>
                <w:b w:val="1"/>
                <w:bCs w:val="1"/>
                <w:color w:val="auto"/>
              </w:rPr>
              <w:t>As of December, 31 2016</w:t>
            </w:r>
          </w:p>
        </w:tc>
      </w:tr>
      <w:tr>
        <w:trPr>
          <w:trHeight w:val="175"/>
        </w:trPr>
        <w:tc>
          <w:tcPr>
            <w:tcW w:w="1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rPr>
              <w:t>Notional</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5"/>
                <w:szCs w:val="15"/>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2"/>
        </w:trPr>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4"/>
                <w:szCs w:val="14"/>
                <w:color w:val="auto"/>
              </w:rPr>
            </w:pPr>
          </w:p>
        </w:tc>
        <w:tc>
          <w:tcPr>
            <w:tcW w:w="860" w:type="dxa"/>
            <w:vAlign w:val="bottom"/>
          </w:tcPr>
          <w:p>
            <w:pPr>
              <w:jc w:val="center"/>
              <w:ind w:right="102"/>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b w:val="1"/>
                <w:bCs w:val="1"/>
                <w:color w:val="auto"/>
              </w:rPr>
              <w:t>Fair</w:t>
            </w:r>
          </w:p>
        </w:tc>
      </w:tr>
      <w:tr>
        <w:trPr>
          <w:trHeight w:val="162"/>
        </w:trPr>
        <w:tc>
          <w:tcPr>
            <w:tcW w:w="1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jc w:val="right"/>
              <w:ind w:right="321"/>
              <w:spacing w:after="0"/>
              <w:rPr>
                <w:sz w:val="20"/>
                <w:szCs w:val="20"/>
                <w:color w:val="auto"/>
              </w:rPr>
            </w:pPr>
            <w:r>
              <w:rPr>
                <w:rFonts w:ascii="Arial" w:cs="Arial" w:eastAsia="Arial" w:hAnsi="Arial"/>
                <w:sz w:val="14"/>
                <w:szCs w:val="14"/>
                <w:b w:val="1"/>
                <w:bCs w:val="1"/>
                <w:color w:val="auto"/>
              </w:rPr>
              <w:t>Settlement</w:t>
            </w: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Long/</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w:t>
            </w: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Long/</w:t>
            </w:r>
          </w:p>
        </w:tc>
        <w:tc>
          <w:tcPr>
            <w:tcW w:w="16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rPr>
              <w:t>Contract</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b w:val="1"/>
                <w:bCs w:val="1"/>
                <w:color w:val="auto"/>
              </w:rPr>
              <w:t>Value</w:t>
            </w:r>
          </w:p>
        </w:tc>
      </w:tr>
      <w:tr>
        <w:trPr>
          <w:trHeight w:val="196"/>
        </w:trPr>
        <w:tc>
          <w:tcPr>
            <w:tcW w:w="1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Hedge Strategy</w:t>
            </w: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Derivative Instrument</w:t>
            </w:r>
          </w:p>
        </w:tc>
        <w:tc>
          <w:tcPr>
            <w:tcW w:w="13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Period</w:t>
            </w: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(Short)</w:t>
            </w: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(Short)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9"/>
              </w:rPr>
              <w:t>Price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r>
      <w:tr>
        <w:trPr>
          <w:trHeight w:val="217"/>
        </w:trPr>
        <w:tc>
          <w:tcPr>
            <w:tcW w:w="1720" w:type="dxa"/>
            <w:vAlign w:val="bottom"/>
            <w:shd w:val="clear" w:color="auto" w:fill="CCEEFF"/>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1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4"/>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hedge</w:t>
            </w:r>
          </w:p>
        </w:tc>
        <w:tc>
          <w:tcPr>
            <w:tcW w:w="1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hedging inventory</w:t>
            </w: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2017</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68.459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(4.2)</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77.808</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69.559</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80"/>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r>
      <w:tr>
        <w:trPr>
          <w:trHeight w:val="240"/>
        </w:trPr>
        <w:tc>
          <w:tcPr>
            <w:tcW w:w="1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334"/>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0"/>
        </w:trPr>
        <w:tc>
          <w:tcPr>
            <w:tcW w:w="1720" w:type="dxa"/>
            <w:vAlign w:val="bottom"/>
          </w:tcPr>
          <w:p>
            <w:pPr>
              <w:ind w:left="20"/>
              <w:spacing w:after="0"/>
              <w:rPr>
                <w:sz w:val="20"/>
                <w:szCs w:val="20"/>
                <w:color w:val="auto"/>
              </w:rPr>
            </w:pPr>
            <w:r>
              <w:rPr>
                <w:rFonts w:ascii="Arial" w:cs="Arial" w:eastAsia="Arial" w:hAnsi="Arial"/>
                <w:sz w:val="16"/>
                <w:szCs w:val="16"/>
                <w:color w:val="auto"/>
              </w:rPr>
              <w:t>Non-designated hedge</w:t>
            </w:r>
          </w:p>
        </w:tc>
        <w:tc>
          <w:tcPr>
            <w:tcW w:w="1820" w:type="dxa"/>
            <w:vAlign w:val="bottom"/>
          </w:tcPr>
          <w:p>
            <w:pPr>
              <w:ind w:left="80"/>
              <w:spacing w:after="0"/>
              <w:rPr>
                <w:sz w:val="20"/>
                <w:szCs w:val="20"/>
                <w:color w:val="auto"/>
              </w:rPr>
            </w:pPr>
            <w:r>
              <w:rPr>
                <w:rFonts w:ascii="Arial" w:cs="Arial" w:eastAsia="Arial" w:hAnsi="Arial"/>
                <w:sz w:val="16"/>
                <w:szCs w:val="16"/>
                <w:color w:val="auto"/>
              </w:rPr>
              <w:t>Commodity contracts</w:t>
            </w: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2017</w:t>
            </w: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4"/>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54.660</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13.9</w:t>
            </w:r>
          </w:p>
        </w:tc>
      </w:tr>
      <w:tr>
        <w:trPr>
          <w:trHeight w:val="280"/>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(3.0)</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31.774</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w:t>
            </w:r>
          </w:p>
        </w:tc>
        <w:tc>
          <w:tcPr>
            <w:tcW w:w="11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0.2</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62.461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(1.3)</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13.847</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71.250</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0.7</w:t>
            </w:r>
          </w:p>
        </w:tc>
      </w:tr>
      <w:tr>
        <w:trPr>
          <w:trHeight w:val="280"/>
        </w:trPr>
        <w:tc>
          <w:tcPr>
            <w:tcW w:w="17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2020</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(0.7)</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11.149</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17.080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r>
      <w:tr>
        <w:trPr>
          <w:trHeight w:val="260"/>
        </w:trPr>
        <w:tc>
          <w:tcPr>
            <w:tcW w:w="17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2021</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(0.1)</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2.135</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4.340</w:t>
            </w:r>
          </w:p>
        </w:tc>
        <w:tc>
          <w:tcPr>
            <w:tcW w:w="160" w:type="dxa"/>
            <w:vAlign w:val="bottom"/>
          </w:tcPr>
          <w:p>
            <w:pPr>
              <w:spacing w:after="0"/>
              <w:rPr>
                <w:sz w:val="22"/>
                <w:szCs w:val="22"/>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0.1</w:t>
            </w:r>
          </w:p>
        </w:tc>
      </w:tr>
      <w:tr>
        <w:trPr>
          <w:trHeight w:val="273"/>
        </w:trPr>
        <w:tc>
          <w:tcPr>
            <w:tcW w:w="17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Thereafter</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(0.2)</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1.206</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50"/>
        </w:trPr>
        <w:tc>
          <w:tcPr>
            <w:tcW w:w="17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20.7</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20.8</w:t>
            </w:r>
          </w:p>
        </w:tc>
      </w:tr>
      <w:tr>
        <w:trPr>
          <w:trHeight w:val="264"/>
        </w:trPr>
        <w:tc>
          <w:tcPr>
            <w:tcW w:w="3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commodity derivative contracts</w:t>
            </w:r>
          </w:p>
        </w:tc>
        <w:tc>
          <w:tcPr>
            <w:tcW w:w="1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Risk</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hedge our exposure to currency exchange rate changes, such as foreign-currency-denominated trade receivables, payables, or local currency tax payments. The foreign currency exchange rate risk results primarily from our international operations and is economically hedged using forward and swap contracts. The changes in the fair value of these foreign currency exchange derivatives are recorded in earnings. Since the gains or losses on the forward and swap contracts are substantially offset by the gains or losses from remeasuring the hedged foreign-currency-denominated exposure, we do not believe that a hypothetical 10% change in exchange rates at December 31, 2017 would have a material impact on our income from operations.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foreign currency denominated notionals and fair values in U.S. dollars of our exposures from our foreign currency exchange derivatives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 primarily related to the following (in millions, except weighted average contract price):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26035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60" w:type="dxa"/>
            <w:vAlign w:val="bottom"/>
          </w:tcPr>
          <w:p>
            <w:pPr>
              <w:jc w:val="right"/>
              <w:ind w:right="1213"/>
              <w:spacing w:after="0"/>
              <w:rPr>
                <w:sz w:val="20"/>
                <w:szCs w:val="20"/>
                <w:color w:val="auto"/>
              </w:rPr>
            </w:pPr>
            <w:r>
              <w:rPr>
                <w:rFonts w:ascii="Arial" w:cs="Arial" w:eastAsia="Arial" w:hAnsi="Arial"/>
                <w:sz w:val="14"/>
                <w:szCs w:val="14"/>
                <w:b w:val="1"/>
                <w:bCs w:val="1"/>
                <w:color w:val="auto"/>
              </w:rPr>
              <w:t>Notional</w:t>
            </w:r>
          </w:p>
        </w:tc>
        <w:tc>
          <w:tcPr>
            <w:tcW w:w="2300" w:type="dxa"/>
            <w:vAlign w:val="bottom"/>
          </w:tcPr>
          <w:p>
            <w:pPr>
              <w:jc w:val="right"/>
              <w:ind w:right="553"/>
              <w:spacing w:after="0"/>
              <w:rPr>
                <w:sz w:val="20"/>
                <w:szCs w:val="20"/>
                <w:color w:val="auto"/>
              </w:rPr>
            </w:pPr>
            <w:r>
              <w:rPr>
                <w:rFonts w:ascii="Arial" w:cs="Arial" w:eastAsia="Arial" w:hAnsi="Arial"/>
                <w:sz w:val="14"/>
                <w:szCs w:val="14"/>
                <w:b w:val="1"/>
                <w:bCs w:val="1"/>
                <w:color w:val="auto"/>
              </w:rPr>
              <w:t>Weighted Average</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6"/>
        </w:trPr>
        <w:tc>
          <w:tcPr>
            <w:tcW w:w="23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Settlement Period</w:t>
            </w:r>
          </w:p>
        </w:tc>
        <w:tc>
          <w:tcPr>
            <w:tcW w:w="21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Unit</w:t>
            </w:r>
          </w:p>
        </w:tc>
        <w:tc>
          <w:tcPr>
            <w:tcW w:w="246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Net Long/(Short)</w:t>
            </w:r>
          </w:p>
        </w:tc>
        <w:tc>
          <w:tcPr>
            <w:tcW w:w="2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Contract Price</w:t>
            </w: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Fair Value Amount</w:t>
            </w:r>
          </w:p>
        </w:tc>
      </w:tr>
      <w:tr>
        <w:trPr>
          <w:trHeight w:val="27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CAD</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(60.0)</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2018</w:t>
            </w:r>
          </w:p>
        </w:tc>
        <w:tc>
          <w:tcPr>
            <w:tcW w:w="2180" w:type="dxa"/>
            <w:vAlign w:val="bottom"/>
          </w:tcPr>
          <w:p>
            <w:pPr>
              <w:ind w:left="360"/>
              <w:spacing w:after="0"/>
              <w:rPr>
                <w:sz w:val="20"/>
                <w:szCs w:val="20"/>
                <w:color w:val="auto"/>
              </w:rPr>
            </w:pPr>
            <w:r>
              <w:rPr>
                <w:rFonts w:ascii="Arial" w:cs="Arial" w:eastAsia="Arial" w:hAnsi="Arial"/>
                <w:sz w:val="18"/>
                <w:szCs w:val="18"/>
                <w:color w:val="auto"/>
              </w:rPr>
              <w:t>CLP</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(2,427.2)</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631.619</w:t>
            </w:r>
          </w:p>
        </w:tc>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DKK</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(41.5)</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6.290</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2018</w:t>
            </w:r>
          </w:p>
        </w:tc>
        <w:tc>
          <w:tcPr>
            <w:tcW w:w="2180" w:type="dxa"/>
            <w:vAlign w:val="bottom"/>
          </w:tcPr>
          <w:p>
            <w:pPr>
              <w:ind w:left="360"/>
              <w:spacing w:after="0"/>
              <w:rPr>
                <w:sz w:val="20"/>
                <w:szCs w:val="20"/>
                <w:color w:val="auto"/>
              </w:rPr>
            </w:pPr>
            <w:r>
              <w:rPr>
                <w:rFonts w:ascii="Arial" w:cs="Arial" w:eastAsia="Arial" w:hAnsi="Arial"/>
                <w:sz w:val="18"/>
                <w:szCs w:val="18"/>
                <w:color w:val="auto"/>
              </w:rPr>
              <w:t>EUR</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(65.6)</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GBP</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(4.3)</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1.328</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2018</w:t>
            </w:r>
          </w:p>
        </w:tc>
        <w:tc>
          <w:tcPr>
            <w:tcW w:w="2180" w:type="dxa"/>
            <w:vAlign w:val="bottom"/>
          </w:tcPr>
          <w:p>
            <w:pPr>
              <w:ind w:left="360"/>
              <w:spacing w:after="0"/>
              <w:rPr>
                <w:sz w:val="20"/>
                <w:szCs w:val="20"/>
                <w:color w:val="auto"/>
              </w:rPr>
            </w:pPr>
            <w:r>
              <w:rPr>
                <w:rFonts w:ascii="Arial" w:cs="Arial" w:eastAsia="Arial" w:hAnsi="Arial"/>
                <w:sz w:val="18"/>
                <w:szCs w:val="18"/>
                <w:color w:val="auto"/>
              </w:rPr>
              <w:t>KRW</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(3,073.3)</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1,136.582</w:t>
            </w:r>
          </w:p>
        </w:tc>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MXN</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(684.3)</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19.109</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2018</w:t>
            </w:r>
          </w:p>
        </w:tc>
        <w:tc>
          <w:tcPr>
            <w:tcW w:w="2180" w:type="dxa"/>
            <w:vAlign w:val="bottom"/>
          </w:tcPr>
          <w:p>
            <w:pPr>
              <w:ind w:left="360"/>
              <w:spacing w:after="0"/>
              <w:rPr>
                <w:sz w:val="20"/>
                <w:szCs w:val="20"/>
                <w:color w:val="auto"/>
              </w:rPr>
            </w:pPr>
            <w:r>
              <w:rPr>
                <w:rFonts w:ascii="Arial" w:cs="Arial" w:eastAsia="Arial" w:hAnsi="Arial"/>
                <w:sz w:val="18"/>
                <w:szCs w:val="18"/>
                <w:color w:val="auto"/>
              </w:rPr>
              <w:t>NOK</w:t>
            </w:r>
          </w:p>
        </w:tc>
        <w:tc>
          <w:tcPr>
            <w:tcW w:w="2460" w:type="dxa"/>
            <w:vAlign w:val="bottom"/>
          </w:tcPr>
          <w:p>
            <w:pPr>
              <w:jc w:val="right"/>
              <w:ind w:right="333"/>
              <w:spacing w:after="0"/>
              <w:rPr>
                <w:sz w:val="20"/>
                <w:szCs w:val="20"/>
                <w:color w:val="auto"/>
              </w:rPr>
            </w:pPr>
            <w:r>
              <w:rPr>
                <w:rFonts w:ascii="Arial" w:cs="Arial" w:eastAsia="Arial" w:hAnsi="Arial"/>
                <w:sz w:val="18"/>
                <w:szCs w:val="18"/>
                <w:color w:val="auto"/>
              </w:rPr>
              <w:t>(55.6)</w:t>
            </w:r>
          </w:p>
        </w:tc>
        <w:tc>
          <w:tcPr>
            <w:tcW w:w="2300" w:type="dxa"/>
            <w:vAlign w:val="bottom"/>
          </w:tcPr>
          <w:p>
            <w:pPr>
              <w:jc w:val="right"/>
              <w:ind w:right="73"/>
              <w:spacing w:after="0"/>
              <w:rPr>
                <w:sz w:val="20"/>
                <w:szCs w:val="20"/>
                <w:color w:val="auto"/>
              </w:rPr>
            </w:pPr>
            <w:r>
              <w:rPr>
                <w:rFonts w:ascii="Arial" w:cs="Arial" w:eastAsia="Arial" w:hAnsi="Arial"/>
                <w:sz w:val="18"/>
                <w:szCs w:val="18"/>
                <w:color w:val="auto"/>
              </w:rPr>
              <w:t>8.030</w:t>
            </w:r>
          </w:p>
        </w:tc>
        <w:tc>
          <w:tcPr>
            <w:tcW w:w="30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0.5</w:t>
            </w:r>
          </w:p>
        </w:tc>
      </w:tr>
      <w:tr>
        <w:trPr>
          <w:trHeight w:val="277"/>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PLN</w:t>
            </w:r>
          </w:p>
        </w:tc>
        <w:tc>
          <w:tcPr>
            <w:tcW w:w="24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(8.6)</w:t>
            </w:r>
          </w:p>
        </w:tc>
        <w:tc>
          <w:tcPr>
            <w:tcW w:w="2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3.626</w:t>
            </w:r>
          </w:p>
        </w:tc>
        <w:tc>
          <w:tcPr>
            <w:tcW w:w="3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2019</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EUR</w:t>
            </w:r>
          </w:p>
        </w:tc>
        <w:tc>
          <w:tcPr>
            <w:tcW w:w="246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(2.5)</w:t>
            </w:r>
          </w:p>
        </w:tc>
        <w:tc>
          <w:tcPr>
            <w:tcW w:w="23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1.143</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44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foreign currency exchange derivative contracts</w:t>
            </w:r>
          </w:p>
        </w:tc>
        <w:tc>
          <w:tcPr>
            <w:tcW w:w="2460" w:type="dxa"/>
            <w:vAlign w:val="bottom"/>
            <w:tcBorders>
              <w:bottom w:val="single" w:sz="8" w:color="auto"/>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total fair value of these contracts at December 31, 2017 is $0.2 million, and will be settled in 2019. At December 31, 2016, the fair value of our foreign currency exchange derivatives was $9.6 million, the majority of which settled in 2017. Refer to Note 4 for additional details.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2017, the applicable margins for base rate loans and Eurodollar rate loans were 1.50% and 2.50%, respectively. As of December 31, 2017, we had outstanding borrowings under our Credit Facility totaling $60.0 million and $835.8 million in Term Loans. As of December 31, 2017, the aggregate outstanding balance of our capital lease obligations was $10.4 million which bear interest at annual rates ranging from 3.0% to 6.3%. Our remaining outstanding debt of $4.0 million as of December 31, 2017 primarily relates to acquisition promissory notes and loans payable to noncontrolling shareholders of a consolidated subsidiary which are payable in varying amounts throughout 2018 and bear interest at annual rates ranging from 3.5% to 8.6%.The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2.7% as of December 31, 2017. A 1.0% fluctuation in the interest rate on our outstanding debt would result in a $9.0 million change in interest expense during the next twelve months.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28, 2018, and the Selected Quarterly Financial Data (Unaudited), are set forth in Item 15 of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15(e). Based upon this evaluation, the CEO and CFO concluded that our disclosure controls and procedures were effective as of December 31,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9" w:lineRule="exact"/>
        <w:rPr>
          <w:rFonts w:ascii="Arial" w:cs="Arial" w:eastAsia="Arial" w:hAnsi="Arial"/>
          <w:sz w:val="18"/>
          <w:szCs w:val="18"/>
          <w:color w:val="auto"/>
        </w:rPr>
      </w:pPr>
    </w:p>
    <w:p>
      <w:pPr>
        <w:jc w:val="both"/>
        <w:ind w:firstLine="8"/>
        <w:spacing w:after="0" w:line="25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2017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2017.</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public accounting firm, as stated in their report appearing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2017.</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Code of Conduct.” We intend to disclose any amendments to our Code of Conduct or waivers with respect to our Code of Conduct granted to our principal executive, financial and accounting officers on our website.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2018 Annual Meeting of Shareholders (“2018 Proxy”) to be filed pursuant to Regulation 14A within 120 days after the close of the fiscal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executive compensation is incorporated herein by reference from our 2018 Proxy to be filed pursuant to Regulation 14A within 120 days after the close of the fiscal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Shareholder Matters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2018 Proxy to be filed pursuant to Regulation 14A within 120 days after the close of the fiscal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2018 Proxy to be filed pursuant to Regulation 14A within 120 days after the close of the fiscal year ended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2018 Proxy to be filed pursuant to Regulation 14A within 120 days after the close of the fiscal year ended December 31, 2017.</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400" w:lineRule="exact"/>
        <w:rPr>
          <w:sz w:val="20"/>
          <w:szCs w:val="20"/>
          <w:color w:val="auto"/>
        </w:rPr>
      </w:pPr>
    </w:p>
    <w:p>
      <w:pPr>
        <w:ind w:left="40"/>
        <w:spacing w:after="0" w:line="207" w:lineRule="exact"/>
        <w:tabs>
          <w:tab w:leader="none" w:pos="9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filed as a part of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21" w:lineRule="exact"/>
        <w:rPr>
          <w:sz w:val="20"/>
          <w:szCs w:val="20"/>
          <w:color w:val="auto"/>
        </w:rPr>
      </w:pPr>
    </w:p>
    <w:tbl>
      <w:tblPr>
        <w:tblLayout w:type="fixed"/>
        <w:tblInd w:w="960" w:type="dxa"/>
        <w:tblCellMar>
          <w:top w:w="0" w:type="dxa"/>
          <w:left w:w="0" w:type="dxa"/>
          <w:bottom w:w="0" w:type="dxa"/>
          <w:right w:w="0" w:type="dxa"/>
        </w:tblCellMar>
      </w:tblPr>
      <w:tr>
        <w:trPr>
          <w:trHeight w:val="227"/>
        </w:trPr>
        <w:tc>
          <w:tcPr>
            <w:tcW w:w="160" w:type="dxa"/>
            <w:vAlign w:val="bottom"/>
            <w:tcBorders>
              <w:bottom w:val="single" w:sz="8" w:color="0000EE"/>
            </w:tcBorders>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(i)</w:t>
              </w:r>
            </w:hyperlink>
          </w:p>
        </w:tc>
        <w:tc>
          <w:tcPr>
            <w:tcW w:w="300" w:type="dxa"/>
            <w:vAlign w:val="bottom"/>
            <w:gridSpan w:val="2"/>
          </w:tcPr>
          <w:p>
            <w:pPr>
              <w:spacing w:after="0"/>
              <w:rPr>
                <w:sz w:val="19"/>
                <w:szCs w:val="19"/>
                <w:color w:val="auto"/>
              </w:rPr>
            </w:pPr>
          </w:p>
        </w:tc>
        <w:tc>
          <w:tcPr>
            <w:tcW w:w="46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Report of Independent Registered Public Accounting Firm</w:t>
              </w:r>
            </w:hyperlink>
          </w:p>
        </w:tc>
        <w:tc>
          <w:tcPr>
            <w:tcW w:w="2860" w:type="dxa"/>
            <w:vAlign w:val="bottom"/>
            <w:gridSpan w:val="2"/>
          </w:tcPr>
          <w:p>
            <w:pPr>
              <w:spacing w:after="0"/>
              <w:rPr>
                <w:sz w:val="19"/>
                <w:szCs w:val="19"/>
                <w:color w:val="auto"/>
              </w:rPr>
            </w:pPr>
          </w:p>
        </w:tc>
        <w:tc>
          <w:tcPr>
            <w:tcW w:w="252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r>
      <w:tr>
        <w:trPr>
          <w:trHeight w:val="392"/>
        </w:trPr>
        <w:tc>
          <w:tcPr>
            <w:tcW w:w="2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(ii)</w:t>
              </w:r>
            </w:hyperlink>
          </w:p>
        </w:tc>
        <w:tc>
          <w:tcPr>
            <w:tcW w:w="220" w:type="dxa"/>
            <w:vAlign w:val="bottom"/>
          </w:tcPr>
          <w:p>
            <w:pPr>
              <w:spacing w:after="0"/>
              <w:rPr>
                <w:sz w:val="24"/>
                <w:szCs w:val="24"/>
                <w:color w:val="auto"/>
              </w:rPr>
            </w:pPr>
          </w:p>
        </w:tc>
        <w:tc>
          <w:tcPr>
            <w:tcW w:w="2360" w:type="dxa"/>
            <w:vAlign w:val="bottom"/>
            <w:tcBorders>
              <w:bottom w:val="single" w:sz="8" w:color="0000EE"/>
            </w:tcBorders>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Balance Sheets</w:t>
              </w:r>
            </w:hyperlink>
          </w:p>
        </w:tc>
        <w:tc>
          <w:tcPr>
            <w:tcW w:w="5100" w:type="dxa"/>
            <w:vAlign w:val="bottom"/>
            <w:gridSpan w:val="6"/>
          </w:tcPr>
          <w:p>
            <w:pPr>
              <w:spacing w:after="0"/>
              <w:rPr>
                <w:sz w:val="24"/>
                <w:szCs w:val="24"/>
                <w:color w:val="auto"/>
              </w:rPr>
            </w:pPr>
          </w:p>
        </w:tc>
        <w:tc>
          <w:tcPr>
            <w:tcW w:w="25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372"/>
        </w:trPr>
        <w:tc>
          <w:tcPr>
            <w:tcW w:w="2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55">
              <w:r>
                <w:rPr>
                  <w:rFonts w:ascii="Arial" w:cs="Arial" w:eastAsia="Arial" w:hAnsi="Arial"/>
                  <w:sz w:val="18"/>
                  <w:szCs w:val="18"/>
                  <w:color w:val="0000EE"/>
                  <w:w w:val="83"/>
                </w:rPr>
                <w:t>(iii)</w:t>
              </w:r>
            </w:hyperlink>
          </w:p>
        </w:tc>
        <w:tc>
          <w:tcPr>
            <w:tcW w:w="220" w:type="dxa"/>
            <w:vAlign w:val="bottom"/>
          </w:tcPr>
          <w:p>
            <w:pPr>
              <w:spacing w:after="0"/>
              <w:rPr>
                <w:sz w:val="24"/>
                <w:szCs w:val="24"/>
                <w:color w:val="auto"/>
              </w:rPr>
            </w:pPr>
          </w:p>
        </w:tc>
        <w:tc>
          <w:tcPr>
            <w:tcW w:w="746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Income and Comprehensive Income</w:t>
              </w:r>
            </w:hyperlink>
          </w:p>
        </w:tc>
        <w:tc>
          <w:tcPr>
            <w:tcW w:w="25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r>
      <w:tr>
        <w:trPr>
          <w:trHeight w:val="372"/>
        </w:trPr>
        <w:tc>
          <w:tcPr>
            <w:tcW w:w="46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(iv)</w:t>
              </w:r>
            </w:hyperlink>
          </w:p>
        </w:tc>
        <w:tc>
          <w:tcPr>
            <w:tcW w:w="5140" w:type="dxa"/>
            <w:vAlign w:val="bottom"/>
            <w:tcBorders>
              <w:top w:val="single" w:sz="8" w:color="0000EE"/>
            </w:tcBorders>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Shareholders’ Equity</w:t>
              </w:r>
            </w:hyperlink>
          </w:p>
        </w:tc>
        <w:tc>
          <w:tcPr>
            <w:tcW w:w="2320" w:type="dxa"/>
            <w:vAlign w:val="bottom"/>
          </w:tcPr>
          <w:p>
            <w:pPr>
              <w:spacing w:after="0"/>
              <w:rPr>
                <w:sz w:val="24"/>
                <w:szCs w:val="24"/>
                <w:color w:val="auto"/>
              </w:rPr>
            </w:pPr>
          </w:p>
        </w:tc>
        <w:tc>
          <w:tcPr>
            <w:tcW w:w="25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r>
      <w:tr>
        <w:trPr>
          <w:trHeight w:val="359"/>
        </w:trPr>
        <w:tc>
          <w:tcPr>
            <w:tcW w:w="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(v)</w:t>
              </w:r>
            </w:hyperlink>
          </w:p>
        </w:tc>
        <w:tc>
          <w:tcPr>
            <w:tcW w:w="220" w:type="dxa"/>
            <w:vAlign w:val="bottom"/>
            <w:tcBorders>
              <w:bottom w:val="single" w:sz="8" w:color="0000EE"/>
            </w:tcBorders>
          </w:tcPr>
          <w:p>
            <w:pPr>
              <w:spacing w:after="0"/>
              <w:rPr>
                <w:sz w:val="24"/>
                <w:szCs w:val="24"/>
                <w:color w:val="auto"/>
              </w:rPr>
            </w:pPr>
          </w:p>
        </w:tc>
        <w:tc>
          <w:tcPr>
            <w:tcW w:w="32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Consolidated Statements of Cash Flows</w:t>
              </w:r>
            </w:hyperlink>
          </w:p>
        </w:tc>
        <w:tc>
          <w:tcPr>
            <w:tcW w:w="720" w:type="dxa"/>
            <w:vAlign w:val="bottom"/>
            <w:tcBorders>
              <w:top w:val="single" w:sz="8" w:color="0000EE"/>
            </w:tcBorders>
            <w:gridSpan w:val="2"/>
          </w:tcPr>
          <w:p>
            <w:pPr>
              <w:spacing w:after="0"/>
              <w:rPr>
                <w:sz w:val="24"/>
                <w:szCs w:val="24"/>
                <w:color w:val="auto"/>
              </w:rPr>
            </w:pPr>
          </w:p>
        </w:tc>
        <w:tc>
          <w:tcPr>
            <w:tcW w:w="3540" w:type="dxa"/>
            <w:vAlign w:val="bottom"/>
            <w:gridSpan w:val="3"/>
          </w:tcPr>
          <w:p>
            <w:pPr>
              <w:spacing w:after="0"/>
              <w:rPr>
                <w:sz w:val="24"/>
                <w:szCs w:val="24"/>
                <w:color w:val="auto"/>
              </w:rPr>
            </w:pPr>
          </w:p>
        </w:tc>
        <w:tc>
          <w:tcPr>
            <w:tcW w:w="252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r>
      <w:tr>
        <w:trPr>
          <w:trHeight w:val="365"/>
        </w:trPr>
        <w:tc>
          <w:tcPr>
            <w:tcW w:w="46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(vi)</w:t>
              </w:r>
            </w:hyperlink>
          </w:p>
        </w:tc>
        <w:tc>
          <w:tcPr>
            <w:tcW w:w="746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Notes to the Consolidated Financial Statements</w:t>
              </w:r>
            </w:hyperlink>
          </w:p>
        </w:tc>
        <w:tc>
          <w:tcPr>
            <w:tcW w:w="252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60" w:right="900" w:hanging="919"/>
        <w:spacing w:after="0" w:line="246" w:lineRule="auto"/>
        <w:tabs>
          <w:tab w:leader="none" w:pos="9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Consolidated financial statement schedules have been omitted either because the required information is set forth in the consolidated financial statements or notes thereto, or the information called for is not required.</w:t>
      </w:r>
    </w:p>
    <w:p>
      <w:pPr>
        <w:spacing w:after="0" w:line="156" w:lineRule="exact"/>
        <w:rPr>
          <w:sz w:val="20"/>
          <w:szCs w:val="20"/>
          <w:color w:val="auto"/>
        </w:rPr>
      </w:pPr>
    </w:p>
    <w:p>
      <w:pPr>
        <w:ind w:left="960" w:hanging="925"/>
        <w:spacing w:after="0" w:line="207" w:lineRule="exact"/>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2017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140"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00" w:type="dxa"/>
            <w:vAlign w:val="bottom"/>
            <w:gridSpan w:val="7"/>
          </w:tcPr>
          <w:p>
            <w:pPr>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380" w:type="dxa"/>
            <w:vAlign w:val="bottom"/>
            <w:tcBorders>
              <w:top w:val="single" w:sz="8" w:color="auto"/>
            </w:tcBorders>
            <w:gridSpan w:val="4"/>
          </w:tcPr>
          <w:p>
            <w:pPr>
              <w:ind w:left="40"/>
              <w:spacing w:after="0" w:line="202" w:lineRule="exact"/>
              <w:rPr>
                <w:rFonts w:ascii="Arial" w:cs="Arial" w:eastAsia="Arial" w:hAnsi="Arial"/>
                <w:sz w:val="18"/>
                <w:szCs w:val="18"/>
                <w:color w:val="0000FF"/>
              </w:rPr>
            </w:pPr>
            <w:hyperlink r:id="rId1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Restated Articles of Incorporation (incorporated by reference herein to Exhibit 99.2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February 3, 2005).</w:t>
            </w:r>
          </w:p>
        </w:tc>
      </w:tr>
      <w:tr>
        <w:trPr>
          <w:trHeight w:val="216"/>
        </w:trPr>
        <w:tc>
          <w:tcPr>
            <w:tcW w:w="380" w:type="dxa"/>
            <w:vAlign w:val="bottom"/>
            <w:gridSpan w:val="4"/>
          </w:tcPr>
          <w:p>
            <w:pPr>
              <w:ind w:left="40"/>
              <w:spacing w:after="0"/>
              <w:rPr>
                <w:rFonts w:ascii="Arial" w:cs="Arial" w:eastAsia="Arial" w:hAnsi="Arial"/>
                <w:sz w:val="18"/>
                <w:szCs w:val="18"/>
                <w:color w:val="0000FF"/>
              </w:rPr>
            </w:pPr>
            <w:hyperlink r:id="rId1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Articles of Amendment to Restated Articles of Incorporation (incorporated by reference herein to Exhibit 3.1 to our Current</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216"/>
        </w:trPr>
        <w:tc>
          <w:tcPr>
            <w:tcW w:w="380" w:type="dxa"/>
            <w:vAlign w:val="bottom"/>
            <w:gridSpan w:val="4"/>
          </w:tcPr>
          <w:p>
            <w:pPr>
              <w:ind w:left="40"/>
              <w:spacing w:after="0"/>
              <w:rPr>
                <w:rFonts w:ascii="Arial" w:cs="Arial" w:eastAsia="Arial" w:hAnsi="Arial"/>
                <w:sz w:val="18"/>
                <w:szCs w:val="18"/>
                <w:color w:val="0000FF"/>
              </w:rPr>
            </w:pPr>
            <w:hyperlink r:id="rId15">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to Exhibit 3.1 to our Current Report</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1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 reference</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1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1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2, dated April 9, 2012,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 2012).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1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3, dated April 11, 2014, to Agreement between World Fuel Services Corporation and Michael J. Kasbar</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 2014).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2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Executive  Severance  Agreement  between  World  Fuel  Services  Corporation  and  Ira  M.  Birns,  dated  April  16,  2007</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2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World Fuel Services Corporation Executive Severance Policy, effective as of December 31, 2016 (incorporated by reference to</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Exhibit 10.1 to our Quarterly Report on Form 10-Q for the quarter ended June 30, 2017 filed on July 28, 2017).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2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2006 Omnibus Plan (incorporated by reference herein to Appendix A to our Definitive Proxy Statement on Schedule 14A filed</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with the SEC on April 27, 2009). *</w:t>
            </w:r>
          </w:p>
        </w:tc>
      </w:tr>
      <w:tr>
        <w:trPr>
          <w:trHeight w:val="216"/>
        </w:trPr>
        <w:tc>
          <w:tcPr>
            <w:tcW w:w="480" w:type="dxa"/>
            <w:vAlign w:val="bottom"/>
            <w:gridSpan w:val="5"/>
          </w:tcPr>
          <w:p>
            <w:pPr>
              <w:ind w:left="40"/>
              <w:spacing w:after="0"/>
              <w:rPr>
                <w:rFonts w:ascii="Arial" w:cs="Arial" w:eastAsia="Arial" w:hAnsi="Arial"/>
                <w:sz w:val="18"/>
                <w:szCs w:val="18"/>
                <w:color w:val="0000FF"/>
              </w:rPr>
            </w:pPr>
            <w:hyperlink r:id="rId2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2016 Omnibus Plan (incorporated by reference herein to Exhibit 10.1 to our Current Report on Form 8-K filed on June 2, 2016).</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line="196" w:lineRule="exact"/>
              <w:rPr>
                <w:rFonts w:ascii="Arial" w:cs="Arial" w:eastAsia="Arial" w:hAnsi="Arial"/>
                <w:sz w:val="18"/>
                <w:szCs w:val="18"/>
                <w:color w:val="0000FF"/>
                <w:w w:val="85"/>
              </w:rPr>
            </w:pPr>
            <w:hyperlink r:id="rId2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Non-Employee Director Restricted Stock Unit Grant Agreement under the 2006 Omnibus Plan and 2016 Omnibus Plan</w:t>
            </w:r>
          </w:p>
        </w:tc>
      </w:tr>
      <w:tr>
        <w:trPr>
          <w:trHeight w:val="236"/>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(incorporated by reference herein to Exhibit 10.24 to our Annual Report on Form 10-K for the year ended December 31, 2015</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filed on February 16, 2016). *</w:t>
            </w:r>
          </w:p>
        </w:tc>
      </w:tr>
      <w:tr>
        <w:trPr>
          <w:trHeight w:val="243"/>
        </w:trPr>
        <w:tc>
          <w:tcPr>
            <w:tcW w:w="500" w:type="dxa"/>
            <w:vAlign w:val="bottom"/>
            <w:gridSpan w:val="6"/>
          </w:tcPr>
          <w:p>
            <w:pPr>
              <w:ind w:left="40"/>
              <w:spacing w:after="0"/>
              <w:rPr>
                <w:rFonts w:ascii="Arial" w:cs="Arial" w:eastAsia="Arial" w:hAnsi="Arial"/>
                <w:sz w:val="18"/>
                <w:szCs w:val="18"/>
                <w:color w:val="0000FF"/>
                <w:w w:val="97"/>
              </w:rPr>
            </w:pPr>
            <w:hyperlink w:anchor="page96">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10</w:t>
              </w:r>
            </w:hyperlink>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Restricted Stock Unit Grant Agreement under the 2016 Omnibus Plan. *</w:t>
            </w:r>
          </w:p>
        </w:tc>
      </w:tr>
      <w:tr>
        <w:trPr>
          <w:trHeight w:val="250"/>
        </w:trPr>
        <w:tc>
          <w:tcPr>
            <w:tcW w:w="40" w:type="dxa"/>
            <w:vAlign w:val="bottom"/>
          </w:tcPr>
          <w:p>
            <w:pPr>
              <w:spacing w:after="0"/>
              <w:rPr>
                <w:sz w:val="21"/>
                <w:szCs w:val="21"/>
                <w:color w:val="auto"/>
              </w:rPr>
            </w:pPr>
          </w:p>
        </w:tc>
        <w:tc>
          <w:tcPr>
            <w:tcW w:w="20" w:type="dxa"/>
            <w:vAlign w:val="bottom"/>
            <w:tcBorders>
              <w:top w:val="single" w:sz="8" w:color="0000FF"/>
              <w:bottom w:val="single" w:sz="8" w:color="0000FF"/>
            </w:tcBorders>
          </w:tcPr>
          <w:p>
            <w:pPr>
              <w:spacing w:after="0"/>
              <w:rPr>
                <w:sz w:val="21"/>
                <w:szCs w:val="21"/>
                <w:color w:val="auto"/>
              </w:rPr>
            </w:pPr>
          </w:p>
        </w:tc>
        <w:tc>
          <w:tcPr>
            <w:tcW w:w="4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r:id="rId2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0" w:type="dxa"/>
            <w:vAlign w:val="bottom"/>
            <w:tcBorders>
              <w:top w:val="single" w:sz="8" w:color="0000FF"/>
              <w:bottom w:val="single" w:sz="8" w:color="0000FF"/>
            </w:tcBorders>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Long-Term Incentive Restricted Stock Unit Grant Agreement under the 2006 Omnibus Plan</w:t>
            </w:r>
          </w:p>
        </w:tc>
      </w:tr>
      <w:tr>
        <w:trPr>
          <w:trHeight w:val="236"/>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2015</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filed on July 30, 2015). *</w:t>
            </w:r>
          </w:p>
        </w:tc>
      </w:tr>
      <w:tr>
        <w:trPr>
          <w:trHeight w:val="243"/>
        </w:trPr>
        <w:tc>
          <w:tcPr>
            <w:tcW w:w="500" w:type="dxa"/>
            <w:vAlign w:val="bottom"/>
            <w:gridSpan w:val="6"/>
          </w:tcPr>
          <w:p>
            <w:pPr>
              <w:ind w:left="40"/>
              <w:spacing w:after="0"/>
              <w:rPr>
                <w:rFonts w:ascii="Arial" w:cs="Arial" w:eastAsia="Arial" w:hAnsi="Arial"/>
                <w:sz w:val="18"/>
                <w:szCs w:val="18"/>
                <w:color w:val="0000FF"/>
                <w:w w:val="97"/>
              </w:rPr>
            </w:pPr>
            <w:hyperlink w:anchor="page10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12</w:t>
              </w:r>
            </w:hyperlink>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2017 Performance-Based Restricted Stock Unit Grant Agreement under the 2016 Omnibus</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Plan. *</w:t>
            </w:r>
          </w:p>
        </w:tc>
      </w:tr>
      <w:tr>
        <w:trPr>
          <w:trHeight w:val="216"/>
        </w:trPr>
        <w:tc>
          <w:tcPr>
            <w:tcW w:w="500" w:type="dxa"/>
            <w:vAlign w:val="bottom"/>
            <w:gridSpan w:val="6"/>
          </w:tcPr>
          <w:p>
            <w:pPr>
              <w:ind w:left="40"/>
              <w:spacing w:after="0"/>
              <w:rPr>
                <w:rFonts w:ascii="Arial" w:cs="Arial" w:eastAsia="Arial" w:hAnsi="Arial"/>
                <w:sz w:val="18"/>
                <w:szCs w:val="18"/>
                <w:color w:val="0000FF"/>
                <w:w w:val="97"/>
              </w:rPr>
            </w:pPr>
            <w:hyperlink w:anchor="page11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13</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Named Executive Officer 2017 Performance-Based Stock-Settled Stock Appreciation Right Agreement under the 2016</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Omnibus Plan. *</w:t>
            </w:r>
          </w:p>
        </w:tc>
      </w:tr>
      <w:tr>
        <w:trPr>
          <w:trHeight w:val="216"/>
        </w:trPr>
        <w:tc>
          <w:tcPr>
            <w:tcW w:w="500" w:type="dxa"/>
            <w:vAlign w:val="bottom"/>
            <w:gridSpan w:val="6"/>
          </w:tcPr>
          <w:p>
            <w:pPr>
              <w:ind w:left="40"/>
              <w:spacing w:after="0" w:line="196" w:lineRule="exact"/>
              <w:rPr>
                <w:rFonts w:ascii="Arial" w:cs="Arial" w:eastAsia="Arial" w:hAnsi="Arial"/>
                <w:sz w:val="18"/>
                <w:szCs w:val="18"/>
                <w:color w:val="0000FF"/>
                <w:w w:val="97"/>
              </w:rPr>
            </w:pPr>
            <w:hyperlink w:anchor="page12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14</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196" w:lineRule="exact"/>
              <w:rPr>
                <w:sz w:val="20"/>
                <w:szCs w:val="20"/>
                <w:color w:val="auto"/>
              </w:rPr>
            </w:pPr>
            <w:r>
              <w:rPr>
                <w:rFonts w:ascii="Arial" w:cs="Arial" w:eastAsia="Arial" w:hAnsi="Arial"/>
                <w:sz w:val="18"/>
                <w:szCs w:val="18"/>
                <w:color w:val="auto"/>
              </w:rPr>
              <w:t>Form of Michael J. Kasbar Restricted Stock Unit Grant Agreement under the 2006 and 2016 Omnibus Plan. *</w:t>
            </w:r>
          </w:p>
        </w:tc>
      </w:tr>
      <w:tr>
        <w:trPr>
          <w:trHeight w:val="20"/>
        </w:trPr>
        <w:tc>
          <w:tcPr>
            <w:tcW w:w="4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50"/>
        </w:trPr>
        <w:tc>
          <w:tcPr>
            <w:tcW w:w="500" w:type="dxa"/>
            <w:vAlign w:val="bottom"/>
            <w:gridSpan w:val="6"/>
          </w:tcPr>
          <w:p>
            <w:pPr>
              <w:ind w:left="40"/>
              <w:spacing w:after="0"/>
              <w:rPr>
                <w:rFonts w:ascii="Arial" w:cs="Arial" w:eastAsia="Arial" w:hAnsi="Arial"/>
                <w:sz w:val="18"/>
                <w:szCs w:val="18"/>
                <w:color w:val="0000FF"/>
                <w:w w:val="97"/>
              </w:rPr>
            </w:pPr>
            <w:hyperlink r:id="rId26">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15</w:t>
              </w:r>
            </w:hyperlink>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Kasbar Stock-Settled Stock Appreciation Right Agreement under the 2006 Omnibus Plan (incorporated by</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herein to Exhibit 10.1 to our Quarterly Report on Form 10-Q for the quarter ended June 30, 2014 filed on July 30,</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2014). *</w:t>
            </w:r>
          </w:p>
        </w:tc>
      </w:tr>
      <w:tr>
        <w:trPr>
          <w:trHeight w:val="216"/>
        </w:trPr>
        <w:tc>
          <w:tcPr>
            <w:tcW w:w="500" w:type="dxa"/>
            <w:vAlign w:val="bottom"/>
            <w:gridSpan w:val="6"/>
          </w:tcPr>
          <w:p>
            <w:pPr>
              <w:ind w:left="40"/>
              <w:spacing w:after="0"/>
              <w:rPr>
                <w:rFonts w:ascii="Arial" w:cs="Arial" w:eastAsia="Arial" w:hAnsi="Arial"/>
                <w:sz w:val="18"/>
                <w:szCs w:val="18"/>
                <w:color w:val="0000FF"/>
                <w:w w:val="97"/>
              </w:rPr>
            </w:pPr>
            <w:hyperlink r:id="rId2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16</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Kasbar Stock-Settled Stock Appreciation Right Agreement (3-year Cliff Vesting) under the 2006 Omnibus</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Plan and 2016 Omnibus Plan (incorporated by reference herein to Exhibit 10.15 to our Annual Report on Form 10-K for the</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year ended December 31, 2016 filed on February 21, 2017). *</w:t>
            </w:r>
          </w:p>
        </w:tc>
      </w:tr>
      <w:tr>
        <w:trPr>
          <w:trHeight w:val="216"/>
        </w:trPr>
        <w:tc>
          <w:tcPr>
            <w:tcW w:w="500" w:type="dxa"/>
            <w:vAlign w:val="bottom"/>
            <w:gridSpan w:val="6"/>
          </w:tcPr>
          <w:p>
            <w:pPr>
              <w:ind w:left="40"/>
              <w:spacing w:after="0" w:line="196" w:lineRule="exact"/>
              <w:rPr>
                <w:rFonts w:ascii="Arial" w:cs="Arial" w:eastAsia="Arial" w:hAnsi="Arial"/>
                <w:sz w:val="18"/>
                <w:szCs w:val="18"/>
                <w:color w:val="0000FF"/>
                <w:w w:val="97"/>
              </w:rPr>
            </w:pPr>
            <w:hyperlink w:anchor="page13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17</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196" w:lineRule="exact"/>
              <w:rPr>
                <w:sz w:val="20"/>
                <w:szCs w:val="20"/>
                <w:color w:val="auto"/>
              </w:rPr>
            </w:pPr>
            <w:r>
              <w:rPr>
                <w:rFonts w:ascii="Arial" w:cs="Arial" w:eastAsia="Arial" w:hAnsi="Arial"/>
                <w:sz w:val="18"/>
                <w:szCs w:val="18"/>
                <w:color w:val="auto"/>
              </w:rPr>
              <w:t>Form of Ira M. Birns Restricted Stock Unit Grant Agreement under the 2006 and 2016 Omnibus Plan. *</w:t>
            </w:r>
          </w:p>
        </w:tc>
      </w:tr>
      <w:tr>
        <w:trPr>
          <w:trHeight w:val="20"/>
        </w:trPr>
        <w:tc>
          <w:tcPr>
            <w:tcW w:w="40" w:type="dxa"/>
            <w:vAlign w:val="bottom"/>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50"/>
        </w:trPr>
        <w:tc>
          <w:tcPr>
            <w:tcW w:w="500" w:type="dxa"/>
            <w:vAlign w:val="bottom"/>
            <w:gridSpan w:val="6"/>
          </w:tcPr>
          <w:p>
            <w:pPr>
              <w:ind w:left="40"/>
              <w:spacing w:after="0"/>
              <w:rPr>
                <w:rFonts w:ascii="Arial" w:cs="Arial" w:eastAsia="Arial" w:hAnsi="Arial"/>
                <w:sz w:val="18"/>
                <w:szCs w:val="18"/>
                <w:color w:val="0000FF"/>
                <w:w w:val="97"/>
              </w:rPr>
            </w:pPr>
            <w:hyperlink r:id="rId2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18</w:t>
              </w:r>
            </w:hyperlink>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Ira M. Birns Stock-Settled Stock Appreciation Right Agreement under the 2006 Omnibus Plan (incorporated by</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herein to Exhibit 10.2 to our Quarterly Report on Form 10-Q for the quarter ended June 30, 2014 filed on July 30,</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2014). *</w:t>
            </w:r>
          </w:p>
        </w:tc>
      </w:tr>
      <w:tr>
        <w:trPr>
          <w:trHeight w:val="216"/>
        </w:trPr>
        <w:tc>
          <w:tcPr>
            <w:tcW w:w="500" w:type="dxa"/>
            <w:vAlign w:val="bottom"/>
            <w:gridSpan w:val="6"/>
          </w:tcPr>
          <w:p>
            <w:pPr>
              <w:ind w:left="40"/>
              <w:spacing w:after="0"/>
              <w:rPr>
                <w:rFonts w:ascii="Arial" w:cs="Arial" w:eastAsia="Arial" w:hAnsi="Arial"/>
                <w:sz w:val="18"/>
                <w:szCs w:val="18"/>
                <w:color w:val="0000FF"/>
                <w:w w:val="97"/>
              </w:rPr>
            </w:pPr>
            <w:hyperlink r:id="rId2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19</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Kasbar and Ira M. Birns 2016 Performance-Based Restricted Stock Unit Grant Agreement under the 2006</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Omnibus Plan (incorporated by reference herein to Exhibit 10.18 to our Annual Report on Form 10-K for the year ended</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December 31, 2016 filed on February 21, 2017). *</w:t>
            </w:r>
          </w:p>
        </w:tc>
      </w:tr>
      <w:tr>
        <w:trPr>
          <w:trHeight w:val="216"/>
        </w:trPr>
        <w:tc>
          <w:tcPr>
            <w:tcW w:w="500" w:type="dxa"/>
            <w:vAlign w:val="bottom"/>
            <w:gridSpan w:val="6"/>
          </w:tcPr>
          <w:p>
            <w:pPr>
              <w:ind w:left="40"/>
              <w:spacing w:after="0"/>
              <w:rPr>
                <w:rFonts w:ascii="Arial" w:cs="Arial" w:eastAsia="Arial" w:hAnsi="Arial"/>
                <w:sz w:val="18"/>
                <w:szCs w:val="18"/>
                <w:color w:val="0000FF"/>
                <w:w w:val="97"/>
              </w:rPr>
            </w:pPr>
            <w:hyperlink r:id="rId3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20</w:t>
              </w:r>
            </w:hyperlink>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Crosby and John P. Rau 2015 Performance-Based Restricted Stock Unit Grant Agreement under the 2006</w:t>
            </w: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Omnibus Plan (incorporated herein by reference to Exhibit 10.3 to our Quarterly Report on Form 10-Q for the quarter ended</w:t>
            </w:r>
          </w:p>
        </w:tc>
      </w:tr>
      <w:tr>
        <w:trPr>
          <w:trHeight w:val="217"/>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June 30, 2017 filed on July 28, 2017). *</w:t>
            </w:r>
          </w:p>
        </w:tc>
      </w:tr>
      <w:tr>
        <w:trPr>
          <w:trHeight w:val="650"/>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Pr>
          <w:p>
            <w:pPr>
              <w:ind w:left="4400"/>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01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480" w:type="dxa"/>
            <w:vAlign w:val="bottom"/>
            <w:tcBorders>
              <w:top w:val="single" w:sz="8" w:color="auto"/>
            </w:tcBorders>
            <w:gridSpan w:val="3"/>
          </w:tcPr>
          <w:p>
            <w:pPr>
              <w:ind w:left="40"/>
              <w:spacing w:after="0" w:line="202"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21</w:t>
              </w:r>
            </w:hyperlink>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Form of Michael J. Crosby and John P. Rau 2016 Performance-Based Restricted Stock Unit Grant Agreement under the 2006</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Omnibus Plan. *</w:t>
            </w:r>
          </w:p>
        </w:tc>
      </w:tr>
      <w:tr>
        <w:trPr>
          <w:trHeight w:val="216"/>
        </w:trPr>
        <w:tc>
          <w:tcPr>
            <w:tcW w:w="480" w:type="dxa"/>
            <w:vAlign w:val="bottom"/>
            <w:gridSpan w:val="3"/>
          </w:tcPr>
          <w:p>
            <w:pPr>
              <w:ind w:left="40"/>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22</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Michael J. Crosby and John P. Rau Restricted Stock Grant Agreement under the 2006 Omnibus Plan (incorporated</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herein by reference to Exhibit 10.4 to our Quarterly Report on Form 10-Q for the quarter ended June 30, 2017 filed on July 28,</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2017). *</w:t>
            </w:r>
          </w:p>
        </w:tc>
      </w:tr>
      <w:tr>
        <w:trPr>
          <w:trHeight w:val="216"/>
        </w:trPr>
        <w:tc>
          <w:tcPr>
            <w:tcW w:w="480" w:type="dxa"/>
            <w:vAlign w:val="bottom"/>
            <w:gridSpan w:val="3"/>
          </w:tcPr>
          <w:p>
            <w:pPr>
              <w:ind w:left="40"/>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23</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Form of John P. Rau Restricted Stock Grant Agreement under the 2006 Omnibus Plan (incorporated herein by reference to</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Exhibit 10.5 to our Quarterly Report on Form 10-Q for the quarter ended June 30, 2017 filed on July 28, 2017). *</w:t>
            </w:r>
          </w:p>
        </w:tc>
      </w:tr>
      <w:tr>
        <w:trPr>
          <w:trHeight w:val="216"/>
        </w:trPr>
        <w:tc>
          <w:tcPr>
            <w:tcW w:w="480" w:type="dxa"/>
            <w:vAlign w:val="bottom"/>
            <w:gridSpan w:val="3"/>
          </w:tcPr>
          <w:p>
            <w:pPr>
              <w:ind w:left="40"/>
              <w:spacing w:after="0" w:line="196" w:lineRule="exact"/>
              <w:rPr>
                <w:rFonts w:ascii="Arial" w:cs="Arial" w:eastAsia="Arial" w:hAnsi="Arial"/>
                <w:sz w:val="18"/>
                <w:szCs w:val="18"/>
                <w:color w:val="0000FF"/>
                <w:w w:val="93"/>
              </w:rPr>
            </w:pPr>
            <w:hyperlink w:anchor="page16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line="196" w:lineRule="exact"/>
              <w:rPr>
                <w:sz w:val="20"/>
                <w:szCs w:val="20"/>
                <w:color w:val="auto"/>
              </w:rPr>
            </w:pPr>
            <w:r>
              <w:rPr>
                <w:rFonts w:ascii="Arial" w:cs="Arial" w:eastAsia="Arial" w:hAnsi="Arial"/>
                <w:sz w:val="18"/>
                <w:szCs w:val="18"/>
                <w:color w:val="auto"/>
              </w:rPr>
              <w:t>Form of Michael J. Crosby and John P. Rau Restricted Stock Unit Grant Agreement under the 2006 Omnibus Plan. *</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50"/>
        </w:trPr>
        <w:tc>
          <w:tcPr>
            <w:tcW w:w="480" w:type="dxa"/>
            <w:vAlign w:val="bottom"/>
            <w:gridSpan w:val="3"/>
          </w:tcPr>
          <w:p>
            <w:pPr>
              <w:ind w:left="40"/>
              <w:spacing w:after="0"/>
              <w:rPr>
                <w:rFonts w:ascii="Arial" w:cs="Arial" w:eastAsia="Arial" w:hAnsi="Arial"/>
                <w:sz w:val="18"/>
                <w:szCs w:val="18"/>
                <w:color w:val="0000FF"/>
                <w:w w:val="93"/>
              </w:rPr>
            </w:pPr>
            <w:hyperlink w:anchor="page17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25</w:t>
              </w:r>
            </w:hyperlink>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Performance-Based Restricted Stock Unit Grant Agreement, dated as of November 10, 2017, between World Fuel Services</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Corporation and Jeffrey P. Smith. *</w:t>
            </w:r>
          </w:p>
        </w:tc>
      </w:tr>
      <w:tr>
        <w:trPr>
          <w:trHeight w:val="216"/>
        </w:trPr>
        <w:tc>
          <w:tcPr>
            <w:tcW w:w="480" w:type="dxa"/>
            <w:vAlign w:val="bottom"/>
            <w:gridSpan w:val="3"/>
          </w:tcPr>
          <w:p>
            <w:pPr>
              <w:ind w:left="40"/>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26</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Fourth Amended and Restated Credit Agreement, dated as of October 10, 2013, among World Fuel Services Corporation,</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World Fuel Services Europe, Ltd. and World Fuel Services (Singapore) Pte Ltd, as borrowers, Bank of America, N.A., as</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administrative agent, and the financial institutions named therein as lenders (incorporated herein by reference to Exhibit 10.1 to</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our Current Report on Form 8-K filed on October 11, 2013). *</w:t>
            </w:r>
          </w:p>
        </w:tc>
      </w:tr>
      <w:tr>
        <w:trPr>
          <w:trHeight w:val="419"/>
        </w:trPr>
        <w:tc>
          <w:tcPr>
            <w:tcW w:w="480" w:type="dxa"/>
            <w:vAlign w:val="bottom"/>
            <w:gridSpan w:val="3"/>
          </w:tcPr>
          <w:p>
            <w:pPr>
              <w:ind w:left="40"/>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27</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1 to the Fourth Amended and Restated Credit Agreement, and Joinder Agreement, dated as of January 30,</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2015, among World Fuel Services Corporation, World Fuel Services Europe, Ltd. and World Fuel Services (Singapore) Pte Ltd,</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10.1 to our Current Report on Form 8-K filed on February 5, 2015).</w:t>
            </w:r>
          </w:p>
        </w:tc>
      </w:tr>
      <w:tr>
        <w:trPr>
          <w:trHeight w:val="216"/>
        </w:trPr>
        <w:tc>
          <w:tcPr>
            <w:tcW w:w="480" w:type="dxa"/>
            <w:vAlign w:val="bottom"/>
            <w:gridSpan w:val="3"/>
          </w:tcPr>
          <w:p>
            <w:pPr>
              <w:ind w:left="40"/>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28</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2 to the Fourth Amended and Restated Credit Agreement, and Joinder Agreement, dated as of October 26,</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2016, among World Fuel Services Corporation, World Fuel Services Europe, Ltd. and World Fuel Services (Singapore) Pte Ltd,</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as borrowers, Bank of America, N.A., as administrative agent, and the financial institutions named therein as lenders</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(incorporated herein by reference to Exhibit 10.1 to our Current Report on Form 8-K filed on October 27, 2016).</w:t>
            </w:r>
          </w:p>
        </w:tc>
      </w:tr>
      <w:tr>
        <w:trPr>
          <w:trHeight w:val="216"/>
        </w:trPr>
        <w:tc>
          <w:tcPr>
            <w:tcW w:w="480" w:type="dxa"/>
            <w:vAlign w:val="bottom"/>
            <w:gridSpan w:val="3"/>
          </w:tcPr>
          <w:p>
            <w:pPr>
              <w:ind w:left="40"/>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29</w:t>
              </w:r>
            </w:hyperlink>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3 to the Fourth Amended and Restated Credit Agreement, dated as of May 12, 2017,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America, N.A., as administrative agent, and the financial institutions named therein as lenders (incorporated herein by</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reference to Exhibit 10.2 to our Quarterly Report on Form 10-Q for the quarter ended June 30, 2017 filed on July 28, 2017).</w:t>
            </w:r>
          </w:p>
        </w:tc>
      </w:tr>
      <w:tr>
        <w:trPr>
          <w:trHeight w:val="419"/>
        </w:trPr>
        <w:tc>
          <w:tcPr>
            <w:tcW w:w="480" w:type="dxa"/>
            <w:vAlign w:val="bottom"/>
            <w:gridSpan w:val="3"/>
          </w:tcPr>
          <w:p>
            <w:pPr>
              <w:ind w:left="40"/>
              <w:spacing w:after="0"/>
              <w:rPr>
                <w:rFonts w:ascii="Arial" w:cs="Arial" w:eastAsia="Arial" w:hAnsi="Arial"/>
                <w:sz w:val="18"/>
                <w:szCs w:val="18"/>
                <w:color w:val="0000FF"/>
                <w:w w:val="93"/>
              </w:rPr>
            </w:pPr>
            <w:hyperlink w:anchor="page18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30</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Amendment No. 4 to the Fourth Amended and Restated Credit Agreement, dated as January 30, 2018, among World Fuel</w:t>
            </w:r>
          </w:p>
        </w:tc>
      </w:tr>
      <w:tr>
        <w:trPr>
          <w:trHeight w:val="209"/>
        </w:trPr>
        <w:tc>
          <w:tcPr>
            <w:tcW w:w="4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Services Corporation, World Fuel Services Europe, Ltd. and World Fuel Services (Singapore) Pte Ltd, as borrowers, Bank of</w:t>
            </w:r>
          </w:p>
        </w:tc>
      </w:tr>
      <w:tr>
        <w:trPr>
          <w:trHeight w:val="217"/>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America, N.A., as administrative agent, and the financial institutions named therein as lenders.</w:t>
            </w:r>
          </w:p>
        </w:tc>
      </w:tr>
      <w:tr>
        <w:trPr>
          <w:trHeight w:val="419"/>
        </w:trPr>
        <w:tc>
          <w:tcPr>
            <w:tcW w:w="380" w:type="dxa"/>
            <w:vAlign w:val="bottom"/>
            <w:gridSpan w:val="2"/>
          </w:tcPr>
          <w:p>
            <w:pPr>
              <w:ind w:left="40"/>
              <w:spacing w:after="0"/>
              <w:rPr>
                <w:rFonts w:ascii="Arial" w:cs="Arial" w:eastAsia="Arial" w:hAnsi="Arial"/>
                <w:sz w:val="18"/>
                <w:szCs w:val="18"/>
                <w:color w:val="0000FF"/>
                <w:w w:val="91"/>
              </w:rPr>
            </w:pPr>
            <w:hyperlink w:anchor="page240">
              <w:r>
                <w:rPr>
                  <w:rFonts w:ascii="Arial" w:cs="Arial" w:eastAsia="Arial" w:hAnsi="Arial"/>
                  <w:sz w:val="18"/>
                  <w:szCs w:val="18"/>
                  <w:color w:val="0000FF"/>
                  <w:w w:val="91"/>
                </w:rPr>
                <w:t>21.</w:t>
              </w:r>
              <w:r>
                <w:rPr>
                  <w:rFonts w:ascii="Arial" w:cs="Arial" w:eastAsia="Arial" w:hAnsi="Arial"/>
                  <w:sz w:val="18"/>
                  <w:szCs w:val="18"/>
                  <w:u w:val="single" w:color="auto"/>
                  <w:color w:val="0000FF"/>
                  <w:w w:val="91"/>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Subsidiaries of the Registrant.</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244">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24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246">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237"/>
        </w:trPr>
        <w:tc>
          <w:tcPr>
            <w:tcW w:w="380" w:type="dxa"/>
            <w:vAlign w:val="bottom"/>
            <w:gridSpan w:val="2"/>
          </w:tcPr>
          <w:p>
            <w:pPr>
              <w:ind w:left="40"/>
              <w:spacing w:after="0"/>
              <w:rPr>
                <w:rFonts w:ascii="Arial" w:cs="Arial" w:eastAsia="Arial" w:hAnsi="Arial"/>
                <w:sz w:val="18"/>
                <w:szCs w:val="18"/>
                <w:color w:val="0000FF"/>
                <w:w w:val="91"/>
              </w:rPr>
            </w:pPr>
            <w:hyperlink w:anchor="page24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80" w:type="dxa"/>
            <w:vAlign w:val="bottom"/>
          </w:tcPr>
          <w:p>
            <w:pPr>
              <w:ind w:left="20"/>
              <w:spacing w:after="0" w:line="207"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w:t>
            </w:r>
          </w:p>
        </w:tc>
      </w:tr>
      <w:tr>
        <w:trPr>
          <w:trHeight w:val="223"/>
        </w:trPr>
        <w:tc>
          <w:tcPr>
            <w:tcW w:w="40" w:type="dxa"/>
            <w:vAlign w:val="bottom"/>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20"/>
              <w:spacing w:after="0"/>
              <w:rPr>
                <w:sz w:val="20"/>
                <w:szCs w:val="20"/>
                <w:color w:val="auto"/>
              </w:rPr>
            </w:pPr>
            <w:r>
              <w:rPr>
                <w:rFonts w:ascii="Arial" w:cs="Arial" w:eastAsia="Arial" w:hAnsi="Arial"/>
                <w:sz w:val="18"/>
                <w:szCs w:val="18"/>
                <w:color w:val="auto"/>
              </w:rPr>
              <w:t>U.S.C. Section 1350).</w:t>
            </w:r>
          </w:p>
        </w:tc>
      </w:tr>
    </w:tbl>
    <w:p>
      <w:pPr>
        <w:spacing w:after="0" w:line="40" w:lineRule="exact"/>
        <w:rPr>
          <w:sz w:val="20"/>
          <w:szCs w:val="20"/>
          <w:color w:val="auto"/>
        </w:rPr>
      </w:pPr>
    </w:p>
    <w:p>
      <w:pPr>
        <w:jc w:val="both"/>
        <w:ind w:left="1260" w:right="20" w:hanging="1225"/>
        <w:spacing w:after="0" w:line="207" w:lineRule="exact"/>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5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contracts and compensatory plans or arrangements required to be filed as exhibits to this form, pursuant to Item 15(b).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60" w:lineRule="exact"/>
        <w:rPr>
          <w:sz w:val="20"/>
          <w:szCs w:val="20"/>
          <w:color w:val="auto"/>
        </w:rPr>
      </w:pPr>
    </w:p>
    <w:p>
      <w:pPr>
        <w:ind w:right="2840"/>
        <w:spacing w:after="0" w:line="425" w:lineRule="auto"/>
        <w:rPr>
          <w:sz w:val="20"/>
          <w:szCs w:val="20"/>
          <w:color w:val="auto"/>
        </w:rPr>
      </w:pPr>
      <w:r>
        <w:rPr>
          <w:rFonts w:ascii="Arial" w:cs="Arial" w:eastAsia="Arial" w:hAnsi="Arial"/>
          <w:sz w:val="21"/>
          <w:szCs w:val="21"/>
          <w:b w:val="1"/>
          <w:bCs w:val="1"/>
          <w:color w:val="auto"/>
        </w:rPr>
        <w:t>To the Shareholders and Board of Directors of World Fuel Services Corporation Opinions on the Financial Statements and Internal Control over Financial Reporting</w:t>
      </w: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World Fuel Services Corporation and its subsidiaries as of December 31, 2017 and 2016, and the related consolidated statements of income and comprehensive income, of shareholders’ equity and of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 - Integrated Framework (2013) 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372.3</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698.6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9"/>
              </w:rPr>
              <w:t>2,705.6</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2,344.0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505.0</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458.0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64.4</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derivative assets, net</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241.9</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3,940.4</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3,836.6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329.8</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311.2</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845.5</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835.8</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Identifiable intangible and other non-current assets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472.1</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429.1</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5,587.8</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5,412.6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2,239.7</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1,770.4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108.3</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90.8</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344.9</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306.0</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9"/>
              </w:rPr>
              <w:t>2,718.6</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2,182.7</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884.6</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1,170.8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Non-current income tax liabilities, net</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84.6</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3,849.8</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3,472.6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Equity:</w:t>
            </w: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World Fuel shareholders' equity:</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Preferred stock, $1.00 par value; 0.1 shares authorized, none issued</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value; 100.0 shares authorized, 67.7 and 69.9 issued and</w:t>
            </w:r>
          </w:p>
        </w:tc>
        <w:tc>
          <w:tcPr>
            <w:tcW w:w="1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 and December 31, 2016, respectively</w:t>
            </w:r>
          </w:p>
        </w:tc>
        <w:tc>
          <w:tcPr>
            <w:tcW w:w="1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Capital in excess of par value</w:t>
            </w:r>
          </w:p>
        </w:tc>
        <w:tc>
          <w:tcPr>
            <w:tcW w:w="110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354.9</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399.9</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1,492.8</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1,679.3</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(126.5)</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World Fuel shareholders' equity</w:t>
            </w:r>
          </w:p>
        </w:tc>
        <w:tc>
          <w:tcPr>
            <w:tcW w:w="1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1,721.9</w:t>
            </w: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1,925.0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1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16.0</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1,738.0</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1,940.0</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equity</w:t>
            </w: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5,587.8</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5,412.6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40"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w:t>
      </w:r>
    </w:p>
    <w:p>
      <w:pPr>
        <w:spacing w:after="0"/>
        <w:rPr>
          <w:sz w:val="20"/>
          <w:szCs w:val="20"/>
          <w:color w:val="auto"/>
        </w:rPr>
      </w:pPr>
      <w:r>
        <w:rPr>
          <w:rFonts w:ascii="Arial" w:cs="Arial" w:eastAsia="Arial" w:hAnsi="Arial"/>
          <w:sz w:val="22"/>
          <w:szCs w:val="22"/>
          <w:b w:val="1"/>
          <w:bCs w:val="1"/>
          <w:color w:val="auto"/>
        </w:rPr>
        <w:t>COMPREHENSIVE INCOME</w:t>
      </w:r>
    </w:p>
    <w:p>
      <w:pPr>
        <w:spacing w:after="0"/>
        <w:rPr>
          <w:sz w:val="20"/>
          <w:szCs w:val="20"/>
          <w:color w:val="auto"/>
        </w:rPr>
      </w:pPr>
      <w:r>
        <w:rPr>
          <w:rFonts w:ascii="Arial" w:cs="Arial" w:eastAsia="Arial" w:hAnsi="Arial"/>
          <w:sz w:val="18"/>
          <w:szCs w:val="18"/>
          <w:color w:val="auto"/>
        </w:rPr>
        <w:t>(In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For the Year ended December 31,</w:t>
            </w:r>
          </w:p>
        </w:tc>
        <w:tc>
          <w:tcPr>
            <w:tcW w:w="1400" w:type="dxa"/>
            <w:vAlign w:val="bottom"/>
            <w:tcBorders>
              <w:bottom w:val="single" w:sz="8" w:color="auto"/>
            </w:tcBorders>
          </w:tcPr>
          <w:p>
            <w:pPr>
              <w:spacing w:after="0"/>
              <w:rPr>
                <w:sz w:val="17"/>
                <w:szCs w:val="17"/>
                <w:color w:val="auto"/>
              </w:rPr>
            </w:pPr>
          </w:p>
        </w:tc>
      </w:tr>
      <w:tr>
        <w:trPr>
          <w:trHeight w:val="264"/>
        </w:trPr>
        <w:tc>
          <w:tcPr>
            <w:tcW w:w="5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33,695.5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27,015.8</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30,381.4</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32,763.3</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26,116.8</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29,520.4</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932.2</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899.0</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861.0</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employee benefits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428.2</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413.3</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365.8</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306.9</w:t>
            </w:r>
          </w:p>
        </w:tc>
        <w:tc>
          <w:tcPr>
            <w:tcW w:w="50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296.8</w:t>
            </w:r>
          </w:p>
        </w:tc>
        <w:tc>
          <w:tcPr>
            <w:tcW w:w="5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249.5</w:t>
            </w: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other impairments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91.9</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59.6</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57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886.6</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710.1</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615.3</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45.6</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188.9</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245.7</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Interest expense and other financing costs, net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(60.3)</w:t>
            </w:r>
          </w:p>
        </w:tc>
        <w:tc>
          <w:tcPr>
            <w:tcW w:w="50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5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64"/>
        </w:trPr>
        <w:tc>
          <w:tcPr>
            <w:tcW w:w="57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142.1</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217.7</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149.2</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15.7</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r>
      <w:tr>
        <w:trPr>
          <w:trHeight w:val="270"/>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5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5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126.5</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2.49</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68.1</w:t>
            </w:r>
          </w:p>
        </w:tc>
        <w:tc>
          <w:tcPr>
            <w:tcW w:w="5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69.3</w:t>
            </w: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91"/>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earnings (loss) per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1.81</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r>
      <w:tr>
        <w:trPr>
          <w:trHeight w:val="251"/>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w:t>
            </w: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68.1</w:t>
            </w:r>
          </w:p>
        </w:tc>
        <w:tc>
          <w:tcPr>
            <w:tcW w:w="5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69.8</w:t>
            </w: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0"/>
        </w:trPr>
        <w:tc>
          <w:tcPr>
            <w:tcW w:w="5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 noncontrolling interest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126.4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7"/>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5700" w:type="dxa"/>
            <w:vAlign w:val="bottom"/>
          </w:tcPr>
          <w:p>
            <w:pPr>
              <w:ind w:left="40"/>
              <w:spacing w:after="0"/>
              <w:rPr>
                <w:sz w:val="20"/>
                <w:szCs w:val="20"/>
                <w:color w:val="auto"/>
              </w:rPr>
            </w:pPr>
            <w:r>
              <w:rPr>
                <w:rFonts w:ascii="Arial" w:cs="Arial" w:eastAsia="Arial" w:hAnsi="Arial"/>
                <w:sz w:val="18"/>
                <w:szCs w:val="18"/>
                <w:color w:val="auto"/>
              </w:rPr>
              <w:t>Cash Flow hedges, net of income tax benefit of $0.3, $4.1, and $0.5</w:t>
            </w:r>
          </w:p>
        </w:tc>
        <w:tc>
          <w:tcPr>
            <w:tcW w:w="44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 2017, 2016, and 2015, respectively</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64"/>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63"/>
        </w:trPr>
        <w:tc>
          <w:tcPr>
            <w:tcW w:w="5700" w:type="dxa"/>
            <w:vAlign w:val="bottom"/>
          </w:tcPr>
          <w:p>
            <w:pPr>
              <w:ind w:left="40"/>
              <w:spacing w:after="0"/>
              <w:rPr>
                <w:sz w:val="20"/>
                <w:szCs w:val="20"/>
                <w:color w:val="auto"/>
              </w:rPr>
            </w:pPr>
            <w:r>
              <w:rPr>
                <w:rFonts w:ascii="Arial" w:cs="Arial" w:eastAsia="Arial" w:hAnsi="Arial"/>
                <w:sz w:val="18"/>
                <w:szCs w:val="18"/>
                <w:color w:val="auto"/>
              </w:rPr>
              <w:t>Comprehensive income (loss) including noncontrolling interest</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(140.5)</w:t>
            </w:r>
          </w:p>
        </w:tc>
        <w:tc>
          <w:tcPr>
            <w:tcW w:w="50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79.5</w:t>
            </w:r>
          </w:p>
        </w:tc>
        <w:tc>
          <w:tcPr>
            <w:tcW w:w="5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124.3</w:t>
            </w:r>
          </w:p>
        </w:tc>
      </w:tr>
      <w:tr>
        <w:trPr>
          <w:trHeight w:val="270"/>
        </w:trPr>
        <w:tc>
          <w:tcPr>
            <w:tcW w:w="5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income (loss) attributable to World Fuel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(142.0)</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77.9</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126.4</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6"/>
                <w:szCs w:val="16"/>
                <w:color w:val="auto"/>
              </w:rPr>
            </w:pPr>
          </w:p>
        </w:tc>
        <w:tc>
          <w:tcPr>
            <w:tcW w:w="840" w:type="dxa"/>
            <w:vAlign w:val="bottom"/>
          </w:tcPr>
          <w:p>
            <w:pPr>
              <w:jc w:val="center"/>
              <w:ind w:right="133"/>
              <w:spacing w:after="0"/>
              <w:rPr>
                <w:sz w:val="20"/>
                <w:szCs w:val="20"/>
                <w:color w:val="auto"/>
              </w:rPr>
            </w:pPr>
            <w:r>
              <w:rPr>
                <w:rFonts w:ascii="Arial" w:cs="Arial" w:eastAsia="Arial" w:hAnsi="Arial"/>
                <w:sz w:val="13"/>
                <w:szCs w:val="13"/>
                <w:b w:val="1"/>
                <w:bCs w:val="1"/>
                <w:color w:val="auto"/>
                <w:w w:val="95"/>
              </w:rPr>
              <w:t>Capital in</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Total World Fuel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jc w:val="center"/>
              <w:spacing w:after="0" w:line="120" w:lineRule="exact"/>
              <w:rPr>
                <w:sz w:val="20"/>
                <w:szCs w:val="20"/>
                <w:color w:val="auto"/>
              </w:rPr>
            </w:pPr>
            <w:r>
              <w:rPr>
                <w:rFonts w:ascii="Arial" w:cs="Arial" w:eastAsia="Arial" w:hAnsi="Arial"/>
                <w:sz w:val="13"/>
                <w:szCs w:val="13"/>
                <w:b w:val="1"/>
                <w:bCs w:val="1"/>
                <w:color w:val="auto"/>
                <w:w w:val="96"/>
              </w:rPr>
              <w:t>Excess of Par</w:t>
            </w:r>
          </w:p>
        </w:tc>
        <w:tc>
          <w:tcPr>
            <w:tcW w:w="180" w:type="dxa"/>
            <w:vAlign w:val="bottom"/>
          </w:tcPr>
          <w:p>
            <w:pPr>
              <w:spacing w:after="0"/>
              <w:rPr>
                <w:sz w:val="10"/>
                <w:szCs w:val="10"/>
                <w:color w:val="auto"/>
              </w:rPr>
            </w:pPr>
          </w:p>
        </w:tc>
        <w:tc>
          <w:tcPr>
            <w:tcW w:w="720" w:type="dxa"/>
            <w:vAlign w:val="bottom"/>
          </w:tcPr>
          <w:p>
            <w:pPr>
              <w:jc w:val="right"/>
              <w:ind w:right="93"/>
              <w:spacing w:after="0" w:line="120" w:lineRule="exact"/>
              <w:rPr>
                <w:sz w:val="20"/>
                <w:szCs w:val="20"/>
                <w:color w:val="auto"/>
              </w:rPr>
            </w:pPr>
            <w:r>
              <w:rPr>
                <w:rFonts w:ascii="Arial" w:cs="Arial" w:eastAsia="Arial" w:hAnsi="Arial"/>
                <w:sz w:val="13"/>
                <w:szCs w:val="13"/>
                <w:b w:val="1"/>
                <w:bCs w:val="1"/>
                <w:color w:val="auto"/>
                <w:w w:val="98"/>
              </w:rPr>
              <w:t>Retained</w:t>
            </w:r>
          </w:p>
        </w:tc>
        <w:tc>
          <w:tcPr>
            <w:tcW w:w="1480" w:type="dxa"/>
            <w:vAlign w:val="bottom"/>
            <w:gridSpan w:val="2"/>
          </w:tcPr>
          <w:p>
            <w:pPr>
              <w:jc w:val="right"/>
              <w:ind w:right="72"/>
              <w:spacing w:after="0" w:line="120" w:lineRule="exact"/>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0"/>
                <w:szCs w:val="10"/>
                <w:color w:val="auto"/>
              </w:rPr>
            </w:pPr>
          </w:p>
        </w:tc>
        <w:tc>
          <w:tcPr>
            <w:tcW w:w="1040" w:type="dxa"/>
            <w:vAlign w:val="bottom"/>
          </w:tcPr>
          <w:p>
            <w:pPr>
              <w:jc w:val="center"/>
              <w:ind w:right="93"/>
              <w:spacing w:after="0" w:line="120" w:lineRule="exact"/>
              <w:rPr>
                <w:sz w:val="20"/>
                <w:szCs w:val="20"/>
                <w:color w:val="auto"/>
              </w:rPr>
            </w:pPr>
            <w:r>
              <w:rPr>
                <w:rFonts w:ascii="Arial" w:cs="Arial" w:eastAsia="Arial" w:hAnsi="Arial"/>
                <w:sz w:val="13"/>
                <w:szCs w:val="13"/>
                <w:b w:val="1"/>
                <w:bCs w:val="1"/>
                <w:color w:val="auto"/>
                <w:w w:val="96"/>
              </w:rPr>
              <w:t>Shareholders’</w:t>
            </w:r>
          </w:p>
        </w:tc>
        <w:tc>
          <w:tcPr>
            <w:tcW w:w="200" w:type="dxa"/>
            <w:vAlign w:val="bottom"/>
          </w:tcPr>
          <w:p>
            <w:pPr>
              <w:spacing w:after="0"/>
              <w:rPr>
                <w:sz w:val="10"/>
                <w:szCs w:val="10"/>
                <w:color w:val="auto"/>
              </w:rPr>
            </w:pPr>
          </w:p>
        </w:tc>
        <w:tc>
          <w:tcPr>
            <w:tcW w:w="1140" w:type="dxa"/>
            <w:vAlign w:val="bottom"/>
          </w:tcPr>
          <w:p>
            <w:pPr>
              <w:jc w:val="right"/>
              <w:ind w:right="133"/>
              <w:spacing w:after="0" w:line="120" w:lineRule="exact"/>
              <w:rPr>
                <w:sz w:val="20"/>
                <w:szCs w:val="20"/>
                <w:color w:val="auto"/>
              </w:rPr>
            </w:pPr>
            <w:r>
              <w:rPr>
                <w:rFonts w:ascii="Arial" w:cs="Arial" w:eastAsia="Arial" w:hAnsi="Arial"/>
                <w:sz w:val="13"/>
                <w:szCs w:val="13"/>
                <w:b w:val="1"/>
                <w:bCs w:val="1"/>
                <w:color w:val="auto"/>
                <w:w w:val="99"/>
              </w:rPr>
              <w:t>Noncontrolling</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78"/>
        </w:trPr>
        <w:tc>
          <w:tcPr>
            <w:tcW w:w="28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7"/>
              </w:rPr>
              <w:t>Value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Earnings</w:t>
            </w: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Comprehensive Loss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rPr>
              <w:t>Equity</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Interest</w:t>
            </w:r>
          </w:p>
        </w:tc>
        <w:tc>
          <w:tcPr>
            <w:tcW w:w="8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96"/>
              </w:rPr>
              <w:t>Total Equity</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2014</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72.1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496.4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1,412.0</w:t>
            </w:r>
          </w:p>
        </w:tc>
        <w:tc>
          <w:tcPr>
            <w:tcW w:w="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1,849.9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1,859.4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174.5</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174.5</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170.5</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(16.8)</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(16.8)</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Investment by noncontrolling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0.5</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16.9</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16.9</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16.9</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(70.5)</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(70.5)</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(50.3)</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(50.3)</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2015</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70.8</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435.3</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1,569.4</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(109.5)</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1,895.9</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1,905.9</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126.5</w:t>
            </w: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126.5</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126.4</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(16.6)</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19.7</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19.7</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related to share-based payment awards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including income tax benefit of $1.6 million</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9"/>
        </w:trPr>
        <w:tc>
          <w:tcPr>
            <w:tcW w:w="2880" w:type="dxa"/>
            <w:vAlign w:val="bottom"/>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(41.2)</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(41.2)</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Acquisition of remaining 49% equity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(10.9)</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(45.4)</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(45.4)</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December 31, 2016</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69.9</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399.9</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1,679.3</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(154.8)</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1,925.0</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1,940.0</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(170.2)</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(170.2)</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(170.3)</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(16.3)</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Distribution of noncontrolling interest</w:t>
            </w: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21.3</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21.3</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21.3</w:t>
            </w:r>
          </w:p>
        </w:tc>
      </w:tr>
      <w:tr>
        <w:trPr>
          <w:trHeight w:val="175"/>
        </w:trPr>
        <w:tc>
          <w:tcPr>
            <w:tcW w:w="2880" w:type="dxa"/>
            <w:vAlign w:val="bottom"/>
          </w:tcPr>
          <w:p>
            <w:pPr>
              <w:ind w:left="40"/>
              <w:spacing w:after="0"/>
              <w:rPr>
                <w:sz w:val="20"/>
                <w:szCs w:val="20"/>
                <w:color w:val="auto"/>
              </w:rPr>
            </w:pPr>
            <w:r>
              <w:rPr>
                <w:rFonts w:ascii="Arial" w:cs="Arial" w:eastAsia="Arial" w:hAnsi="Arial"/>
                <w:sz w:val="14"/>
                <w:szCs w:val="14"/>
                <w:color w:val="auto"/>
              </w:rPr>
              <w:t>Issuance (cancellation) of common stock</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rPr>
              <w:t>related to share-based payment awards</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82"/>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49"/>
        </w:trPr>
        <w:tc>
          <w:tcPr>
            <w:tcW w:w="28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taxes related to share-based payment awards</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(4.3)</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3"/>
        </w:trPr>
        <w:tc>
          <w:tcPr>
            <w:tcW w:w="288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22"/>
                <w:szCs w:val="22"/>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(61.9)</w:t>
            </w:r>
          </w:p>
        </w:tc>
        <w:tc>
          <w:tcPr>
            <w:tcW w:w="18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(61.9)</w:t>
            </w:r>
          </w:p>
        </w:tc>
        <w:tc>
          <w:tcPr>
            <w:tcW w:w="2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1"/>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28.3</w:t>
            </w: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28.3</w:t>
            </w: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29.8</w:t>
            </w: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December 31, 2017</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67.7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354.9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1,492.8</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1,721.9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16.0</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1,738.0</w:t>
            </w: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(loss) including noncontrolling interest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170.5</w:t>
            </w:r>
          </w:p>
        </w:tc>
      </w:tr>
      <w:tr>
        <w:trPr>
          <w:trHeight w:val="21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including noncontrolling interest to net cash</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provided by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bad debt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Share-based payment award compensation costs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Goodwill and other impairments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Foreign currency losses (gains), net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acquisitions: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485.0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81.4</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Short-term derivative assets, net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81.5</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collateral with financial counterparties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133.3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(481.5)</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deposits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(141.9)</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Non-current income tax, net and 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adjustments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276.9</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205.2</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businesses, net of cash acquired and other investments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73"/>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Borrowings of debt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4,472.7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4,688.0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4,831.2</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Repayments of debt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Dividends paid on common stock</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common stock</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5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340.9</w:t>
            </w:r>
          </w:p>
        </w:tc>
        <w:tc>
          <w:tcPr>
            <w:tcW w:w="1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64"/>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280.2</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Cash and cash equivalents, as of beginning of period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302.3</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as of end of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00"/>
          </w:cols>
          <w:pgMar w:left="240" w:top="140" w:right="2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 – (CONTINUED)</w:t>
      </w:r>
    </w:p>
    <w:p>
      <w:pPr>
        <w:spacing w:after="0"/>
        <w:rPr>
          <w:sz w:val="20"/>
          <w:szCs w:val="20"/>
          <w:color w:val="auto"/>
        </w:rPr>
      </w:pPr>
      <w:r>
        <w:rPr>
          <w:rFonts w:ascii="Arial" w:cs="Arial" w:eastAsia="Arial" w:hAnsi="Arial"/>
          <w:sz w:val="18"/>
          <w:szCs w:val="18"/>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during the year for:</w:t>
            </w: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64.9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40.7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33.1</w:t>
            </w:r>
          </w:p>
        </w:tc>
      </w:tr>
      <w:tr>
        <w:trPr>
          <w:trHeight w:val="284"/>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06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50.8</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37.5</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44.0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$4.0 million and $4.1 million as of December 31, 2017 and December 31,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00"/>
          </w:cols>
          <w:pgMar w:left="240" w:top="140"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NOTES TO THE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(“2017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consolidated financial statements and related notes include our parent company and all wholly</w:t>
      </w:r>
      <w:r>
        <w:rPr>
          <w:rFonts w:ascii="MS PGothic" w:cs="MS PGothic" w:eastAsia="MS PGothic" w:hAnsi="MS PGothic"/>
          <w:sz w:val="18"/>
          <w:szCs w:val="18"/>
          <w:color w:val="auto"/>
        </w:rPr>
        <w:t>‑</w:t>
      </w:r>
      <w:r>
        <w:rPr>
          <w:rFonts w:ascii="Arial" w:cs="Arial" w:eastAsia="Arial" w:hAnsi="Arial"/>
          <w:sz w:val="18"/>
          <w:szCs w:val="18"/>
          <w:color w:val="auto"/>
        </w:rPr>
        <w:t>owned and majority</w:t>
      </w:r>
      <w:r>
        <w:rPr>
          <w:rFonts w:ascii="MS PGothic" w:cs="MS PGothic" w:eastAsia="MS PGothic" w:hAnsi="MS PGothic"/>
          <w:sz w:val="18"/>
          <w:szCs w:val="18"/>
          <w:color w:val="auto"/>
        </w:rPr>
        <w:t>‑</w:t>
      </w:r>
      <w:r>
        <w:rPr>
          <w:rFonts w:ascii="Arial" w:cs="Arial" w:eastAsia="Arial" w:hAnsi="Arial"/>
          <w:sz w:val="18"/>
          <w:szCs w:val="18"/>
          <w:color w:val="auto"/>
        </w:rPr>
        <w:t>owned subsidiaries and joint ventures where we exercise control. Our consolidated financial statements include the operations of an acquired business after the completion of the acquisition. The decision of whether or not to consolidate an entity requires consideration of majority voting interests, as well as effective economic or other control over the entity. The consolidated financial statements are prepared in accordance with accounting principles generally accepted in the United States of America (“U.S. GAAP”). Our fiscal year-end is as of and for the year ended December 31 for each year presented. All transactions among our businesses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pertaining to our acquisitions, refer to Note 3.</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New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In January 2017, Accounting Standards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(“ASU”) 2017-04 was issued, which simplifies the accounting for goodwill impairment by eliminating the requirement to perform a hypothetical purchase price allocation. As a result, an entity should recognize an impairment charge for the amount by which the carrying value of a reporting unit exceeds its fair value, not to exceed the total amount of goodwill allocated to that reporting unit. We have early adopted ASU 2017-04 and applied the new guidance for our goodwill impairment tests that were performed during the fourth quarter.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Revenue Recognition (Topic 606): Revenue from Contracts with Customers. </w:t>
      </w:r>
      <w:r>
        <w:rPr>
          <w:rFonts w:ascii="Arial" w:cs="Arial" w:eastAsia="Arial" w:hAnsi="Arial"/>
          <w:sz w:val="18"/>
          <w:szCs w:val="18"/>
          <w:color w:val="auto"/>
        </w:rPr>
        <w:t>In May 2014, ASU 2014-09 was issued. Under this ASU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issued amendments, an entity is required to recognize the amount of revenue it expects to be entitled to for the transfer of promised goods or services to customers. The updated standard will replace most existing revenue recognition guidance in U.S. GAAP. This ASU provides alternative methods of transition, a full retrospective and a modified retrospective approach. The modified retrospective approach would result in recognition of the cumulative impact of a retrospective application as of the beginning of the period of initial application, which in our case is the period beginning January 1, 2018.</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preparation for adoption, we initially developed a cross-functional team and utilized a third-party service provider to assist us throughout our evaluation. In addition, we factored in the adoption into our ongoing enterprise resource planning platform upgrade, which we previously committed to perform.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have completed our review of a representative sample of contracts across each of our revenue streams. Through this process, we have made determinations on how our revenue streams will be accounted for after adoption, concluding that we will have similar performance obligations and timing of revenue recognition under ASC 606, as compared to those prior to adoption.</w:t>
      </w:r>
    </w:p>
    <w:p>
      <w:pPr>
        <w:spacing w:after="0" w:line="1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result of completing these activities, we have prepared and made accessible internally our revenue recognition policy, which captures those decisions. We conducted an initial training that was distributed to our finance and accounting organization and we continue to train our commercial and operational teams on the relevant facets of our revenue recognition policy. We identified and implemented appropriate changes to our business processes and controls to support our revenue recognition and associated disclosure requirements under the new standard. An important aspect of adoption is the design of our contract management review process and its impact on the control environment. The ongoing training activities will also serve as a platform to communicate certain process changes associated with our contract review process.</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selected the modified retrospective adoption approach, and the cumulative adjustment did not have a material impact on our financial statements. We anticipate certain disclosure changes, specifically as it relates to the financial statement line items where certain costs are recorded. Accordingly, the adoption of the new standard will not have a material impact on our financial statements after adoption.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Leases (Topic 842): Leases. </w:t>
      </w:r>
      <w:r>
        <w:rPr>
          <w:rFonts w:ascii="Arial" w:cs="Arial" w:eastAsia="Arial" w:hAnsi="Arial"/>
          <w:sz w:val="18"/>
          <w:szCs w:val="18"/>
          <w:color w:val="auto"/>
        </w:rPr>
        <w:t>In February 2016, ASU 2016-02 was issued. This standard will require all lessees to recognize a right of use asset</w:t>
      </w:r>
      <w:r>
        <w:rPr>
          <w:rFonts w:ascii="Arial" w:cs="Arial" w:eastAsia="Arial" w:hAnsi="Arial"/>
          <w:sz w:val="18"/>
          <w:szCs w:val="18"/>
          <w:i w:val="1"/>
          <w:iCs w:val="1"/>
          <w:color w:val="auto"/>
        </w:rPr>
        <w:t xml:space="preserve"> </w:t>
      </w:r>
      <w:r>
        <w:rPr>
          <w:rFonts w:ascii="Arial" w:cs="Arial" w:eastAsia="Arial" w:hAnsi="Arial"/>
          <w:sz w:val="18"/>
          <w:szCs w:val="18"/>
          <w:color w:val="auto"/>
        </w:rPr>
        <w:t>and a lease liability on the balance sheet, except for leases with durations that are less than twelve months. This standard is effective at the beginning of our 2019 fiscal year. We are currently evaluating whether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Statement of Cash Flows (Topic 230): Classification of Certain Cash Receipts and Cash Payments. </w:t>
      </w:r>
      <w:r>
        <w:rPr>
          <w:rFonts w:ascii="Arial" w:cs="Arial" w:eastAsia="Arial" w:hAnsi="Arial"/>
          <w:sz w:val="18"/>
          <w:szCs w:val="18"/>
          <w:color w:val="auto"/>
        </w:rPr>
        <w:t>In August 2016 ASU 2016-15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provides guidance on classification of eight specific cash flows items. This standard is effective at the beginning of our 2018 fiscal year. We are currently evaluating whether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ASU 2017-01 was issued. The update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businesses. This standard is effective at the beginning of our 2018 fiscal year. We do not believe the adoption of this new guidance will have a material impact on our consolidated financial statements and related disclosures.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Derivatives and Hedging (Topic 815): Targeted Improvements to Accounting for Hedging Activities. </w:t>
      </w:r>
      <w:r>
        <w:rPr>
          <w:rFonts w:ascii="Arial" w:cs="Arial" w:eastAsia="Arial" w:hAnsi="Arial"/>
          <w:sz w:val="18"/>
          <w:szCs w:val="18"/>
          <w:color w:val="auto"/>
        </w:rPr>
        <w:t>In August 2017, ASU 2017-12 was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is targeted at simplifying the application of hedge accounting and is effective at the beginning of our 2019 fiscal year. The amended guidance aims at aligning the recognition and presentation of the effects of hedge instruments and hedge items. We are currently evaluating whether the adoption of this new guidance will have a material impact on our consolidated financial statements and related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Estimates and Assumptions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and Cash Equivalents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Accounts Receivable and Allowance for Bad Debt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accounts receivables credit terms are generally 30-60 days. Accounts receivable balances that are not paid within the terms of the sales agreement are generally subject to finance fees, based on the outstanding balance. Credit extension, monitoring and collection are performed for each of our business segments. Each business segment has a credit function that is responsible for establishing credit limits and approving limits above previously approved amounts,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 Although we analyze customers’ payment history and creditworthiness, we cannot predict with certainty that the customers to whom we extend credit will be able to remit payments on a timely basis, or at all. Because we extend credit on an unsecured basis to most of our customers, there is a possibility that any accounts receivable not collected will ultimately need to be written off. Write-offs for the year ended December 31, 2017 did not have a material impact on our consolidated statement of operations.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continuously monitor the composition of accounts receivable,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Principally based on these factors, an internally derived risk-based reserve is established on a quarterly basis. In addition to a risk-based reserve, a specific reserve is established for certain customers, based on customer receivable balances, overall exposure, payment history, current and expected market conditions, business developments, and other factors that influence the likelihood of collectability.</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 payment trends may not be an accurate indicator of current or future credit worthiness of our customers, particularly in difficult economic and financial markets. As a result of the limited predictability inherent in estimating which customers are less likely or unlikely to remit amounts owed to us, our provision for estimated credit losses may not be sufficient. Any write-off of accounts receivable in excess of our provision for estimated credit losses would have an adverse effect on our results of operations. If credit losses exceed established allowances, our business, financial condition, results of operations and cash flows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Inventories are valued primarily using weighted average cost, and first-in first-out in certain limited locations, and are stated at the lower of average cost or net realizable value. We utilize a variety of fuel indices and other indicators of market value. Sharp negative changes in these indices can result in reduction of our inventory valuation, which could have an adverse impact on our results of operations in the period in which we take the adjustment. Historically these adjustments have not had a material impact on our consolidated statements of operations. Components of inventory include fuel purchase costs, the related transportation costs and changes in the estimated fair market values for inventories included in a fair value hedge relationship.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Business Combinations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business combinations using the acquisition method of accounting, under which the purchase price of the acquisition is allocated to the assets acquired and liabilities assumed using the fair values determined by management as of the acquisition date. We calculate the fair value based on the present value of estimated future cash flows. The estimated future cash flows are based on the best information available to us at the time. Acquisition-related costs incurred in connection with a business combination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of Financial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measure the fair value of financial instruments using observable and unobservable inputs. Observable inputs reflect what market participants would use in pricing the instrument, based on publicly available market data obtained from sources independent of us. Unobservable inputs are inputs for which market data are not available and reflect internal market assumptions.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guidance establishes the following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 Quoted prices in active markets.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Level 2 Inputs - Quoted prices for similar instruments in active markets other than quoted prices included within Level 1, quoted prices for identical or similar instruments in markets that are not active; and model based valuations whose inputs are observable.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 Inputs that are unobservable.</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policy is to recognize transfers between levels as of the beginning of the reporting period in which the event or change in circumstance caused the transfer to occur. There were no significant changes to our valuation techniques during 2017 and 2016. For additional information pertaining to our fair value measurements, see Note 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due to changes in foreign currency exchange rates. While we currently believe that our derivative contracts will be effective in mitigating the associated price risks, it is possible that our derivative instruments will be ineffective at mitigating material changes in prices, which could have an adverse impact on our financial position and results of operations. At the inception and on an ongoing basis, we assess the hedging relationship to determine its effectiveness in offsetting changes in cash flows or fair value attributable to the hedged risk.</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derivative contracts are recognized at their estimated fair market value in accordance with the accounting guidance for fair value measurements. The fair value of our derivatives is derived using observable and certain unobservable inputs, such as basis differentials, which are based on the difference between the historical prices of our prior transactions and the underlying observable data. Measurement of the fair value of our derivatives also requires the assessment of certain risks related to non-performance, which requires a significant amount of judgment. The effect on our income before income taxes of a 10% change in the model input for non-performance risk would not be material to our consolidated statements of operations.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the derivative instrument is not designated as a hedge, changes in the estimated fair market value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For our cash flow hedges, the effective portion of the changes in the fair market value of the hedging instrument is initially recognized as a component of other comprehensive income and subsequently reclassified into the same line item as the underlying forecasted transaction when both are settled or deemed probable of not occurring. The ineffective portion of the changes in the estimated fair market value of the hedging instrument is recognized in the same line item as the underlying transaction type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will be classified in a manner consistent with the nature of the instrument. For more information on our derivatives, see Note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Property and Equipment</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primarily by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8"/>
          <w:szCs w:val="18"/>
          <w:color w:val="auto"/>
        </w:rPr>
        <w:t>‑</w:t>
      </w:r>
      <w:r>
        <w:rPr>
          <w:rFonts w:ascii="Arial" w:cs="Arial" w:eastAsia="Arial" w:hAnsi="Arial"/>
          <w:sz w:val="18"/>
          <w:szCs w:val="18"/>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Purchases of computer software are capitalized. External costs and certain internal costs directly associated with developing significant computer software applications for internal use are capitalized. Computer software costs are amortized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life of the software.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Identifiable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Goodwill is evaluated for impairment at the reporting unit level and is initially based on an assessment of qualitative factors to determine whether it is more likely than not that the fair value of any individual reporting unit is less than its carrying amount. Such events or circumstances could include a material adverse change in the markets where we operate, similar to the current conditions within the shipping and offshore markets, limited market volatility, which adversely impact our supply and trading activities, among others.</w:t>
      </w:r>
    </w:p>
    <w:p>
      <w:pPr>
        <w:spacing w:after="0" w:line="16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 determine whether goodwill is impaired, we would compare the fair value of the reporting units to which goodwill was assigned to their respective carrying values to measure the amount of goodwill impairment, if any. In calculating fair value, we use a combination of both an income and market approach as our primary indicator of fair value. Under the market approach we use a selection of global companies that correspond to each reporting unit to derive a market-based multiple. Under the income approach, we calculate the fair value of a reporting unit based on the present value of estimated future cash flows. The estimated future cash flows are based on the best information available to us at the time, including our annual operating plan, which is completed annually during the fourth quarter and is approved by our Board of Directors. Our estimates are considered supportable assumptions that we believe are reasonable based on information available to us at that time, and are based on a number of factors including industry experience, internal benchmarks, and the economic environment. Our cash flow estimates are discounted using rates that correspond to a weighted-average cost of capital consistent with those used internally for investment decisions.</w:t>
      </w:r>
    </w:p>
    <w:p>
      <w:pPr>
        <w:spacing w:after="0" w:line="17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If our annual operating plan is not achieved or if there are other variations to our estimates and assumptions, particularly in the expected growth rates and profitability embedded in our cash flow projections or the discount rate used, there is the potential for a partial or total impairment of the carrying amount of goodwill within one or more of our reporting units. If we are required to impair all or a substantial amount of the goodwill attributable to one or more of our reporting units, our financial results of operations and financial condition could be adversely affected.</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our acquisitions, we record identifiable intangible assets at fair value. The determination of the fair values of our identifiable intangible assets involves a significant amount of forecasting and other assumptions associated with recently acquired businesses for which we may not have as much historical information or trend data as we would for our existing businesses.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during the fourth quarter of each year for potential impairment. Our impairment analysis of our intangible assets not subject to amortization (primarily trademarks and/or trade names) generally involves the use of qualitative and quantitative analyses to estimate whether the estimated future cash flows generated as a result of these assets will be greater than or equal to the carrying value assigned to such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pertaining to our 2017 impairment assessment, see Note 7, Goodwill and Identifiable Intangible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Other Investments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of the entities and exercise significant influence over the investee, but do not have operational or financial control. As of December 31, 2017 and 2016, we had other investments of $70.9 million and $67.2 million, respectively, which are included within identifiable intangible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 In 2017, we recorded a $9.0 million other-than-temporary impairment charge for two underperforming investments in the land segment, which is included in goodwill and other impairment on our consolidated statements of income and comprehensive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Revenue Recognition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execute contracts with customers through a variety of methods including by executing a master supply or blanket sales agreement combined with a purchase order or delivery ticket, stand-alone contracts, or through spot transactions where fuel is delivered for immediate settlement. Our contracts primarily require us to deliver fuel and fuel-related products, while other arrangements require us to complete agreed-upon services. Our contracts may contain fixed or variable pricing or some combination of those.</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majority of our consolidated revenues are generated through the sale of fuel and fuel-related products. Revenue from the sale of fuel is recognized when delivery is made to our customers and title has passed, the sales price is determinable, and collectability is reasonably assured.</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fuel sales are generated as a fuel reseller as well as from inventory supply. When acting as a fuel reseller, we generally purchase fuel from the supplier, and contemporaneously resell the fuel to the customer, normally taking delivery for purchased fuel at the same place and time as the delivery is made to the customer.</w:t>
      </w:r>
    </w:p>
    <w:p>
      <w:pPr>
        <w:spacing w:after="0" w:line="16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from services, including energy procurement advisory services and international trip planning support, and transaction and payment management processing, are recognized over the contract period when services have been performed and we have the right to invoice for those services.</w:t>
      </w:r>
    </w:p>
    <w:p>
      <w:pPr>
        <w:spacing w:after="0" w:line="16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record fuel sales and services on a gross basis as we generally take inventory risk, have latitude in establishing the sales price, have discretion in the supplier selection, maintain credit risk and are the primary obligor in the sales arrangement.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Whether the services have been performed and when title and risk of loss passes to the customer are the factors we take into consideration in deciding when to recognize revenue. These factors are readily determinable and consistently applied throughout our business. Therefore, we generally have not needed to make material estimates or assumptions with respect to revenue recognition.</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 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We utilize our historical forfeiture rates to calculate future expected forfeitures. These estimates can vary significantly from actual forfeiture rates experienced. Our estimated forfeiture rates have historically approximated actual forfeitures.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Foreign Currency</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8"/>
          <w:szCs w:val="18"/>
          <w:color w:val="auto"/>
        </w:rPr>
        <w:t>‑</w:t>
      </w:r>
      <w:r>
        <w:rPr>
          <w:rFonts w:ascii="Arial" w:cs="Arial" w:eastAsia="Arial" w:hAnsi="Arial"/>
          <w:sz w:val="18"/>
          <w:szCs w:val="18"/>
          <w:color w:val="auto"/>
        </w:rPr>
        <w:t>end exchange rates. Foreign currency transaction gains and losses are included in other income (expense), net, in the accompanying consolidated statements of income and comprehensive income in the period incurred.</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remaining carrying value of our deferred tax assets, after recording the valuation allowance on our deferred tax assets, is based on our present belief that it is more likely than not that we will be able to generate sufficient future taxable income in certain tax jurisdictions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of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Earnings per Common Share</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Diluted earnings per common share is computed by dividing net income attributable to World Fuel and available to common shareholders by the sum of the weighted average number of shares of common stock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8"/>
          <w:szCs w:val="18"/>
          <w:color w:val="auto"/>
        </w:rPr>
        <w:t>‑</w:t>
      </w:r>
      <w:r>
        <w:rPr>
          <w:rFonts w:ascii="Arial" w:cs="Arial" w:eastAsia="Arial" w:hAnsi="Arial"/>
          <w:sz w:val="18"/>
          <w:szCs w:val="18"/>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(loss) attributable to World Fuel</w:t>
            </w:r>
          </w:p>
        </w:tc>
        <w:tc>
          <w:tcPr>
            <w:tcW w:w="100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(170.2)</w:t>
            </w:r>
          </w:p>
        </w:tc>
        <w:tc>
          <w:tcPr>
            <w:tcW w:w="106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126.5</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174.5</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0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6360" w:type="dxa"/>
            <w:vAlign w:val="bottom"/>
          </w:tcPr>
          <w:p>
            <w:pPr>
              <w:ind w:left="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1000" w:type="dxa"/>
            <w:vAlign w:val="bottom"/>
          </w:tcPr>
          <w:p>
            <w:pPr>
              <w:spacing w:after="0"/>
              <w:rPr>
                <w:sz w:val="22"/>
                <w:szCs w:val="22"/>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68.1</w:t>
            </w:r>
          </w:p>
        </w:tc>
        <w:tc>
          <w:tcPr>
            <w:tcW w:w="106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4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70.2</w:t>
            </w:r>
          </w:p>
        </w:tc>
      </w:tr>
      <w:tr>
        <w:trPr>
          <w:trHeight w:val="270"/>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0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304"/>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68.1</w:t>
            </w: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w:t>
            </w: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70.7</w:t>
            </w:r>
          </w:p>
        </w:tc>
      </w:tr>
      <w:tr>
        <w:trPr>
          <w:trHeight w:val="216"/>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securities which are not included in the calculation of diluted</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3"/>
        </w:trPr>
        <w:tc>
          <w:tcPr>
            <w:tcW w:w="63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4"/>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performance conditions have not been met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6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earnings (loss) per common share</w:t>
            </w:r>
          </w:p>
        </w:tc>
        <w:tc>
          <w:tcPr>
            <w:tcW w:w="100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6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w:t>
            </w:r>
          </w:p>
        </w:tc>
      </w:tr>
      <w:tr>
        <w:trPr>
          <w:trHeight w:val="251"/>
        </w:trPr>
        <w:tc>
          <w:tcPr>
            <w:tcW w:w="6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100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6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had accounts receivable of $2.7 billion and $2.3 billion, net of an allowance for bad debt of $27.8 million and $24.9 million, as of December 31, 2017 and 2016, respectively. Accounts receivable are written-off when it becomes apparent based upon customer circumstances that such amounts will not be collected.</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Receivables Purchase Agreements (“RPAs”) with Wells Fargo and Citibank, that allows for the sale of our accounts receivable, in an amount equal to either 90% or 100%, depending on the customer, of total balance, less a discount margin equivalent to LIBOR plus 1% to 3% and certain other fees, as applicable. Receivables sold under the RPAs are excluded from accounts receivable, net on the accompanying consolidated balance sheet. Under the terms of the RPAs, we retain a beneficial interest in certain of the sold accounts receivable of 10%, which is included in accounts receivable, net in the accompanying consolidated balance sheet. Fees and interest paid under the RPAs is recorded within "Interest expense and other financing costs, net" in the Consolidated Statements of Comprehensive Income.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sold accounts receivable of $ 377.3 million and $235.5 million under the RPAs, as of December 31, 2017 and 2016, respectively. In addition, we have a $15.9 million and $11.4 million retained beneficial interest in the transferred receivables as of December 31, 2017 and 2016, respectively. The fees and interest paid under the RPA were $12.4 million, $4.8 million, and $2.8 million, for 2017, 2016 and 2015, respectively. Under the RPAs, we sold $6.1 billion and $3.0 billion of accounts receivable during 2017 and 2016, respectively and collected $5.9 billion and $2.9 billion of accounts receivables during 2017 and 2016,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282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Charges to provision for bad debt</w:t>
            </w:r>
          </w:p>
        </w:tc>
        <w:tc>
          <w:tcPr>
            <w:tcW w:w="282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22"/>
                <w:szCs w:val="22"/>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Write-off of uncollectible accounts receivable</w:t>
            </w:r>
          </w:p>
        </w:tc>
        <w:tc>
          <w:tcPr>
            <w:tcW w:w="28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Recoveries of bad debt</w:t>
            </w:r>
          </w:p>
        </w:tc>
        <w:tc>
          <w:tcPr>
            <w:tcW w:w="282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22"/>
                <w:szCs w:val="22"/>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0"/>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8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as of end of period</w:t>
            </w:r>
          </w:p>
        </w:tc>
        <w:tc>
          <w:tcPr>
            <w:tcW w:w="282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24.9</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39"/>
        </w:trPr>
        <w:tc>
          <w:tcPr>
            <w:tcW w:w="4620" w:type="dxa"/>
            <w:vAlign w:val="bottom"/>
          </w:tcPr>
          <w:p>
            <w:pPr>
              <w:spacing w:after="0"/>
              <w:rPr>
                <w:sz w:val="24"/>
                <w:szCs w:val="24"/>
                <w:color w:val="auto"/>
              </w:rPr>
            </w:pPr>
          </w:p>
        </w:tc>
        <w:tc>
          <w:tcPr>
            <w:tcW w:w="2820" w:type="dxa"/>
            <w:vAlign w:val="bottom"/>
          </w:tcPr>
          <w:p>
            <w:pPr>
              <w:jc w:val="right"/>
              <w:ind w:right="1559"/>
              <w:spacing w:after="0"/>
              <w:rPr>
                <w:sz w:val="20"/>
                <w:szCs w:val="20"/>
                <w:color w:val="auto"/>
              </w:rPr>
            </w:pPr>
            <w:r>
              <w:rPr>
                <w:rFonts w:ascii="Arial" w:cs="Arial" w:eastAsia="Arial" w:hAnsi="Arial"/>
                <w:sz w:val="14"/>
                <w:szCs w:val="14"/>
                <w:color w:val="auto"/>
              </w:rPr>
              <w:t>63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8680" w:firstLine="8"/>
        <w:spacing w:after="0" w:line="513" w:lineRule="auto"/>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 2017 Acquisitions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2017, we completed the acquisition of certain aviation fueling operations in Italy, Germany, Australia and New Zealand associated with the ExxonMobil transaction, further described below. We also completed five acquisitions during 2017 which were not material individually or in the aggregate.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summarizes the aggregate consideration paid for acquisitions during 2017 and the provisional amounts of the assets acquired and liabilities assumed, recognized at the acquisition date. We are in the process of finalizing the valuations of certain intangible assets; thus, the provisional measurements of these acquired assets and assumed liabilities are subject to change and will be finalized no later than one year from the acquisition date.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5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acquisition of businesses, net of cash acquired</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due to sellers</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Non-monetary consideration</w:t>
            </w:r>
          </w:p>
        </w:tc>
        <w:tc>
          <w:tcPr>
            <w:tcW w:w="9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05"/>
        </w:trPr>
        <w:tc>
          <w:tcPr>
            <w:tcW w:w="9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9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980" w:type="dxa"/>
            <w:vAlign w:val="bottom"/>
          </w:tcPr>
          <w:p>
            <w:pPr>
              <w:spacing w:after="0"/>
              <w:rPr>
                <w:sz w:val="22"/>
                <w:szCs w:val="22"/>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105.2</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and long-term assets</w:t>
            </w:r>
          </w:p>
        </w:tc>
        <w:tc>
          <w:tcPr>
            <w:tcW w:w="9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324"/>
        </w:trPr>
        <w:tc>
          <w:tcPr>
            <w:tcW w:w="9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9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 and deferred tax liabilities</w:t>
            </w:r>
          </w:p>
        </w:tc>
        <w:tc>
          <w:tcPr>
            <w:tcW w:w="9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Estimated purchase price</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w:t>
            </w:r>
          </w:p>
        </w:tc>
      </w:tr>
      <w:tr>
        <w:trPr>
          <w:trHeight w:val="20"/>
        </w:trPr>
        <w:tc>
          <w:tcPr>
            <w:tcW w:w="9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2017 acquisitions, we recorded goodwill of $63.5 million, of which $29.5 million is anticipated to be deductible for tax purposes. The goodwill, of which $51.3 million and $12.2 million is assigned to the aviation segment and land segment, respectively, is attributable primarily to the expected synergies and other benefits that we believe will result from combining the operations of the acquired businesses with the operations of World Fuel Services' aviation and land segments. The identifiable intangible assets consist of $41.7 million of customer relationships with weighted average lives of 8.0 years.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2017 acquisitions have been included in our consolidated financial statements since their respective acquisition dates and did not have a material impact on our consolidated revenue and net income for 2017. Accordingly, pro forma information for the 2017 acquisitions has not been provided as the impact is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ExxonMobil</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2016, we signed a definitive agreement to acquire from certain ExxonMobil affiliates their aviation fueling operations at more than 80 airport locations in Canada, the United Kingdom, Germany, Italy, France, Australia and New Zealand. The transaction closed in phases with the Canada, France and U.K. locations closing during the fourth quarter of 2016 and the remaining locations closing during the first quarter of 2017.</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 2016, we acquired all of the outstanding capital stock of PAPCO, Inc. (“PAPCO”) and Associated Petroleum Products, Inc. (“APP”). PAPCO, headquartered in Virginia Beach, Virginia and APP, headquartered in Tacoma, Washington are leading distributors of gasoline, diesel, lubricants, propane and related services in the Mid-Atlantic and the Pacific Northwest region of the U.S.,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140"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above acquisitions, we completed six acquisitions in our land segment in 2016 which were not material individually or in the aggregate.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aggregate consideration paid for the 2016 acquisitions and the amounts of the assets acquired and liabilities assumed recognized at the acquisition date. The purchase price allocation for the 2016 acquisitions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14605</wp:posOffset>
            </wp:positionV>
            <wp:extent cx="1166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Cash paid for acquisition of businesses, net of cash acquired</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424.3</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acquired</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Amounts due to sellers</w:t>
            </w:r>
          </w:p>
        </w:tc>
        <w:tc>
          <w:tcPr>
            <w:tcW w:w="7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 price</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446.9</w:t>
            </w:r>
          </w:p>
        </w:tc>
      </w:tr>
      <w:tr>
        <w:trPr>
          <w:trHeight w:val="20"/>
        </w:trPr>
        <w:tc>
          <w:tcPr>
            <w:tcW w:w="9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9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w:t>
            </w:r>
          </w:p>
        </w:tc>
        <w:tc>
          <w:tcPr>
            <w:tcW w:w="7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and notes receivable</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Goodwill and identifiable intangible assets</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291.9</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current and long-term assets</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324"/>
        </w:trPr>
        <w:tc>
          <w:tcPr>
            <w:tcW w:w="9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7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income tax liabilities and other long term liabilities</w:t>
            </w:r>
          </w:p>
        </w:tc>
        <w:tc>
          <w:tcPr>
            <w:tcW w:w="7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57"/>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Purchase price</w:t>
            </w: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446.9</w:t>
            </w:r>
          </w:p>
        </w:tc>
      </w:tr>
      <w:tr>
        <w:trPr>
          <w:trHeight w:val="20"/>
        </w:trPr>
        <w:tc>
          <w:tcPr>
            <w:tcW w:w="9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2016 acquisitions, we recorded goodwill of $173.3 million of which $133.4 million is anticipated to be deductible for tax purposes. The goodwill, of which $95.6 million and $77.7 million is assigned to the aviation segment and land segment, respectively, is attributable primarily to the expected synergies and other benefits that we believe will result from combining the operations of the acquired businesses with the operations of World Fuel Services' land and aviation segments. The identifiable intangible assets consisted of $105.1 million of customer relationships and $3.9 million of other identifiable intangible assets with weighted average lives of 5.6 years and 2.1 years, respectively, as well as $9.5 million of indefinite-lived trademark/trade name rights.</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presents the unaudited pro forma results for 2016 and 2015 as if 2016 and 2015 acquisitions had been completed on January 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20" w:type="dxa"/>
            <w:vAlign w:val="bottom"/>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1500" w:type="dxa"/>
            <w:vAlign w:val="bottom"/>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76"/>
        </w:trPr>
        <w:tc>
          <w:tcPr>
            <w:tcW w:w="5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20" w:type="dxa"/>
            <w:vAlign w:val="bottom"/>
          </w:tcPr>
          <w:p>
            <w:pPr>
              <w:jc w:val="right"/>
              <w:ind w:right="456"/>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24"/>
                <w:szCs w:val="24"/>
                <w:color w:val="auto"/>
              </w:rPr>
            </w:pPr>
          </w:p>
        </w:tc>
        <w:tc>
          <w:tcPr>
            <w:tcW w:w="1500" w:type="dxa"/>
            <w:vAlign w:val="bottom"/>
          </w:tcPr>
          <w:p>
            <w:pPr>
              <w:jc w:val="right"/>
              <w:ind w:right="456"/>
              <w:spacing w:after="0"/>
              <w:rPr>
                <w:sz w:val="20"/>
                <w:szCs w:val="20"/>
                <w:color w:val="auto"/>
              </w:rPr>
            </w:pPr>
            <w:r>
              <w:rPr>
                <w:rFonts w:ascii="Arial" w:cs="Arial" w:eastAsia="Arial" w:hAnsi="Arial"/>
                <w:sz w:val="14"/>
                <w:szCs w:val="14"/>
                <w:b w:val="1"/>
                <w:bCs w:val="1"/>
                <w:color w:val="auto"/>
              </w:rPr>
              <w:t>(pro forma)</w:t>
            </w:r>
          </w:p>
        </w:tc>
      </w:tr>
      <w:tr>
        <w:trPr>
          <w:trHeight w:val="276"/>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27,925.0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32,604.4</w:t>
            </w: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World Fuel</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146.1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202.0</w:t>
            </w:r>
          </w:p>
        </w:tc>
      </w:tr>
      <w:tr>
        <w:trPr>
          <w:trHeight w:val="331"/>
        </w:trPr>
        <w:tc>
          <w:tcPr>
            <w:tcW w:w="53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6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2.11</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2.88</w:t>
            </w: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rPr>
              <w:t>Diluted</w:t>
            </w:r>
          </w:p>
        </w:tc>
        <w:tc>
          <w:tcPr>
            <w:tcW w:w="2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2.09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2.86</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financial position, results of operations and cash flows of the 2016 acquisitions have been included in our consolidated financial statements since their respective acquisition dates and did not have a material impact on our revenue and net income for the year ended December 31, 2016.</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Tobras Distribuidora de Combustiveis Limitada</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2016, we acquired the remaining 49% of the outstanding equity interest of Tobras from the minority owners for an aggregate purchase price of approximately $3.7 million in cash (the “Tobras Acquisition”). Prior to the Tobras Acquisition, we owned 51% of the outstanding shares of Tobras and exercised control, and as such, we consolidated Tobras in our financial statements. As a result of the acquisition of the remaining equity interest of Tobras, we recorded a $10.9 million adjustment to capital in excess of par value on our consolidated balance sheets, which consisted of $3.7 million of cash paid and $7.2 million of non-controlling interest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derivative contracts we execute to mitigate the risk of price volatility in forecasted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 or</w:t>
      </w:r>
      <w:r>
        <w:rPr>
          <w:rFonts w:ascii="Arial" w:cs="Arial" w:eastAsia="Arial" w:hAnsi="Arial"/>
          <w:sz w:val="18"/>
          <w:szCs w:val="18"/>
          <w:i w:val="1"/>
          <w:iCs w:val="1"/>
          <w:color w:val="auto"/>
        </w:rPr>
        <w:t xml:space="preserve"> </w:t>
      </w:r>
      <w:r>
        <w:rPr>
          <w:rFonts w:ascii="Arial" w:cs="Arial" w:eastAsia="Arial" w:hAnsi="Arial"/>
          <w:sz w:val="18"/>
          <w:szCs w:val="18"/>
          <w:color w:val="auto"/>
        </w:rPr>
        <w:t>futures contracts as well as certain forward fixed price purchase and sale contracts, and for portfolio optimization. In addition, non-designated derivatives are held to hedge the risk of currency rate fluctuations.</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consolidated balance sheets (in millions):</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Gross Derivative Assets</w:t>
            </w:r>
          </w:p>
        </w:tc>
        <w:tc>
          <w:tcPr>
            <w:tcW w:w="252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Gross Derivative Liabilities</w:t>
            </w:r>
          </w:p>
        </w:tc>
      </w:tr>
      <w:tr>
        <w:trPr>
          <w:trHeight w:val="27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Derivative Instruments</w:t>
            </w:r>
          </w:p>
        </w:tc>
        <w:tc>
          <w:tcPr>
            <w:tcW w:w="12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Balance Sheet Location</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90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4100" w:type="dxa"/>
            <w:vAlign w:val="bottom"/>
            <w:gridSpan w:val="3"/>
          </w:tcPr>
          <w:p>
            <w:pPr>
              <w:ind w:left="24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0.4</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2.2</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w:t>
            </w:r>
          </w:p>
        </w:tc>
      </w:tr>
      <w:tr>
        <w:trPr>
          <w:trHeight w:val="276"/>
        </w:trPr>
        <w:tc>
          <w:tcPr>
            <w:tcW w:w="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4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100" w:type="dxa"/>
            <w:vAlign w:val="bottom"/>
            <w:gridSpan w:val="3"/>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22"/>
                <w:szCs w:val="22"/>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86.0</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43.1</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93.5</w:t>
            </w:r>
          </w:p>
        </w:tc>
      </w:tr>
      <w:tr>
        <w:trPr>
          <w:trHeight w:val="270"/>
        </w:trPr>
        <w:tc>
          <w:tcPr>
            <w:tcW w:w="2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spacing w:after="0"/>
              <w:rPr>
                <w:sz w:val="23"/>
                <w:szCs w:val="23"/>
                <w:color w:val="auto"/>
              </w:rPr>
            </w:pPr>
          </w:p>
        </w:tc>
        <w:tc>
          <w:tcPr>
            <w:tcW w:w="41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5.1</w:t>
            </w: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r>
      <w:tr>
        <w:trPr>
          <w:trHeight w:val="264"/>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2.7</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93.3</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43.6</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108.9</w:t>
            </w:r>
          </w:p>
        </w:tc>
      </w:tr>
      <w:tr>
        <w:trPr>
          <w:trHeight w:val="330"/>
        </w:trPr>
        <w:tc>
          <w:tcPr>
            <w:tcW w:w="20" w:type="dxa"/>
            <w:vAlign w:val="bottom"/>
            <w:shd w:val="clear" w:color="auto" w:fill="CCEEFF"/>
          </w:tcPr>
          <w:p>
            <w:pPr>
              <w:spacing w:after="0"/>
              <w:rPr>
                <w:sz w:val="24"/>
                <w:szCs w:val="24"/>
                <w:color w:val="auto"/>
              </w:rPr>
            </w:pPr>
          </w:p>
        </w:tc>
        <w:tc>
          <w:tcPr>
            <w:tcW w:w="3240" w:type="dxa"/>
            <w:vAlign w:val="bottom"/>
            <w:gridSpan w:val="2"/>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0"/>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4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191.4</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160.3</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123.3</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w:t>
            </w:r>
          </w:p>
        </w:tc>
      </w:tr>
      <w:tr>
        <w:trPr>
          <w:trHeight w:val="264"/>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100" w:type="dxa"/>
            <w:vAlign w:val="bottom"/>
            <w:gridSpan w:val="3"/>
          </w:tcPr>
          <w:p>
            <w:pPr>
              <w:ind w:left="24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18.2</w:t>
            </w:r>
          </w:p>
        </w:tc>
        <w:tc>
          <w:tcPr>
            <w:tcW w:w="400" w:type="dxa"/>
            <w:vAlign w:val="bottom"/>
          </w:tcPr>
          <w:p>
            <w:pPr>
              <w:spacing w:after="0"/>
              <w:rPr>
                <w:sz w:val="22"/>
                <w:szCs w:val="22"/>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17.1</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w:t>
            </w:r>
          </w:p>
        </w:tc>
      </w:tr>
      <w:tr>
        <w:trPr>
          <w:trHeight w:val="276"/>
        </w:trPr>
        <w:tc>
          <w:tcPr>
            <w:tcW w:w="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4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86.1</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52.5</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138.2</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112.2</w:t>
            </w:r>
          </w:p>
        </w:tc>
      </w:tr>
      <w:tr>
        <w:trPr>
          <w:trHeight w:val="264"/>
        </w:trPr>
        <w:tc>
          <w:tcPr>
            <w:tcW w:w="2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410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8.1</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13.5</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r>
      <w:tr>
        <w:trPr>
          <w:trHeight w:val="270"/>
        </w:trPr>
        <w:tc>
          <w:tcPr>
            <w:tcW w:w="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300.9</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238.0</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280.2</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217.2</w:t>
            </w:r>
          </w:p>
        </w:tc>
      </w:tr>
      <w:tr>
        <w:trPr>
          <w:trHeight w:val="324"/>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4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Short-term derivative assets, net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13.5</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r>
      <w:tr>
        <w:trPr>
          <w:trHeight w:val="264"/>
        </w:trPr>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4100" w:type="dxa"/>
            <w:vAlign w:val="bottom"/>
            <w:gridSpan w:val="3"/>
          </w:tcPr>
          <w:p>
            <w:pPr>
              <w:ind w:left="240"/>
              <w:spacing w:after="0"/>
              <w:rPr>
                <w:sz w:val="20"/>
                <w:szCs w:val="20"/>
                <w:color w:val="auto"/>
              </w:rPr>
            </w:pPr>
            <w:r>
              <w:rPr>
                <w:rFonts w:ascii="Arial" w:cs="Arial" w:eastAsia="Arial" w:hAnsi="Arial"/>
                <w:sz w:val="14"/>
                <w:szCs w:val="14"/>
                <w:color w:val="auto"/>
              </w:rPr>
              <w:t>Identifiable intangible and other non-current assets</w:t>
            </w:r>
          </w:p>
        </w:tc>
        <w:tc>
          <w:tcPr>
            <w:tcW w:w="38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0.9</w:t>
            </w:r>
          </w:p>
        </w:tc>
        <w:tc>
          <w:tcPr>
            <w:tcW w:w="500" w:type="dxa"/>
            <w:vAlign w:val="bottom"/>
          </w:tcPr>
          <w:p>
            <w:pPr>
              <w:spacing w:after="0"/>
              <w:rPr>
                <w:sz w:val="22"/>
                <w:szCs w:val="22"/>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76"/>
        </w:trPr>
        <w:tc>
          <w:tcPr>
            <w:tcW w:w="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41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1.6</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r>
      <w:tr>
        <w:trPr>
          <w:trHeight w:val="264"/>
        </w:trPr>
        <w:tc>
          <w:tcPr>
            <w:tcW w:w="2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4100" w:type="dxa"/>
            <w:vAlign w:val="bottom"/>
            <w:tcBorders>
              <w:bottom w:val="single" w:sz="8" w:color="CCEEFF"/>
            </w:tcBorders>
            <w:gridSpan w:val="3"/>
          </w:tcPr>
          <w:p>
            <w:pPr>
              <w:ind w:left="240"/>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64"/>
        </w:trPr>
        <w:tc>
          <w:tcPr>
            <w:tcW w:w="2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16.0</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r>
      <w:tr>
        <w:trPr>
          <w:trHeight w:val="264"/>
        </w:trPr>
        <w:tc>
          <w:tcPr>
            <w:tcW w:w="61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309.4</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253.9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288.9</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223.6</w:t>
            </w:r>
          </w:p>
        </w:tc>
      </w:tr>
      <w:tr>
        <w:trPr>
          <w:trHeight w:val="330"/>
        </w:trPr>
        <w:tc>
          <w:tcPr>
            <w:tcW w:w="2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58"/>
        </w:trPr>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derivatives</w:t>
            </w:r>
          </w:p>
        </w:tc>
        <w:tc>
          <w:tcPr>
            <w:tcW w:w="1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312.0</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347.2</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332.5</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332.5</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our derivative instruments measured at fair value after netting and collateral see Note 12.</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140"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December 31, 2017 (in millions):</w:t>
      </w: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7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4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Derivative Instruments</w:t>
            </w:r>
          </w:p>
        </w:tc>
        <w:tc>
          <w:tcPr>
            <w:tcW w:w="16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Units</w:t>
            </w: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6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Buy / Long</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BBL</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66.5</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 / Short</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BBL</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w:t>
            </w:r>
          </w:p>
        </w:tc>
      </w:tr>
      <w:tr>
        <w:trPr>
          <w:trHeight w:val="324"/>
        </w:trPr>
        <w:tc>
          <w:tcPr>
            <w:tcW w:w="8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16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Sell U.S. dollar, buy other currencies</w:t>
            </w:r>
          </w:p>
        </w:tc>
        <w:tc>
          <w:tcPr>
            <w:tcW w:w="1620" w:type="dxa"/>
            <w:vAlign w:val="bottom"/>
          </w:tcPr>
          <w:p>
            <w:pPr>
              <w:jc w:val="right"/>
              <w:ind w:right="228"/>
              <w:spacing w:after="0"/>
              <w:rPr>
                <w:sz w:val="20"/>
                <w:szCs w:val="20"/>
                <w:color w:val="auto"/>
              </w:rPr>
            </w:pPr>
            <w:r>
              <w:rPr>
                <w:rFonts w:ascii="Arial" w:cs="Arial" w:eastAsia="Arial" w:hAnsi="Arial"/>
                <w:sz w:val="14"/>
                <w:szCs w:val="14"/>
                <w:color w:val="auto"/>
              </w:rPr>
              <w:t>USD</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(255.8)</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U.S. dollar, sell other currencies</w:t>
            </w:r>
          </w:p>
        </w:tc>
        <w:tc>
          <w:tcPr>
            <w:tcW w:w="16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USD</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our use of derivative instruments, see </w:t>
      </w:r>
      <w:r>
        <w:rPr>
          <w:rFonts w:ascii="Arial" w:cs="Arial" w:eastAsia="Arial" w:hAnsi="Arial"/>
          <w:sz w:val="18"/>
          <w:szCs w:val="18"/>
          <w:i w:val="1"/>
          <w:iCs w:val="1"/>
          <w:color w:val="auto"/>
        </w:rPr>
        <w:t>Item 7A. Quantitative and Qualitative Disclosures About Market Risk.</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Realized and Unrealized Gain (Loss)</w:t>
            </w:r>
          </w:p>
        </w:tc>
        <w:tc>
          <w:tcPr>
            <w:tcW w:w="26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Realized and Unrealized Gain (Loss)</w:t>
            </w:r>
          </w:p>
        </w:tc>
        <w:tc>
          <w:tcPr>
            <w:tcW w:w="28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00" w:type="dxa"/>
            <w:vAlign w:val="bottom"/>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15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Location</w:t>
            </w: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Hedged Items</w:t>
            </w: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Location</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4"/>
        </w:trPr>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00" w:type="dxa"/>
            <w:vAlign w:val="bottom"/>
          </w:tcPr>
          <w:p>
            <w:pPr>
              <w:spacing w:after="0"/>
              <w:rPr>
                <w:sz w:val="22"/>
                <w:szCs w:val="22"/>
                <w:color w:val="auto"/>
              </w:rPr>
            </w:pPr>
          </w:p>
        </w:tc>
        <w:tc>
          <w:tcPr>
            <w:tcW w:w="1500" w:type="dxa"/>
            <w:vAlign w:val="bottom"/>
          </w:tcPr>
          <w:p>
            <w:pPr>
              <w:jc w:val="right"/>
              <w:ind w:right="828"/>
              <w:spacing w:after="0"/>
              <w:rPr>
                <w:sz w:val="20"/>
                <w:szCs w:val="20"/>
                <w:color w:val="auto"/>
              </w:rPr>
            </w:pPr>
            <w:r>
              <w:rPr>
                <w:rFonts w:ascii="Arial" w:cs="Arial" w:eastAsia="Arial" w:hAnsi="Arial"/>
                <w:sz w:val="14"/>
                <w:szCs w:val="14"/>
                <w:color w:val="auto"/>
              </w:rPr>
              <w:t>Revenue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jc w:val="right"/>
              <w:ind w:right="788"/>
              <w:spacing w:after="0"/>
              <w:rPr>
                <w:sz w:val="20"/>
                <w:szCs w:val="20"/>
                <w:color w:val="auto"/>
              </w:rPr>
            </w:pPr>
            <w:r>
              <w:rPr>
                <w:rFonts w:ascii="Arial" w:cs="Arial" w:eastAsia="Arial" w:hAnsi="Arial"/>
                <w:sz w:val="14"/>
                <w:szCs w:val="14"/>
                <w:color w:val="auto"/>
              </w:rPr>
              <w:t>Revenue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6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(25.3)</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10.8</w:t>
            </w: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1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15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recognized net losses in income representing hedge ineffectiveness of $22.7 million and $14.5 million for the years ended December 31, 2017 and 2016, respectively, and net gains of $ 16.1 million for the year ended December 31, 2015. There were no gains or losses for the year ended December 31, 2017, 2016 and 2015 that were excluded from the assessment of the effectiveness of our fair value hedges.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Amount of Gain (Loss) Recognized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Amount of Gain (Loss) Reclassified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in Accumulated Other</w:t>
            </w:r>
          </w:p>
        </w:tc>
        <w:tc>
          <w:tcPr>
            <w:tcW w:w="32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from Accumulated Other</w:t>
            </w:r>
          </w:p>
        </w:tc>
        <w:tc>
          <w:tcPr>
            <w:tcW w:w="300" w:type="dxa"/>
            <w:vAlign w:val="bottom"/>
          </w:tcPr>
          <w:p>
            <w:pPr>
              <w:spacing w:after="0"/>
              <w:rPr>
                <w:sz w:val="14"/>
                <w:szCs w:val="14"/>
                <w:color w:val="auto"/>
              </w:rPr>
            </w:pPr>
          </w:p>
        </w:tc>
        <w:tc>
          <w:tcPr>
            <w:tcW w:w="200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rPr>
              <w:t>For the 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Comprehensive Income (Effective</w:t>
            </w:r>
          </w:p>
        </w:tc>
        <w:tc>
          <w:tcPr>
            <w:tcW w:w="32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Comprehensive Income (Effective</w:t>
            </w:r>
          </w:p>
        </w:tc>
        <w:tc>
          <w:tcPr>
            <w:tcW w:w="30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5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Portion)</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Portion)</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Derivative Instruments</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(145.8)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Commodity contracts</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178.1</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ind w:left="40"/>
              <w:spacing w:after="0"/>
              <w:rPr>
                <w:sz w:val="20"/>
                <w:szCs w:val="20"/>
                <w:color w:val="auto"/>
              </w:rPr>
            </w:pPr>
            <w:r>
              <w:rPr>
                <w:rFonts w:ascii="Arial" w:cs="Arial" w:eastAsia="Arial" w:hAnsi="Arial"/>
                <w:sz w:val="14"/>
                <w:szCs w:val="14"/>
                <w:b w:val="1"/>
                <w:bCs w:val="1"/>
                <w:color w:val="auto"/>
              </w:rPr>
              <w:t>Amount of Gain (Loss) Recognized in Income (Ineffective Portion and Amount Excluded from Effectiveness Testing)</w:t>
            </w: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4"/>
        </w:trPr>
        <w:tc>
          <w:tcPr>
            <w:tcW w:w="8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44"/>
        </w:trPr>
        <w:tc>
          <w:tcPr>
            <w:tcW w:w="8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r>
      <w:tr>
        <w:trPr>
          <w:trHeight w:val="264"/>
        </w:trPr>
        <w:tc>
          <w:tcPr>
            <w:tcW w:w="8000" w:type="dxa"/>
            <w:vAlign w:val="bottom"/>
            <w:tcBorders>
              <w:bottom w:val="single" w:sz="8" w:color="auto"/>
            </w:tcBorders>
          </w:tcPr>
          <w:p>
            <w:pPr>
              <w:ind w:left="370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r>
      <w:tr>
        <w:trPr>
          <w:trHeight w:val="264"/>
        </w:trPr>
        <w:tc>
          <w:tcPr>
            <w:tcW w:w="8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gain (loss)</w:t>
            </w: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effective portion of the gains or losses on derivative instruments designated as cash flow hedges of forecasted transactions are initially reported as a component of accumulated other comprehensive income and subsequently reclassified into earnings once the future transaction affects earnings.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80" w:type="dxa"/>
            <w:vAlign w:val="bottom"/>
          </w:tcPr>
          <w:p>
            <w:pPr>
              <w:ind w:left="600"/>
              <w:spacing w:after="0"/>
              <w:rPr>
                <w:sz w:val="20"/>
                <w:szCs w:val="20"/>
                <w:color w:val="auto"/>
              </w:rPr>
            </w:pPr>
            <w:r>
              <w:rPr>
                <w:rFonts w:ascii="Arial" w:cs="Arial" w:eastAsia="Arial" w:hAnsi="Arial"/>
                <w:sz w:val="14"/>
                <w:szCs w:val="14"/>
                <w:b w:val="1"/>
                <w:bCs w:val="1"/>
                <w:color w:val="auto"/>
              </w:rPr>
              <w:t>Amount of Realized and Unrealized Gain (Loss)</w:t>
            </w:r>
          </w:p>
        </w:tc>
        <w:tc>
          <w:tcPr>
            <w:tcW w:w="2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Pr>
          <w:p>
            <w:pPr>
              <w:spacing w:after="0"/>
              <w:rPr>
                <w:sz w:val="16"/>
                <w:szCs w:val="16"/>
                <w:color w:val="auto"/>
              </w:rPr>
            </w:pPr>
          </w:p>
        </w:tc>
      </w:tr>
      <w:tr>
        <w:trPr>
          <w:trHeight w:val="438"/>
        </w:trPr>
        <w:tc>
          <w:tcPr>
            <w:tcW w:w="5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64"/>
        </w:trPr>
        <w:tc>
          <w:tcPr>
            <w:tcW w:w="58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Derivative Instruments - Non-designated</w:t>
            </w:r>
          </w:p>
        </w:tc>
        <w:tc>
          <w:tcPr>
            <w:tcW w:w="3100" w:type="dxa"/>
            <w:vAlign w:val="bottom"/>
            <w:tcBorders>
              <w:bottom w:val="single" w:sz="8" w:color="auto"/>
            </w:tcBorders>
            <w:gridSpan w:val="2"/>
          </w:tcPr>
          <w:p>
            <w:pPr>
              <w:jc w:val="right"/>
              <w:ind w:right="2120"/>
              <w:spacing w:after="0"/>
              <w:rPr>
                <w:sz w:val="20"/>
                <w:szCs w:val="20"/>
                <w:color w:val="auto"/>
              </w:rPr>
            </w:pPr>
            <w:r>
              <w:rPr>
                <w:rFonts w:ascii="Arial" w:cs="Arial" w:eastAsia="Arial" w:hAnsi="Arial"/>
                <w:sz w:val="14"/>
                <w:szCs w:val="14"/>
                <w:b w:val="1"/>
                <w:bCs w:val="1"/>
                <w:color w:val="auto"/>
              </w:rPr>
              <w:t>Location</w:t>
            </w: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2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5880" w:type="dxa"/>
            <w:vAlign w:val="bottom"/>
          </w:tcPr>
          <w:p>
            <w:pPr>
              <w:ind w:left="4480"/>
              <w:spacing w:after="0"/>
              <w:rPr>
                <w:sz w:val="20"/>
                <w:szCs w:val="20"/>
                <w:color w:val="auto"/>
              </w:rPr>
            </w:pPr>
            <w:r>
              <w:rPr>
                <w:rFonts w:ascii="Arial" w:cs="Arial" w:eastAsia="Arial" w:hAnsi="Arial"/>
                <w:sz w:val="14"/>
                <w:szCs w:val="14"/>
                <w:color w:val="auto"/>
              </w:rPr>
              <w:t>Revenue</w:t>
            </w:r>
          </w:p>
        </w:tc>
        <w:tc>
          <w:tcPr>
            <w:tcW w:w="3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(0.5)</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171.7</w:t>
            </w:r>
          </w:p>
        </w:tc>
      </w:tr>
      <w:tr>
        <w:trPr>
          <w:trHeight w:val="270"/>
        </w:trPr>
        <w:tc>
          <w:tcPr>
            <w:tcW w:w="5880" w:type="dxa"/>
            <w:vAlign w:val="bottom"/>
            <w:shd w:val="clear" w:color="auto" w:fill="CCEEFF"/>
          </w:tcPr>
          <w:p>
            <w:pPr>
              <w:ind w:left="4480"/>
              <w:spacing w:after="0"/>
              <w:rPr>
                <w:sz w:val="20"/>
                <w:szCs w:val="20"/>
                <w:color w:val="auto"/>
              </w:rPr>
            </w:pPr>
            <w:r>
              <w:rPr>
                <w:rFonts w:ascii="Arial" w:cs="Arial" w:eastAsia="Arial" w:hAnsi="Arial"/>
                <w:sz w:val="14"/>
                <w:szCs w:val="14"/>
                <w:color w:val="auto"/>
              </w:rPr>
              <w:t>Cost of revenue</w:t>
            </w:r>
          </w:p>
        </w:tc>
        <w:tc>
          <w:tcPr>
            <w:tcW w:w="28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264"/>
        </w:trPr>
        <w:tc>
          <w:tcPr>
            <w:tcW w:w="5880" w:type="dxa"/>
            <w:vAlign w:val="bottom"/>
          </w:tcPr>
          <w:p>
            <w:pPr>
              <w:spacing w:after="0"/>
              <w:rPr>
                <w:sz w:val="22"/>
                <w:szCs w:val="22"/>
                <w:color w:val="auto"/>
              </w:rPr>
            </w:pPr>
          </w:p>
        </w:tc>
        <w:tc>
          <w:tcPr>
            <w:tcW w:w="3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61.8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32.7</w:t>
            </w:r>
          </w:p>
        </w:tc>
      </w:tr>
      <w:tr>
        <w:trPr>
          <w:trHeight w:val="276"/>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2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5880" w:type="dxa"/>
            <w:vAlign w:val="bottom"/>
          </w:tcPr>
          <w:p>
            <w:pPr>
              <w:ind w:left="4480"/>
              <w:spacing w:after="0"/>
              <w:rPr>
                <w:sz w:val="20"/>
                <w:szCs w:val="20"/>
                <w:color w:val="auto"/>
              </w:rPr>
            </w:pPr>
            <w:r>
              <w:rPr>
                <w:rFonts w:ascii="Arial" w:cs="Arial" w:eastAsia="Arial" w:hAnsi="Arial"/>
                <w:sz w:val="14"/>
                <w:szCs w:val="14"/>
                <w:color w:val="auto"/>
              </w:rPr>
              <w:t>Revenue</w:t>
            </w:r>
          </w:p>
        </w:tc>
        <w:tc>
          <w:tcPr>
            <w:tcW w:w="3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270"/>
        </w:trPr>
        <w:tc>
          <w:tcPr>
            <w:tcW w:w="8680" w:type="dxa"/>
            <w:vAlign w:val="bottom"/>
            <w:gridSpan w:val="2"/>
            <w:shd w:val="clear" w:color="auto" w:fill="CCEEFF"/>
          </w:tcPr>
          <w:p>
            <w:pPr>
              <w:ind w:left="448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r>
      <w:tr>
        <w:trPr>
          <w:trHeight w:val="264"/>
        </w:trPr>
        <w:tc>
          <w:tcPr>
            <w:tcW w:w="58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r>
      <w:tr>
        <w:trPr>
          <w:trHeight w:val="264"/>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3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333333"/>
              </w:rPr>
              <w:t>Potential Collateral Requirements for</w:t>
            </w:r>
          </w:p>
        </w:tc>
        <w:tc>
          <w:tcPr>
            <w:tcW w:w="13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40" w:type="dxa"/>
            <w:vAlign w:val="bottom"/>
            <w:gridSpan w:val="2"/>
          </w:tcPr>
          <w:p>
            <w:pPr>
              <w:jc w:val="center"/>
              <w:ind w:left="268"/>
              <w:spacing w:after="0"/>
              <w:rPr>
                <w:sz w:val="20"/>
                <w:szCs w:val="20"/>
                <w:color w:val="auto"/>
              </w:rPr>
            </w:pPr>
            <w:r>
              <w:rPr>
                <w:rFonts w:ascii="Arial" w:cs="Arial" w:eastAsia="Arial" w:hAnsi="Arial"/>
                <w:sz w:val="14"/>
                <w:szCs w:val="14"/>
                <w:b w:val="1"/>
                <w:bCs w:val="1"/>
                <w:color w:val="333333"/>
              </w:rPr>
              <w:t>Derivative Liabilities with</w:t>
            </w:r>
          </w:p>
        </w:tc>
        <w:tc>
          <w:tcPr>
            <w:tcW w:w="1300" w:type="dxa"/>
            <w:vAlign w:val="bottom"/>
          </w:tcPr>
          <w:p>
            <w:pPr>
              <w:spacing w:after="0"/>
              <w:rPr>
                <w:sz w:val="14"/>
                <w:szCs w:val="14"/>
                <w:color w:val="auto"/>
              </w:rPr>
            </w:pPr>
          </w:p>
        </w:tc>
      </w:tr>
      <w:tr>
        <w:trPr>
          <w:trHeight w:val="196"/>
        </w:trPr>
        <w:tc>
          <w:tcPr>
            <w:tcW w:w="58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333333"/>
              </w:rPr>
              <w:t>Credit-Risk-Contingent Features</w:t>
            </w:r>
          </w:p>
        </w:tc>
        <w:tc>
          <w:tcPr>
            <w:tcW w:w="1300" w:type="dxa"/>
            <w:vAlign w:val="bottom"/>
            <w:tcBorders>
              <w:bottom w:val="single" w:sz="8" w:color="auto"/>
            </w:tcBorders>
          </w:tcPr>
          <w:p>
            <w:pPr>
              <w:spacing w:after="0"/>
              <w:rPr>
                <w:sz w:val="17"/>
                <w:szCs w:val="17"/>
                <w:color w:val="auto"/>
              </w:rPr>
            </w:pPr>
          </w:p>
        </w:tc>
      </w:tr>
      <w:tr>
        <w:trPr>
          <w:trHeight w:val="204"/>
        </w:trPr>
        <w:tc>
          <w:tcPr>
            <w:tcW w:w="5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333333"/>
              </w:rPr>
              <w:t>As of December 31,</w:t>
            </w:r>
          </w:p>
        </w:tc>
        <w:tc>
          <w:tcPr>
            <w:tcW w:w="1300" w:type="dxa"/>
            <w:vAlign w:val="bottom"/>
          </w:tcPr>
          <w:p>
            <w:pPr>
              <w:spacing w:after="0"/>
              <w:rPr>
                <w:sz w:val="17"/>
                <w:szCs w:val="17"/>
                <w:color w:val="auto"/>
              </w:rPr>
            </w:pPr>
          </w:p>
        </w:tc>
      </w:tr>
      <w:tr>
        <w:trPr>
          <w:trHeight w:val="66"/>
        </w:trPr>
        <w:tc>
          <w:tcPr>
            <w:tcW w:w="584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98"/>
        </w:trPr>
        <w:tc>
          <w:tcPr>
            <w:tcW w:w="5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40" w:type="dxa"/>
            <w:vAlign w:val="bottom"/>
          </w:tcPr>
          <w:p>
            <w:pPr>
              <w:jc w:val="right"/>
              <w:ind w:right="1168"/>
              <w:spacing w:after="0"/>
              <w:rPr>
                <w:sz w:val="20"/>
                <w:szCs w:val="20"/>
                <w:color w:val="auto"/>
              </w:rPr>
            </w:pPr>
            <w:r>
              <w:rPr>
                <w:rFonts w:ascii="Arial" w:cs="Arial" w:eastAsia="Arial" w:hAnsi="Arial"/>
                <w:sz w:val="14"/>
                <w:szCs w:val="14"/>
                <w:b w:val="1"/>
                <w:bCs w:val="1"/>
                <w:color w:val="333333"/>
              </w:rPr>
              <w:t>2017</w:t>
            </w:r>
          </w:p>
        </w:tc>
        <w:tc>
          <w:tcPr>
            <w:tcW w:w="1200" w:type="dxa"/>
            <w:vAlign w:val="bottom"/>
          </w:tcPr>
          <w:p>
            <w:pPr>
              <w:spacing w:after="0"/>
              <w:rPr>
                <w:sz w:val="17"/>
                <w:szCs w:val="17"/>
                <w:color w:val="auto"/>
              </w:rPr>
            </w:pPr>
          </w:p>
        </w:tc>
        <w:tc>
          <w:tcPr>
            <w:tcW w:w="1300" w:type="dxa"/>
            <w:vAlign w:val="bottom"/>
          </w:tcPr>
          <w:p>
            <w:pPr>
              <w:jc w:val="right"/>
              <w:ind w:right="788"/>
              <w:spacing w:after="0"/>
              <w:rPr>
                <w:sz w:val="20"/>
                <w:szCs w:val="20"/>
                <w:color w:val="auto"/>
              </w:rPr>
            </w:pPr>
            <w:r>
              <w:rPr>
                <w:rFonts w:ascii="Arial" w:cs="Arial" w:eastAsia="Arial" w:hAnsi="Arial"/>
                <w:sz w:val="14"/>
                <w:szCs w:val="14"/>
                <w:b w:val="1"/>
                <w:bCs w:val="1"/>
                <w:color w:val="333333"/>
              </w:rPr>
              <w:t>2016</w:t>
            </w:r>
          </w:p>
        </w:tc>
      </w:tr>
      <w:tr>
        <w:trPr>
          <w:trHeight w:val="66"/>
        </w:trPr>
        <w:tc>
          <w:tcPr>
            <w:tcW w:w="58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98"/>
        </w:trPr>
        <w:tc>
          <w:tcPr>
            <w:tcW w:w="5840" w:type="dxa"/>
            <w:vAlign w:val="bottom"/>
          </w:tcPr>
          <w:p>
            <w:pPr>
              <w:ind w:left="2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428"/>
              <w:spacing w:after="0"/>
              <w:rPr>
                <w:sz w:val="20"/>
                <w:szCs w:val="20"/>
                <w:color w:val="auto"/>
              </w:rPr>
            </w:pPr>
            <w:r>
              <w:rPr>
                <w:rFonts w:ascii="Arial" w:cs="Arial" w:eastAsia="Arial" w:hAnsi="Arial"/>
                <w:sz w:val="14"/>
                <w:szCs w:val="14"/>
                <w:color w:val="auto"/>
              </w:rPr>
              <w:t>11.8</w:t>
            </w:r>
          </w:p>
        </w:tc>
        <w:tc>
          <w:tcPr>
            <w:tcW w:w="12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15.2</w:t>
            </w:r>
          </w:p>
        </w:tc>
      </w:tr>
      <w:tr>
        <w:trPr>
          <w:trHeight w:val="66"/>
        </w:trPr>
        <w:tc>
          <w:tcPr>
            <w:tcW w:w="5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04"/>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potential collateral requirements</w:t>
            </w:r>
          </w:p>
        </w:tc>
        <w:tc>
          <w:tcPr>
            <w:tcW w:w="9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11.8</w:t>
            </w:r>
          </w:p>
        </w:tc>
        <w:tc>
          <w:tcPr>
            <w:tcW w:w="12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r>
      <w:tr>
        <w:trPr>
          <w:trHeight w:val="66"/>
        </w:trPr>
        <w:tc>
          <w:tcPr>
            <w:tcW w:w="584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194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300" w:type="dxa"/>
            <w:vAlign w:val="bottom"/>
            <w:tcBorders>
              <w:bottom w:val="single" w:sz="8" w:color="auto"/>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3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At December 31, 2017 and 2016, there was no collateral held by our counterparties on these derivative contracts with credit-risk-contingent features.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140"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2017, we began an enterprise-wide restructuring plan that is designed to streamline the organization, and reallocate resources to better align our organizational structure and costs with our strategy. While these activities are ongoing, we expect the majority of these activities to be completed over the course of 2018, and based on activities being reviewed, we cannot reasonably estimate the ultimate cost that will be incurred. Specifically, as the restructuring plan involves reviewing non-core businesses and assets, our organizational structure, and expected commercial opportunities in the markets we serve. We will also consider our existing technology platforms, specifically with an aim to more fully integrate recent acquisitions and increase associated profit contribution.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fourth quarter, we incurred $59.6 million in restructuring charges, comprised primarily of costs associated with exiting certain business lines, including completely exiting the railcar business, exiting a low return capital-intensive distributor program within the land segment, approximately $26.0 million non-cash impairment charge related to notes due from certain of those preferred distributors and employee and facility-related costs. As of December 31, 2017, approximately $32.0 million of total restructuring charges is included in accrued expenses and other current liabilities on our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restructuring charges we recorded by segment,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6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Aviation</w:t>
            </w:r>
          </w:p>
        </w:tc>
        <w:tc>
          <w:tcPr>
            <w:tcW w:w="4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Land</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Marine</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Corporate</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Consolidated</w:t>
            </w:r>
          </w:p>
        </w:tc>
      </w:tr>
      <w:tr>
        <w:trPr>
          <w:trHeight w:val="257"/>
        </w:trPr>
        <w:tc>
          <w:tcPr>
            <w:tcW w:w="2600" w:type="dxa"/>
            <w:vAlign w:val="bottom"/>
            <w:shd w:val="clear" w:color="auto" w:fill="CCEDFF"/>
          </w:tcPr>
          <w:p>
            <w:pPr>
              <w:ind w:left="40"/>
              <w:spacing w:after="0"/>
              <w:rPr>
                <w:sz w:val="20"/>
                <w:szCs w:val="20"/>
                <w:color w:val="auto"/>
              </w:rPr>
            </w:pPr>
            <w:r>
              <w:rPr>
                <w:rFonts w:ascii="Arial" w:cs="Arial" w:eastAsia="Arial" w:hAnsi="Arial"/>
                <w:sz w:val="18"/>
                <w:szCs w:val="18"/>
                <w:color w:val="auto"/>
              </w:rPr>
              <w:t>Business line exit costs</w:t>
            </w:r>
          </w:p>
        </w:tc>
        <w:tc>
          <w:tcPr>
            <w:tcW w:w="1520" w:type="dxa"/>
            <w:vAlign w:val="bottom"/>
            <w:shd w:val="clear" w:color="auto" w:fill="CCED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D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50.3</w:t>
            </w:r>
          </w:p>
        </w:tc>
        <w:tc>
          <w:tcPr>
            <w:tcW w:w="380" w:type="dxa"/>
            <w:vAlign w:val="bottom"/>
            <w:shd w:val="clear" w:color="auto" w:fill="CCED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D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DFF"/>
          </w:tcPr>
          <w:p>
            <w:pPr>
              <w:jc w:val="right"/>
              <w:ind w:right="10"/>
              <w:spacing w:after="0"/>
              <w:rPr>
                <w:sz w:val="20"/>
                <w:szCs w:val="20"/>
                <w:color w:val="auto"/>
              </w:rPr>
            </w:pPr>
            <w:r>
              <w:rPr>
                <w:rFonts w:ascii="Arial" w:cs="Arial" w:eastAsia="Arial" w:hAnsi="Arial"/>
                <w:sz w:val="18"/>
                <w:szCs w:val="18"/>
                <w:color w:val="auto"/>
              </w:rPr>
              <w:t>50.3</w:t>
            </w:r>
          </w:p>
        </w:tc>
      </w:tr>
      <w:tr>
        <w:trPr>
          <w:trHeight w:val="250"/>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Employee and facility-related</w:t>
            </w:r>
          </w:p>
        </w:tc>
        <w:tc>
          <w:tcPr>
            <w:tcW w:w="1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r>
      <w:tr>
        <w:trPr>
          <w:trHeight w:val="250"/>
        </w:trPr>
        <w:tc>
          <w:tcPr>
            <w:tcW w:w="2600" w:type="dxa"/>
            <w:vAlign w:val="bottom"/>
            <w:tcBorders>
              <w:bottom w:val="single" w:sz="8" w:color="auto"/>
            </w:tcBorders>
            <w:shd w:val="clear" w:color="auto" w:fill="CCEDFF"/>
          </w:tcPr>
          <w:p>
            <w:pPr>
              <w:ind w:left="40"/>
              <w:spacing w:after="0"/>
              <w:rPr>
                <w:sz w:val="20"/>
                <w:szCs w:val="20"/>
                <w:color w:val="auto"/>
              </w:rPr>
            </w:pPr>
            <w:r>
              <w:rPr>
                <w:rFonts w:ascii="Arial" w:cs="Arial" w:eastAsia="Arial" w:hAnsi="Arial"/>
                <w:sz w:val="18"/>
                <w:szCs w:val="18"/>
                <w:color w:val="auto"/>
              </w:rPr>
              <w:t>Restructuring charges</w:t>
            </w:r>
          </w:p>
        </w:tc>
        <w:tc>
          <w:tcPr>
            <w:tcW w:w="1520" w:type="dxa"/>
            <w:vAlign w:val="bottom"/>
            <w:tcBorders>
              <w:bottom w:val="single" w:sz="8" w:color="auto"/>
            </w:tcBorders>
            <w:shd w:val="clear" w:color="auto" w:fill="CCED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auto"/>
            </w:tcBorders>
            <w:shd w:val="clear" w:color="auto" w:fill="CCED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52.4</w:t>
            </w:r>
          </w:p>
        </w:tc>
        <w:tc>
          <w:tcPr>
            <w:tcW w:w="380" w:type="dxa"/>
            <w:vAlign w:val="bottom"/>
            <w:tcBorders>
              <w:bottom w:val="single" w:sz="8" w:color="auto"/>
            </w:tcBorders>
            <w:shd w:val="clear" w:color="auto" w:fill="CCED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shd w:val="clear" w:color="auto" w:fill="CCED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DFF"/>
          </w:tcPr>
          <w:p>
            <w:pPr>
              <w:jc w:val="right"/>
              <w:ind w:right="10"/>
              <w:spacing w:after="0"/>
              <w:rPr>
                <w:sz w:val="20"/>
                <w:szCs w:val="20"/>
                <w:color w:val="auto"/>
              </w:rPr>
            </w:pPr>
            <w:r>
              <w:rPr>
                <w:rFonts w:ascii="Arial" w:cs="Arial" w:eastAsia="Arial" w:hAnsi="Arial"/>
                <w:sz w:val="18"/>
                <w:szCs w:val="18"/>
                <w:color w:val="auto"/>
              </w:rPr>
              <w:t>59.6</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Estimated</w:t>
            </w: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Useful Lives</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27.4</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Indefinite</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87.2</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87.3</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- 40 years</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Office equipment, furniture and fixtures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years</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Computer equipment and software costs</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169.4</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140.7</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vehicles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246.5</w:t>
            </w:r>
          </w:p>
        </w:tc>
        <w:tc>
          <w:tcPr>
            <w:tcW w:w="7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217.5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- 40 years</w:t>
            </w:r>
          </w:p>
        </w:tc>
      </w:tr>
      <w:tr>
        <w:trPr>
          <w:trHeight w:val="263"/>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546.6</w:t>
            </w:r>
          </w:p>
        </w:tc>
        <w:tc>
          <w:tcPr>
            <w:tcW w:w="720" w:type="dxa"/>
            <w:vAlign w:val="bottom"/>
          </w:tcPr>
          <w:p>
            <w:pPr>
              <w:spacing w:after="0"/>
              <w:rPr>
                <w:sz w:val="22"/>
                <w:szCs w:val="22"/>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488.3</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0"/>
        </w:trPr>
        <w:tc>
          <w:tcPr>
            <w:tcW w:w="6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216.8</w:t>
            </w:r>
          </w:p>
        </w:tc>
        <w:tc>
          <w:tcPr>
            <w:tcW w:w="7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177.1</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329.8</w:t>
            </w: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311.2</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2017, 2016 and 2015, we recorded depreciation expense of $44.1 million, $42.5 million and $35.1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costs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108.0</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94.5</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80.3</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69.5</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software costs, net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$27.6 million and $12.5 million as of December 31, 2017 and 2016, respectively. For 2017, 2016 and 2015, we</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140"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recorded amortization expense related to computer software costs of $11.0 million, $13.7 million and $10.7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Accumulated amortization</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16.0</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Capital leases, net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Identifiable Intangible Assets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2017, we used a combination of qualitative and quantitative factors to review goodwill and identifiable intangible assets for impairment for all of our reporting units. As a result of performing these assessments, we recorded an impairment charge of $80.2 million, of which $72.3 million was attributable to the write-off of goodwill in our marine segment, and $7.9 million associated with intangible assets, primarily customer relationships in both the marine and land segments. The impairment within our marine segment was driven principally by growing competitive pressures in maritime markets, including the decline of maritime shipping volumes along with lower demand for price risk management products and our ultimate decision in the fourth quarter to exit our marine business in certain international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Aviation</w:t>
            </w:r>
          </w:p>
        </w:tc>
        <w:tc>
          <w:tcPr>
            <w:tcW w:w="360" w:type="dxa"/>
            <w:vAlign w:val="bottom"/>
          </w:tcPr>
          <w:p>
            <w:pPr>
              <w:spacing w:after="0"/>
              <w:rPr>
                <w:sz w:val="14"/>
                <w:szCs w:val="14"/>
                <w:color w:val="auto"/>
              </w:rPr>
            </w:pPr>
          </w:p>
        </w:tc>
        <w:tc>
          <w:tcPr>
            <w:tcW w:w="1240" w:type="dxa"/>
            <w:vAlign w:val="bottom"/>
          </w:tcPr>
          <w:p>
            <w:pPr>
              <w:jc w:val="right"/>
              <w:ind w:right="533"/>
              <w:spacing w:after="0"/>
              <w:rPr>
                <w:sz w:val="20"/>
                <w:szCs w:val="20"/>
                <w:color w:val="auto"/>
              </w:rPr>
            </w:pPr>
            <w:r>
              <w:rPr>
                <w:rFonts w:ascii="Arial" w:cs="Arial" w:eastAsia="Arial" w:hAnsi="Arial"/>
                <w:sz w:val="14"/>
                <w:szCs w:val="14"/>
                <w:b w:val="1"/>
                <w:bCs w:val="1"/>
                <w:color w:val="auto"/>
              </w:rPr>
              <w:t>Land</w:t>
            </w:r>
          </w:p>
        </w:tc>
        <w:tc>
          <w:tcPr>
            <w:tcW w:w="340" w:type="dxa"/>
            <w:vAlign w:val="bottom"/>
          </w:tcPr>
          <w:p>
            <w:pPr>
              <w:spacing w:after="0"/>
              <w:rPr>
                <w:sz w:val="14"/>
                <w:szCs w:val="14"/>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Marine</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Segment</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Segment</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Segment</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173.7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430.7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2016 acquisitions</w:t>
            </w:r>
          </w:p>
        </w:tc>
        <w:tc>
          <w:tcPr>
            <w:tcW w:w="440" w:type="dxa"/>
            <w:vAlign w:val="bottom"/>
          </w:tcPr>
          <w:p>
            <w:pPr>
              <w:spacing w:after="0"/>
              <w:rPr>
                <w:sz w:val="21"/>
                <w:szCs w:val="21"/>
                <w:color w:val="auto"/>
              </w:rPr>
            </w:pPr>
          </w:p>
        </w:tc>
        <w:tc>
          <w:tcPr>
            <w:tcW w:w="1240" w:type="dxa"/>
            <w:vAlign w:val="bottom"/>
            <w:vMerge w:val="restart"/>
          </w:tcPr>
          <w:p>
            <w:pPr>
              <w:jc w:val="right"/>
              <w:ind w:right="54"/>
              <w:spacing w:after="0"/>
              <w:rPr>
                <w:sz w:val="20"/>
                <w:szCs w:val="20"/>
                <w:color w:val="auto"/>
              </w:rPr>
            </w:pPr>
            <w:r>
              <w:rPr>
                <w:rFonts w:ascii="Arial" w:cs="Arial" w:eastAsia="Arial" w:hAnsi="Arial"/>
                <w:sz w:val="18"/>
                <w:szCs w:val="18"/>
                <w:color w:val="auto"/>
              </w:rPr>
              <w:t>95.6</w:t>
            </w:r>
          </w:p>
        </w:tc>
        <w:tc>
          <w:tcPr>
            <w:tcW w:w="360" w:type="dxa"/>
            <w:vAlign w:val="bottom"/>
          </w:tcPr>
          <w:p>
            <w:pPr>
              <w:spacing w:after="0"/>
              <w:rPr>
                <w:sz w:val="21"/>
                <w:szCs w:val="21"/>
                <w:color w:val="auto"/>
              </w:rPr>
            </w:pPr>
          </w:p>
        </w:tc>
        <w:tc>
          <w:tcPr>
            <w:tcW w:w="1240" w:type="dxa"/>
            <w:vAlign w:val="bottom"/>
            <w:vMerge w:val="restart"/>
          </w:tcPr>
          <w:p>
            <w:pPr>
              <w:jc w:val="right"/>
              <w:ind w:right="73"/>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21"/>
                <w:szCs w:val="21"/>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vMerge w:val="restart"/>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purchase price allocations</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000" w:type="dxa"/>
            <w:vAlign w:val="bottom"/>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subsidiary goodwill</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4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266.8</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496.7</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72.3</w:t>
            </w: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2017 acquisitions</w:t>
            </w:r>
          </w:p>
        </w:tc>
        <w:tc>
          <w:tcPr>
            <w:tcW w:w="4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51.2</w:t>
            </w:r>
          </w:p>
        </w:tc>
        <w:tc>
          <w:tcPr>
            <w:tcW w:w="360" w:type="dxa"/>
            <w:vAlign w:val="bottom"/>
          </w:tcPr>
          <w:p>
            <w:pPr>
              <w:spacing w:after="0"/>
              <w:rPr>
                <w:sz w:val="22"/>
                <w:szCs w:val="22"/>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2"/>
                <w:szCs w:val="22"/>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7"/>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of purchase price allocations</w:t>
            </w:r>
          </w:p>
        </w:tc>
        <w:tc>
          <w:tcPr>
            <w:tcW w:w="4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500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440" w:type="dxa"/>
            <w:vAlign w:val="bottom"/>
          </w:tcPr>
          <w:p>
            <w:pPr>
              <w:spacing w:after="0"/>
              <w:rPr>
                <w:sz w:val="22"/>
                <w:szCs w:val="22"/>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5"/>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of non-USD functional currency</w:t>
            </w: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subsidiary goodwill</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2017</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326.9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518.5</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9"/>
        </w:trPr>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ind w:left="200"/>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2017</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5"/>
        </w:trPr>
        <w:tc>
          <w:tcPr>
            <w:tcW w:w="2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440" w:type="dxa"/>
            <w:vAlign w:val="bottom"/>
          </w:tcPr>
          <w:p>
            <w:pPr>
              <w:jc w:val="center"/>
              <w:ind w:right="215"/>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420" w:type="dxa"/>
            <w:vAlign w:val="bottom"/>
          </w:tcPr>
          <w:p>
            <w:pPr>
              <w:jc w:val="center"/>
              <w:ind w:right="215"/>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2"/>
        </w:trPr>
        <w:tc>
          <w:tcPr>
            <w:tcW w:w="26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17"/>
                <w:szCs w:val="17"/>
                <w:b w:val="1"/>
                <w:bCs w:val="1"/>
                <w:color w:val="auto"/>
                <w:w w:val="98"/>
                <w:vertAlign w:val="superscript"/>
              </w:rPr>
              <w:t>(1)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Net</w:t>
            </w:r>
          </w:p>
        </w:tc>
      </w:tr>
      <w:tr>
        <w:trPr>
          <w:trHeight w:val="222"/>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70"/>
        </w:trPr>
        <w:tc>
          <w:tcPr>
            <w:tcW w:w="2680" w:type="dxa"/>
            <w:vAlign w:val="bottom"/>
          </w:tcPr>
          <w:p>
            <w:pPr>
              <w:ind w:left="4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8"/>
                <w:szCs w:val="18"/>
                <w:b w:val="1"/>
                <w:bCs w:val="1"/>
                <w:color w:val="auto"/>
                <w:vertAlign w:val="superscript"/>
              </w:rPr>
              <w:t>(2)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171.4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202.4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353.8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155.5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198.3</w:t>
            </w: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Supplier agreements</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r>
      <w:tr>
        <w:trPr>
          <w:trHeight w:val="264"/>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26.3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w:t>
            </w:r>
          </w:p>
        </w:tc>
      </w:tr>
      <w:tr>
        <w:trPr>
          <w:trHeight w:val="270"/>
        </w:trPr>
        <w:tc>
          <w:tcPr>
            <w:tcW w:w="2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213.1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239.4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189.1</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240.7</w:t>
            </w:r>
          </w:p>
        </w:tc>
      </w:tr>
      <w:tr>
        <w:trPr>
          <w:trHeight w:val="229"/>
        </w:trPr>
        <w:tc>
          <w:tcPr>
            <w:tcW w:w="2680" w:type="dxa"/>
            <w:vAlign w:val="bottom"/>
          </w:tcPr>
          <w:p>
            <w:pPr>
              <w:ind w:left="40"/>
              <w:spacing w:after="0"/>
              <w:rPr>
                <w:sz w:val="20"/>
                <w:szCs w:val="20"/>
                <w:color w:val="auto"/>
              </w:rPr>
            </w:pPr>
            <w:r>
              <w:rPr>
                <w:rFonts w:ascii="Arial" w:cs="Arial" w:eastAsia="Arial" w:hAnsi="Arial"/>
                <w:sz w:val="18"/>
                <w:szCs w:val="18"/>
                <w:color w:val="auto"/>
              </w:rPr>
              <w:t>Intangible assets not subject to</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26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2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Trademark/trade name rights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40.3</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r>
      <w:tr>
        <w:trPr>
          <w:trHeight w:val="264"/>
        </w:trPr>
        <w:tc>
          <w:tcPr>
            <w:tcW w:w="26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213.1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279.7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189.1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282.3</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impact of foreign exchange</w:t>
      </w:r>
    </w:p>
    <w:p>
      <w:pPr>
        <w:spacing w:after="0" w:line="191" w:lineRule="exact"/>
        <w:rPr>
          <w:rFonts w:ascii="Arial" w:cs="Arial" w:eastAsia="Arial" w:hAnsi="Arial"/>
          <w:sz w:val="18"/>
          <w:szCs w:val="18"/>
          <w:color w:val="auto"/>
          <w:vertAlign w:val="superscript"/>
        </w:rPr>
      </w:pPr>
    </w:p>
    <w:p>
      <w:pPr>
        <w:ind w:firstLine="8"/>
        <w:spacing w:after="0" w:line="227" w:lineRule="auto"/>
        <w:tabs>
          <w:tab w:leader="none" w:pos="17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Reflects recorded impairment charges for 2017 of $4.1 million and $3.0 million in our Marine and Land segments, respectively, which is presented in "</w:t>
      </w:r>
      <w:r>
        <w:rPr>
          <w:rFonts w:ascii="Arial" w:cs="Arial" w:eastAsia="Arial" w:hAnsi="Arial"/>
          <w:sz w:val="14"/>
          <w:szCs w:val="14"/>
          <w:i w:val="1"/>
          <w:iCs w:val="1"/>
          <w:color w:val="auto"/>
        </w:rPr>
        <w:t>Goodwill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impairments</w:t>
      </w:r>
      <w:r>
        <w:rPr>
          <w:rFonts w:ascii="Arial" w:cs="Arial" w:eastAsia="Arial" w:hAnsi="Arial"/>
          <w:sz w:val="14"/>
          <w:szCs w:val="14"/>
          <w:color w:val="auto"/>
        </w:rPr>
        <w:t>" on our Consolidated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2017, 2016 and 2015 was $41.9 million, $39.7 million and $30.4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2019</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2021</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we have a Credit Facility which permits borrowings up to approximately $ 1.26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We had outstanding borrowings under our Credit Facility totaling $60.0 million and $325.2 million as of December 31, 2017 and 2016, respectively.</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issued letters of credit under the Credit Facility totaled $8.6 million and $8.3 million as of December 31, 2017 and 2016, respectively. We also had $835.8 million and $840.0 million in Term Loans outstanding as of December 31, 2017 and 2016, respectively. As of December 31, 2017 and 2016, the unused portion of our Credit Facility was $1.19 billion and $926.5 million, respectively. Availability under our Credit Facility is principally limited by the ratio of adjusted total debt to adjusted EBITDA, as defined in the revolving credit facility, which limits the total amount of indebtedness we may incur, and may therefore fluctuate from period to period.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2017, the applicable margins for base rate loans and Eurodollar rate loans were 1.50% and 2.50%, respectively. Letters of credit issued under our Credit Facility are subject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14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letter of credit fees of 0.25% as of December 31, 2017, and the unused portion of our Credit Facility is subject to commitment fees of 0.35% as of December 31, 2017.</w:t>
      </w:r>
    </w:p>
    <w:p>
      <w:pPr>
        <w:spacing w:after="0" w:line="1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2017, we were in compliance with all financial and other covenants contained in our Credit Facility and our Term Loans.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30, 2018, we elected to amend our Credit Facility (the “Amendment”), and prepay certain amounts on our Term Loans. The Amendment lowers the borrowing capacity of our Credit Facility to approximately $1.16 billion with a sublimit of $400.0 million for the issuance of letters of credit and bankers' acceptances. Under the Credit Facility, we have the right to request increases in available borrowings up to an additional $200.0 million, subject to the satisfaction of certain conditions. The Credit Facility matures in October 2021. In connection with the Amendment, we also elected to make a $300.0 million payment on the outstanding amounts owed on the Term Loans, representing additional capacity that is accessible by us. This payment was facilitated by an ability to use foreign cash without incurring additional U.S. tax costs as a result of the recently enacted Tax Act.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2017 and 2016, our outstanding letters of credit and bank guarantees under these credit lines totaled $272.0 million and $176.5 million, respectively.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Term Loans</w:t>
            </w:r>
          </w:p>
        </w:tc>
        <w:tc>
          <w:tcPr>
            <w:tcW w:w="1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835.8</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840.0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910.2</w:t>
            </w:r>
          </w:p>
        </w:tc>
        <w:tc>
          <w:tcPr>
            <w:tcW w:w="8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1,186.3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116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25.6</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884.6</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1,170.8</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capital lease obligations are payable in varying amounts through November 2023 and bear interest at annual rates ranging from 3.0% to 6.3% as of December 31,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aggregate annual maturities of debt are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2019</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2021</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723.5</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910.2</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140"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interest expense and other financing costs, net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 expense and other financing costs</w:t>
            </w:r>
          </w:p>
        </w:tc>
        <w:tc>
          <w:tcPr>
            <w:tcW w:w="2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w:t>
            </w: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64"/>
        </w:trPr>
        <w:tc>
          <w:tcPr>
            <w:tcW w:w="492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8360" w:firstLine="8"/>
        <w:spacing w:after="0" w:line="513" w:lineRule="auto"/>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Surety Bonds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we are required to post bid, performance and other surety-related bonds. The majority of the surety bonds posted relate to our aviation and land segments. We had outstanding bonds that were executed in order to satisfy various security requirements of $44.6 million and $52.8 million, as of December 31, 2017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future minimum lease payments under non-cancelable operating leases were as follows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tcPr>
          <w:p>
            <w:pPr>
              <w:jc w:val="right"/>
              <w:ind w:right="3596"/>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2019</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50"/>
        </w:trPr>
        <w:tc>
          <w:tcPr>
            <w:tcW w:w="2840" w:type="dxa"/>
            <w:vAlign w:val="bottom"/>
          </w:tcPr>
          <w:p>
            <w:pPr>
              <w:ind w:left="40"/>
              <w:spacing w:after="0"/>
              <w:rPr>
                <w:sz w:val="20"/>
                <w:szCs w:val="20"/>
                <w:color w:val="auto"/>
              </w:rPr>
            </w:pPr>
            <w:r>
              <w:rPr>
                <w:rFonts w:ascii="Arial" w:cs="Arial" w:eastAsia="Arial" w:hAnsi="Arial"/>
                <w:sz w:val="18"/>
                <w:szCs w:val="18"/>
                <w:color w:val="auto"/>
              </w:rPr>
              <w:t>2021</w:t>
            </w:r>
          </w:p>
        </w:tc>
        <w:tc>
          <w:tcPr>
            <w:tcW w:w="7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6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4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50"/>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Thereafter</w:t>
            </w:r>
          </w:p>
        </w:tc>
        <w:tc>
          <w:tcPr>
            <w:tcW w:w="7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w:t>
            </w:r>
          </w:p>
        </w:tc>
      </w:tr>
      <w:tr>
        <w:trPr>
          <w:trHeight w:val="264"/>
        </w:trPr>
        <w:tc>
          <w:tcPr>
            <w:tcW w:w="2840" w:type="dxa"/>
            <w:vAlign w:val="bottom"/>
            <w:tcBorders>
              <w:bottom w:val="single" w:sz="8" w:color="auto"/>
            </w:tcBorders>
            <w:shd w:val="clear" w:color="auto" w:fill="CCEEFF"/>
          </w:tcPr>
          <w:p>
            <w:pPr>
              <w:spacing w:after="0"/>
              <w:rPr>
                <w:sz w:val="22"/>
                <w:szCs w:val="22"/>
                <w:color w:val="auto"/>
              </w:rPr>
            </w:pPr>
          </w:p>
        </w:tc>
        <w:tc>
          <w:tcPr>
            <w:tcW w:w="74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incurred rental expense for all properties and equipment of $40.3 million, $36.9 million and $31.6 million for 2017, 2016 and 2015, respectively. Minimum payments have not been reduced by minimum sublease rentals of $34.7 million due in the future under non-cancelable subleases.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the notional value associated with fixed sales and purchase commitments under our derivative programs amounted to $921.4 million and $516.4 million, respectively with delivery dates from 2018 through 2023. Additionally, we have certain purchase contracts that extend through 2026, under which we agreed to purchase annually between 1.72 million barrels and 2.00 million barrels of aviation fuel at future market prices.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an agreement with our Chairman, President and Chief Executive Officer, Michael J. Kasbar (“Mr. Kasbar”), for his continued employment with us which provides for an annual base salary as determined by our Compensation Committee in its sole discretion (currently $900,000), termination severance benefits, and such incentives and other compensation and amounts as our Compensation Committee may determine from time to time in its sole discretion. The current term of the Kasbar agreement, as amended, expired on December 31, 2017, and automatically extends for successive one-year terms unless either party provides written notice to the other at least one year prior to the expiration of the term that such party does not want to extend the term. Pursuant to his amended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Mr. Kasbar’s employment.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 year period following termination of his employment, with any remaining unvested awards vesting on the last day of such two year period. For each scenario described above, awards with multiple annual performance conditions must satisfy certain other requirements in order to have their vesting terms accelerated.</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20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2017, the approximate future minimum commitments under these agreements, excluding discretionary and performance bonuses, are as follows (in millions):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9600" w:val="left"/>
          <w:tab w:leader="none" w:pos="110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material during each of the years presented on the consolidated statements of income and comprehensive income.</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offer a non-qualified deferred compensation (“NQDC”) plan to certain eligible employees, excluding our named executive officers,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$5.8 million and $4.3 million as of December 31, 2017 and December 31, 2016, respectively, which was included in other long-term liabilities in the accompanying consolidated balance sheets.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23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Our business is subject to numerous federal, state, local and foreign environmental laws and regulations, including those relating to fuel storage and distribution, terminals, underground storage tanks, the release or discharge of regulated materials into the air, water and soil, the generation, storage, handling, use, transportation and disposal of hazardous materials, and the exposure of persons to regulated materials. A violation of, liability under, or noncompliance with these laws and regulations, or any future environmental law or regulation, could result in material liabilities, including administrative, civil or criminal penalties, remediation costs for natural resource damages as well as third-party damages. From time to time, we may be responsible for remediating contamination at properties we own or lease and can be entitled to reimbursement for certain of these costs from state trust funds, as well as various third-party contractual indemnities and insurance policies, subject to eligibility requirements, deductibles, and aggregate caps. Although we continuously review the adequacy of our insurance coverage, we may lack adequate coverage for various risks, including environmental claims. If we are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for a claim or claims of sufficient magnitude arising out of our activities, it will have a material adverse effect on our financial position, results of operations and cash flows.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accrue for environmental assessment and remediation expenses when the future costs are probable and reasonably estimable. At December 31, 2017 and 2016, accrued liabilities for remediation were not material. It is not presently possible to estimate the ultimate amount of all remediation costs that might be incurred or the penalties that may be imposed.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are under review by various domestic and foreign tax authorities with regards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2016, the Korean branch (“WFSK”) of one of our subsidiaries received assessments of approximately $10.6 million (KRW 11.9 billion) and during the quarter ended June 30, 2017, an assessment for an additional $17.9 million (KRW 20.1 billion) from the regional tax authorities of Seoul, South Korea (“SRTO”).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VAT (ICMS) tax matters. These disputes are at various stages of the legal process, including the administrative review phase and the collection action phase, and include assessments of fixed amounts of principal and penalties, plus interest.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31, 2017,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0" w:lineRule="exact"/>
        <w:rPr>
          <w:sz w:val="20"/>
          <w:szCs w:val="20"/>
          <w:color w:val="auto"/>
        </w:rPr>
      </w:pPr>
    </w:p>
    <w:p>
      <w:pPr>
        <w:ind w:right="9320" w:firstLine="8"/>
        <w:spacing w:after="0" w:line="513" w:lineRule="auto"/>
        <w:tabs>
          <w:tab w:leader="none" w:pos="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Dividends</w:t>
      </w:r>
    </w:p>
    <w:p>
      <w:pPr>
        <w:spacing w:after="0" w:line="1" w:lineRule="exact"/>
        <w:rPr>
          <w:sz w:val="20"/>
          <w:szCs w:val="20"/>
          <w:color w:val="auto"/>
        </w:rPr>
      </w:pPr>
    </w:p>
    <w:p>
      <w:pPr>
        <w:jc w:val="both"/>
        <w:ind w:right="20"/>
        <w:spacing w:after="0" w:line="216" w:lineRule="exact"/>
        <w:rPr>
          <w:sz w:val="20"/>
          <w:szCs w:val="20"/>
          <w:color w:val="auto"/>
        </w:rPr>
      </w:pPr>
      <w:r>
        <w:rPr>
          <w:rFonts w:ascii="Arial" w:cs="Arial" w:eastAsia="Arial" w:hAnsi="Arial"/>
          <w:sz w:val="18"/>
          <w:szCs w:val="18"/>
          <w:color w:val="auto"/>
        </w:rPr>
        <w:t>We declared aggregate cash dividends of $0.24 per share of common stock for 2017, 2016 and 2015, respectively. Our Credit Facility and Term Loans have restrictions regarding the maximum amount of cash dividends allowed to be paid. The payment of the above</w:t>
      </w:r>
      <w:r>
        <w:rPr>
          <w:rFonts w:ascii="MS PGothic" w:cs="MS PGothic" w:eastAsia="MS PGothic" w:hAnsi="MS PGothic"/>
          <w:sz w:val="18"/>
          <w:szCs w:val="18"/>
          <w:color w:val="auto"/>
        </w:rPr>
        <w:t>‑</w:t>
      </w:r>
      <w:r>
        <w:rPr>
          <w:rFonts w:ascii="Arial" w:cs="Arial" w:eastAsia="Arial" w:hAnsi="Arial"/>
          <w:sz w:val="18"/>
          <w:szCs w:val="18"/>
          <w:color w:val="auto"/>
        </w:rPr>
        <w:t>referenced cash dividends was in compliance with the Credit Facility and Term Loans.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2017, our Board of Directors approved a new common stock repurchase program which replaced the remainder of the existing program and authorized the purchase of up to $100.0 million in common stock (the “Repurchase Program”). The Repurchase Program does not require a minimum number of shares of common stock to be purchased, has no expiration date and may be suspended or discontinued at any time. As of December 31, 2017, $100.0 million remains available for purchase under the Repurchase Program. The timing and amount of shares of common stock to be repurchased under the Repurchase Program will depend on market conditions, share price, securities law and other legal requirements and factors. Under several of our repurchase programs, we repurchased 1.6 million shares of our common stock for an aggregate value of $70.5 million during 2015, 1.0 million shares of our common stock for an aggregate value of $41.2 million during 2016 and 1.7 million shares of our common stock for an aggregate value of $61.9 million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Summary and Description</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May 2016, our shareholders approved the 2016 Omnibus Plan (the “2016 Plan”), which replaced our previously adopted 2006 Omnibus Plan, as amended and restated in 2009 (the “2006 Plan”). The 2016 Plan is administered by the Compensation Committee of the Board of Directors (the “Compensation Committee”). The purpose of the 2016 Plan is to (i) attract and retain persons eligible to participate in the 2016 Plan; (ii) motivate participants, by means of appropriate incentives, to achieve long</w:t>
      </w:r>
      <w:r>
        <w:rPr>
          <w:rFonts w:ascii="MS PGothic" w:cs="MS PGothic" w:eastAsia="MS PGothic" w:hAnsi="MS PGothic"/>
          <w:sz w:val="18"/>
          <w:szCs w:val="18"/>
          <w:color w:val="auto"/>
        </w:rPr>
        <w:t>‑</w:t>
      </w:r>
      <w:r>
        <w:rPr>
          <w:rFonts w:ascii="Arial" w:cs="Arial" w:eastAsia="Arial" w:hAnsi="Arial"/>
          <w:sz w:val="18"/>
          <w:szCs w:val="18"/>
          <w:color w:val="auto"/>
        </w:rPr>
        <w:t>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8"/>
          <w:szCs w:val="18"/>
          <w:color w:val="auto"/>
        </w:rPr>
        <w:t>‑</w:t>
      </w:r>
      <w:r>
        <w:rPr>
          <w:rFonts w:ascii="Arial" w:cs="Arial" w:eastAsia="Arial" w:hAnsi="Arial"/>
          <w:sz w:val="18"/>
          <w:szCs w:val="18"/>
          <w:color w:val="auto"/>
        </w:rPr>
        <w:t>term financial interest of World Fuel and its subsidiaries, including the growth in value of our equity and enhancement of long</w:t>
      </w:r>
      <w:r>
        <w:rPr>
          <w:rFonts w:ascii="MS PGothic" w:cs="MS PGothic" w:eastAsia="MS PGothic" w:hAnsi="MS PGothic"/>
          <w:sz w:val="18"/>
          <w:szCs w:val="18"/>
          <w:color w:val="auto"/>
        </w:rPr>
        <w:t>‑</w:t>
      </w:r>
      <w:r>
        <w:rPr>
          <w:rFonts w:ascii="Arial" w:cs="Arial" w:eastAsia="Arial" w:hAnsi="Arial"/>
          <w:sz w:val="18"/>
          <w:szCs w:val="18"/>
          <w:color w:val="auto"/>
        </w:rPr>
        <w:t>term shareholder return. The persons eligible to receive awards under the 2016 Plan are our employees, officers, and members of the Board of Directors, or any consultant or other person who performs services for us.</w:t>
      </w:r>
    </w:p>
    <w:p>
      <w:pPr>
        <w:spacing w:after="0" w:line="220" w:lineRule="exact"/>
        <w:rPr>
          <w:sz w:val="20"/>
          <w:szCs w:val="20"/>
          <w:color w:val="auto"/>
        </w:rPr>
      </w:pPr>
    </w:p>
    <w:p>
      <w:pPr>
        <w:jc w:val="both"/>
        <w:ind w:right="20"/>
        <w:spacing w:after="0" w:line="216" w:lineRule="exact"/>
        <w:rPr>
          <w:sz w:val="20"/>
          <w:szCs w:val="20"/>
          <w:color w:val="auto"/>
        </w:rPr>
      </w:pPr>
      <w:r>
        <w:rPr>
          <w:rFonts w:ascii="Arial" w:cs="Arial" w:eastAsia="Arial" w:hAnsi="Arial"/>
          <w:sz w:val="18"/>
          <w:szCs w:val="18"/>
          <w:color w:val="auto"/>
        </w:rPr>
        <w:t>The provisions of the 2016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 The 2016 Plan is unlimited in duration and, in the event of its</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termination, the 2016 Plan will remain in effect as long as any awards granted under it remain outstanding. No awards may be granted under the 2016 Plan after May 2026. The term and vesting period of awards granted under the 2016 Plan are established on a per grant basis, but options and SSAR Awards may not remain exercisable after the seven</w:t>
      </w:r>
      <w:r>
        <w:rPr>
          <w:rFonts w:ascii="MS PGothic" w:cs="MS PGothic" w:eastAsia="MS PGothic" w:hAnsi="MS PGothic"/>
          <w:sz w:val="18"/>
          <w:szCs w:val="18"/>
          <w:color w:val="auto"/>
        </w:rPr>
        <w:t>‑</w:t>
      </w:r>
      <w:r>
        <w:rPr>
          <w:rFonts w:ascii="Arial" w:cs="Arial" w:eastAsia="Arial" w:hAnsi="Arial"/>
          <w:sz w:val="18"/>
          <w:szCs w:val="18"/>
          <w:color w:val="auto"/>
        </w:rPr>
        <w:t>year anniversary of the date of grant.</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2016 Plan, 2.5 million shares of common stock are authorized for issuance plus any shares of common stock with respect to awards that were granted under the 2006 Plan but are forfeited or canceled (e.g., due to the recipient's failure to satisfy applicable service or performance conditions) after May 2016. As of December 31, 2017, approximately 2.2 million shares of common stock were subject to outstanding awards under the 2016 and 2006 Plan (assuming maximum achievement of performance goals for restricted stock and target achievement of performance goals for RSUs, where applicable).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outstanding awards issued pursuant to the 2016 Plan described above as of December 31, 2017 and the remaining shares of common stock available for future issuance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Remaining shares of</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jc w:val="center"/>
              <w:ind w:left="4"/>
              <w:spacing w:after="0"/>
              <w:rPr>
                <w:sz w:val="20"/>
                <w:szCs w:val="20"/>
                <w:color w:val="auto"/>
              </w:rPr>
            </w:pPr>
            <w:r>
              <w:rPr>
                <w:rFonts w:ascii="Arial" w:cs="Arial" w:eastAsia="Arial" w:hAnsi="Arial"/>
                <w:sz w:val="14"/>
                <w:szCs w:val="14"/>
                <w:b w:val="1"/>
                <w:bCs w:val="1"/>
                <w:color w:val="auto"/>
              </w:rPr>
              <w:t>available for future</w:t>
            </w:r>
          </w:p>
        </w:tc>
      </w:tr>
      <w:tr>
        <w:trPr>
          <w:trHeight w:val="196"/>
        </w:trPr>
        <w:tc>
          <w:tcPr>
            <w:tcW w:w="4140" w:type="dxa"/>
            <w:vAlign w:val="bottom"/>
          </w:tcPr>
          <w:p>
            <w:pPr>
              <w:ind w:left="2220"/>
              <w:spacing w:after="0"/>
              <w:rPr>
                <w:sz w:val="20"/>
                <w:szCs w:val="20"/>
                <w:color w:val="auto"/>
              </w:rPr>
            </w:pPr>
            <w:r>
              <w:rPr>
                <w:rFonts w:ascii="Arial" w:cs="Arial" w:eastAsia="Arial" w:hAnsi="Arial"/>
                <w:sz w:val="14"/>
                <w:szCs w:val="14"/>
                <w:b w:val="1"/>
                <w:bCs w:val="1"/>
                <w:color w:val="auto"/>
              </w:rPr>
              <w:t>Plan name</w:t>
            </w:r>
          </w:p>
        </w:tc>
        <w:tc>
          <w:tcPr>
            <w:tcW w:w="2780" w:type="dxa"/>
            <w:vAlign w:val="bottom"/>
          </w:tcPr>
          <w:p>
            <w:pPr>
              <w:jc w:val="right"/>
              <w:ind w:right="356"/>
              <w:spacing w:after="0"/>
              <w:rPr>
                <w:sz w:val="20"/>
                <w:szCs w:val="20"/>
                <w:color w:val="auto"/>
              </w:rPr>
            </w:pPr>
            <w:r>
              <w:rPr>
                <w:rFonts w:ascii="Arial" w:cs="Arial" w:eastAsia="Arial" w:hAnsi="Arial"/>
                <w:sz w:val="14"/>
                <w:szCs w:val="14"/>
                <w:b w:val="1"/>
                <w:bCs w:val="1"/>
                <w:color w:val="auto"/>
              </w:rPr>
              <w:t>Restricted Stock</w:t>
            </w:r>
          </w:p>
        </w:tc>
        <w:tc>
          <w:tcPr>
            <w:tcW w:w="1460" w:type="dxa"/>
            <w:vAlign w:val="bottom"/>
          </w:tcPr>
          <w:p>
            <w:pPr>
              <w:jc w:val="right"/>
              <w:ind w:right="596"/>
              <w:spacing w:after="0"/>
              <w:rPr>
                <w:sz w:val="20"/>
                <w:szCs w:val="20"/>
                <w:color w:val="auto"/>
              </w:rPr>
            </w:pPr>
            <w:r>
              <w:rPr>
                <w:rFonts w:ascii="Arial" w:cs="Arial" w:eastAsia="Arial" w:hAnsi="Arial"/>
                <w:sz w:val="14"/>
                <w:szCs w:val="14"/>
                <w:b w:val="1"/>
                <w:bCs w:val="1"/>
                <w:color w:val="auto"/>
              </w:rPr>
              <w:t>RSUs</w:t>
            </w:r>
          </w:p>
        </w:tc>
        <w:tc>
          <w:tcPr>
            <w:tcW w:w="1480" w:type="dxa"/>
            <w:vAlign w:val="bottom"/>
          </w:tcPr>
          <w:p>
            <w:pPr>
              <w:jc w:val="right"/>
              <w:ind w:right="196"/>
              <w:spacing w:after="0"/>
              <w:rPr>
                <w:sz w:val="20"/>
                <w:szCs w:val="20"/>
                <w:color w:val="auto"/>
              </w:rPr>
            </w:pPr>
            <w:r>
              <w:rPr>
                <w:rFonts w:ascii="Arial" w:cs="Arial" w:eastAsia="Arial" w:hAnsi="Arial"/>
                <w:sz w:val="14"/>
                <w:szCs w:val="14"/>
                <w:b w:val="1"/>
                <w:bCs w:val="1"/>
                <w:color w:val="auto"/>
              </w:rPr>
              <w:t>SSAR Awards</w:t>
            </w:r>
          </w:p>
        </w:tc>
        <w:tc>
          <w:tcPr>
            <w:tcW w:w="1560" w:type="dxa"/>
            <w:vAlign w:val="bottom"/>
          </w:tcPr>
          <w:p>
            <w:pPr>
              <w:jc w:val="center"/>
              <w:ind w:left="24"/>
              <w:spacing w:after="0"/>
              <w:rPr>
                <w:sz w:val="20"/>
                <w:szCs w:val="20"/>
                <w:color w:val="auto"/>
              </w:rPr>
            </w:pPr>
            <w:r>
              <w:rPr>
                <w:rFonts w:ascii="Arial" w:cs="Arial" w:eastAsia="Arial" w:hAnsi="Arial"/>
                <w:sz w:val="14"/>
                <w:szCs w:val="14"/>
                <w:b w:val="1"/>
                <w:bCs w:val="1"/>
                <w:color w:val="auto"/>
              </w:rPr>
              <w:t>issuance</w:t>
            </w:r>
          </w:p>
        </w:tc>
      </w:tr>
      <w:tr>
        <w:trPr>
          <w:trHeight w:val="270"/>
        </w:trPr>
        <w:tc>
          <w:tcPr>
            <w:tcW w:w="4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 Plan (1)</w:t>
            </w:r>
          </w:p>
        </w:tc>
        <w:tc>
          <w:tcPr>
            <w:tcW w:w="27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5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3.4</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1"/>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2006 Plan (2)</w:t>
            </w:r>
          </w:p>
        </w:tc>
        <w:tc>
          <w:tcPr>
            <w:tcW w:w="27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0.3</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0.9</w:t>
            </w: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w:t>
            </w:r>
          </w:p>
        </w:tc>
        <w:tc>
          <w:tcPr>
            <w:tcW w:w="1560" w:type="dxa"/>
            <w:vAlign w:val="bottom"/>
            <w:tcBorders>
              <w:bottom w:val="single" w:sz="8" w:color="auto"/>
            </w:tcBorders>
          </w:tcPr>
          <w:p>
            <w:pPr>
              <w:spacing w:after="0"/>
              <w:rPr>
                <w:sz w:val="21"/>
                <w:szCs w:val="2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8"/>
        <w:spacing w:after="0" w:line="309" w:lineRule="auto"/>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unvested RSUs will vest between February 2018 and August 2021 and the outstanding SSAR Awards will expire between March 2020 and May 2020.</w:t>
      </w:r>
    </w:p>
    <w:p>
      <w:pPr>
        <w:spacing w:after="0" w:line="196" w:lineRule="exact"/>
        <w:rPr>
          <w:rFonts w:ascii="Arial" w:cs="Arial" w:eastAsia="Arial" w:hAnsi="Arial"/>
          <w:sz w:val="18"/>
          <w:szCs w:val="18"/>
          <w:color w:val="auto"/>
        </w:rPr>
      </w:pPr>
    </w:p>
    <w:p>
      <w:pPr>
        <w:jc w:val="both"/>
        <w:ind w:firstLine="8"/>
        <w:spacing w:after="0" w:line="247" w:lineRule="exact"/>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unvested restricted stock will vest between February 2018 and February 2021, unvested RSUs will vest between February 2018 and May 2019 and the outstanding SSAR Awards will expire in March 2019.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grant-date fair value price and weighted average remaining vesting term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Unvested Restricted</w:t>
            </w:r>
          </w:p>
        </w:tc>
        <w:tc>
          <w:tcPr>
            <w:tcW w:w="2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 Vesting</w:t>
            </w:r>
          </w:p>
        </w:tc>
      </w:tr>
      <w:tr>
        <w:trPr>
          <w:trHeight w:val="196"/>
        </w:trPr>
        <w:tc>
          <w:tcPr>
            <w:tcW w:w="5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41.18</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70.2</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2.1</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49.95</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39.63</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41.84</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42.69</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54.9</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42.92</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40.40</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43.30</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0.8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43.69</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41.50</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45.80</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9.7</w:t>
            </w:r>
          </w:p>
        </w:tc>
        <w:tc>
          <w:tcPr>
            <w:tcW w:w="152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0.9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39"/>
        </w:trPr>
        <w:tc>
          <w:tcPr>
            <w:tcW w:w="5160" w:type="dxa"/>
            <w:vAlign w:val="bottom"/>
          </w:tcPr>
          <w:p>
            <w:pPr>
              <w:spacing w:after="0"/>
              <w:rPr>
                <w:sz w:val="24"/>
                <w:szCs w:val="24"/>
                <w:color w:val="auto"/>
              </w:rPr>
            </w:pPr>
          </w:p>
        </w:tc>
        <w:tc>
          <w:tcPr>
            <w:tcW w:w="1500" w:type="dxa"/>
            <w:vAlign w:val="bottom"/>
          </w:tcPr>
          <w:p>
            <w:pPr>
              <w:jc w:val="right"/>
              <w:ind w:right="773"/>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aggregate value of restricted stock which vested during 2017, 2016 and 2015 was $7.8 million, $9.6 million and $9.9 million, respectively, based on the average high and low market price of our common stock at the vesting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247"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92"/>
              <w:spacing w:after="0"/>
              <w:rPr>
                <w:sz w:val="20"/>
                <w:szCs w:val="20"/>
                <w:color w:val="auto"/>
              </w:rPr>
            </w:pPr>
            <w:r>
              <w:rPr>
                <w:rFonts w:ascii="Arial" w:cs="Arial" w:eastAsia="Arial" w:hAnsi="Arial"/>
                <w:sz w:val="14"/>
                <w:szCs w:val="14"/>
                <w:b w:val="1"/>
                <w:bCs w:val="1"/>
                <w:color w:val="auto"/>
              </w:rPr>
              <w:t>Grant date Fair</w:t>
            </w:r>
          </w:p>
        </w:tc>
        <w:tc>
          <w:tcPr>
            <w:tcW w:w="1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Aggregate Intrinsic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Contractual Life</w:t>
            </w:r>
          </w:p>
        </w:tc>
      </w:tr>
      <w:tr>
        <w:trPr>
          <w:trHeight w:val="196"/>
        </w:trPr>
        <w:tc>
          <w:tcPr>
            <w:tcW w:w="5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RSUs</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Value Price</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38.55</w:t>
            </w:r>
          </w:p>
        </w:tc>
        <w:tc>
          <w:tcPr>
            <w:tcW w:w="4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51.00</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38.80</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42.65</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2015</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44.23</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42.78</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44.78</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43.28</w:t>
            </w:r>
          </w:p>
        </w:tc>
        <w:tc>
          <w:tcPr>
            <w:tcW w:w="4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37.74</w:t>
            </w: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43.06</w:t>
            </w:r>
          </w:p>
        </w:tc>
        <w:tc>
          <w:tcPr>
            <w:tcW w:w="4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42.43</w:t>
            </w:r>
          </w:p>
        </w:tc>
        <w:tc>
          <w:tcPr>
            <w:tcW w:w="4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r>
      <w:tr>
        <w:trPr>
          <w:trHeight w:val="250"/>
        </w:trPr>
        <w:tc>
          <w:tcPr>
            <w:tcW w:w="6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41.01</w:t>
            </w:r>
          </w:p>
        </w:tc>
        <w:tc>
          <w:tcPr>
            <w:tcW w:w="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43.9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2017, 2016 and 2015 was $7.7 million, $6.2 million and $15.3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SSAR Awards Outstanding</w:t>
            </w: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SSAR Awards Exercisable</w:t>
            </w:r>
          </w:p>
        </w:tc>
        <w:tc>
          <w:tcPr>
            <w:tcW w:w="1120" w:type="dxa"/>
            <w:vAlign w:val="bottom"/>
            <w:tcBorders>
              <w:bottom w:val="single" w:sz="8" w:color="auto"/>
            </w:tcBorders>
          </w:tcPr>
          <w:p>
            <w:pPr>
              <w:spacing w:after="0"/>
              <w:rPr>
                <w:sz w:val="17"/>
                <w:szCs w:val="17"/>
                <w:color w:val="auto"/>
              </w:rPr>
            </w:pPr>
          </w:p>
        </w:tc>
      </w:tr>
      <w:tr>
        <w:trPr>
          <w:trHeight w:val="175"/>
        </w:trPr>
        <w:tc>
          <w:tcPr>
            <w:tcW w:w="2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940" w:type="dxa"/>
            <w:vAlign w:val="bottom"/>
          </w:tcPr>
          <w:p>
            <w:pPr>
              <w:jc w:val="right"/>
              <w:ind w:right="114"/>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96"/>
        </w:trPr>
        <w:tc>
          <w:tcPr>
            <w:tcW w:w="2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SSAR Awards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SSAR Awards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Intrinsic Value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2014</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57.48</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0"/>
        </w:trPr>
        <w:tc>
          <w:tcPr>
            <w:tcW w:w="252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42.91</w:t>
            </w:r>
          </w:p>
        </w:tc>
        <w:tc>
          <w:tcPr>
            <w:tcW w:w="16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42.06</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40.91</w:t>
            </w: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r>
      <w:tr>
        <w:trPr>
          <w:trHeight w:val="25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of December 31, 2016</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42.15</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0"/>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 2017</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42.76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140"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SSAR Awards exercised during 2016 and 2015 was $0.1 million and $0.5 million, respectively.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 we currently use the Black Scholes option pricing model to estimate the fair value of SSAR Awards granted to employees. The weighted average fair value of the SSAR Awards for 2017 was $8.82 and the assumptions used to determine such fair value were as follows: expected term of 4.3 years, volatility of 28.6%, dividend yields of 0.7% and risk-free interest rates of 1.8%. The weighted average fair value of the SSAR Awards for 2016 was $ 12.32 and the assumptions used to determine such fair value were as follows: expected term of 4.5 years, volatility of 29.8%, dividend yields of 0.5% and risk-free interest rates of 1.2%. The weighted average fair value of the SSAR Awards for 2015 was $14.78 and the assumptions used to determine such fair value were as follows: expected term of 4.3 years, volatility of 30.2%, dividend yields of 0.3% and risk-free interest rates of 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there was $47.4 million of total unrecognized compensation cost related to unvested share-based payment awards, which is included as capital in excess of par value in the accompanying consolidated balance sheets. The unrecognized compensation cost as of December 31, 2017 is expected to be recognized as compensation expense over a weighted average period of 1.4 years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Borders>
              <w:bottom w:val="single" w:sz="8" w:color="auto"/>
            </w:tcBorders>
          </w:tcPr>
          <w:p>
            <w:pPr>
              <w:spacing w:after="0"/>
              <w:rPr>
                <w:sz w:val="17"/>
                <w:szCs w:val="17"/>
                <w:color w:val="auto"/>
              </w:rPr>
            </w:pPr>
          </w:p>
        </w:tc>
        <w:tc>
          <w:tcPr>
            <w:tcW w:w="7700" w:type="dxa"/>
            <w:vAlign w:val="bottom"/>
            <w:tcBorders>
              <w:bottom w:val="single" w:sz="8" w:color="auto"/>
            </w:tcBorders>
          </w:tcPr>
          <w:p>
            <w:pPr>
              <w:jc w:val="right"/>
              <w:ind w:right="3656"/>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256"/>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2018</w:t>
            </w:r>
          </w:p>
        </w:tc>
        <w:tc>
          <w:tcPr>
            <w:tcW w:w="77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2019</w:t>
            </w:r>
          </w:p>
        </w:tc>
        <w:tc>
          <w:tcPr>
            <w:tcW w:w="77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63"/>
        </w:trPr>
        <w:tc>
          <w:tcPr>
            <w:tcW w:w="26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2020</w:t>
            </w:r>
          </w:p>
        </w:tc>
        <w:tc>
          <w:tcPr>
            <w:tcW w:w="77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0"/>
        </w:trPr>
        <w:tc>
          <w:tcPr>
            <w:tcW w:w="2640" w:type="dxa"/>
            <w:vAlign w:val="bottom"/>
          </w:tcPr>
          <w:p>
            <w:pPr>
              <w:jc w:val="right"/>
              <w:ind w:right="2110"/>
              <w:spacing w:after="0"/>
              <w:rPr>
                <w:sz w:val="20"/>
                <w:szCs w:val="20"/>
                <w:color w:val="auto"/>
              </w:rPr>
            </w:pPr>
            <w:r>
              <w:rPr>
                <w:rFonts w:ascii="Arial" w:cs="Arial" w:eastAsia="Arial" w:hAnsi="Arial"/>
                <w:sz w:val="18"/>
                <w:szCs w:val="18"/>
                <w:color w:val="auto"/>
              </w:rPr>
              <w:t>2021</w:t>
            </w:r>
          </w:p>
        </w:tc>
        <w:tc>
          <w:tcPr>
            <w:tcW w:w="77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57"/>
        </w:trPr>
        <w:tc>
          <w:tcPr>
            <w:tcW w:w="2640" w:type="dxa"/>
            <w:vAlign w:val="bottom"/>
            <w:tcBorders>
              <w:bottom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rPr>
              <w:t>2022</w:t>
            </w:r>
          </w:p>
        </w:tc>
        <w:tc>
          <w:tcPr>
            <w:tcW w:w="77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50"/>
        </w:trPr>
        <w:tc>
          <w:tcPr>
            <w:tcW w:w="2640" w:type="dxa"/>
            <w:vAlign w:val="bottom"/>
            <w:tcBorders>
              <w:bottom w:val="single" w:sz="8" w:color="auto"/>
            </w:tcBorders>
          </w:tcPr>
          <w:p>
            <w:pPr>
              <w:spacing w:after="0"/>
              <w:rPr>
                <w:sz w:val="21"/>
                <w:szCs w:val="21"/>
                <w:color w:val="auto"/>
              </w:rPr>
            </w:pPr>
          </w:p>
        </w:tc>
        <w:tc>
          <w:tcPr>
            <w:tcW w:w="770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135"/>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115"/>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52"/>
              <w:spacing w:after="0"/>
              <w:rPr>
                <w:sz w:val="20"/>
                <w:szCs w:val="20"/>
                <w:color w:val="auto"/>
              </w:rPr>
            </w:pPr>
            <w:r>
              <w:rPr>
                <w:rFonts w:ascii="Arial" w:cs="Arial" w:eastAsia="Arial" w:hAnsi="Arial"/>
                <w:sz w:val="14"/>
                <w:szCs w:val="14"/>
                <w:b w:val="1"/>
                <w:bCs w:val="1"/>
                <w:color w:val="auto"/>
              </w:rPr>
              <w:t>Accumulated Other</w:t>
            </w:r>
          </w:p>
        </w:tc>
      </w:tr>
      <w:tr>
        <w:trPr>
          <w:trHeight w:val="196"/>
        </w:trPr>
        <w:tc>
          <w:tcPr>
            <w:tcW w:w="6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Cash Flow Hedges</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Comprehensive Loss</w:t>
            </w: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2"/>
                <w:szCs w:val="22"/>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5"/>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63"/>
        </w:trPr>
        <w:tc>
          <w:tcPr>
            <w:tcW w:w="61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360" w:type="dxa"/>
            <w:vAlign w:val="bottom"/>
          </w:tcPr>
          <w:p>
            <w:pPr>
              <w:spacing w:after="0"/>
              <w:rPr>
                <w:sz w:val="22"/>
                <w:szCs w:val="22"/>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7"/>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rPr>
              <w:t>Less: Net other comprehensive (income) loss attributable to noncontrolling</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foreign currency translation adjustment gains for 2017 were primarily due to the strengthening of the British Pound as compared to the U.S. dollar. The foreign currency translation adjustment losses for 2016 were primarily due to the strengthening of the U.S. dollar as compared to the British Pound.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140"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(152.3)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6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36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227.5</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214.2</w:t>
            </w:r>
          </w:p>
        </w:tc>
      </w:tr>
      <w:tr>
        <w:trPr>
          <w:trHeight w:val="264"/>
        </w:trPr>
        <w:tc>
          <w:tcPr>
            <w:tcW w:w="3760" w:type="dxa"/>
            <w:vAlign w:val="bottom"/>
            <w:tcBorders>
              <w:bottom w:val="single" w:sz="8" w:color="auto"/>
            </w:tcBorders>
            <w:shd w:val="clear" w:color="auto" w:fill="CCEEFF"/>
          </w:tcPr>
          <w:p>
            <w:pPr>
              <w:spacing w:after="0"/>
              <w:rPr>
                <w:sz w:val="22"/>
                <w:szCs w:val="22"/>
                <w:color w:val="auto"/>
              </w:rPr>
            </w:pPr>
          </w:p>
        </w:tc>
        <w:tc>
          <w:tcPr>
            <w:tcW w:w="360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142.1</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217.7</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94.6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34.2</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30.4</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r>
      <w:tr>
        <w:trPr>
          <w:trHeight w:val="264"/>
        </w:trPr>
        <w:tc>
          <w:tcPr>
            <w:tcW w:w="458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134.4</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38.7</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w:t>
            </w:r>
          </w:p>
        </w:tc>
        <w:tc>
          <w:tcPr>
            <w:tcW w:w="2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63"/>
        </w:trPr>
        <w:tc>
          <w:tcPr>
            <w:tcW w:w="4580" w:type="dxa"/>
            <w:vAlign w:val="bottom"/>
          </w:tcPr>
          <w:p>
            <w:pPr>
              <w:ind w:left="40"/>
              <w:spacing w:after="0"/>
              <w:rPr>
                <w:sz w:val="20"/>
                <w:szCs w:val="20"/>
                <w:color w:val="auto"/>
              </w:rPr>
            </w:pPr>
            <w:r>
              <w:rPr>
                <w:rFonts w:ascii="Arial" w:cs="Arial" w:eastAsia="Arial" w:hAnsi="Arial"/>
                <w:sz w:val="18"/>
                <w:szCs w:val="18"/>
                <w:color w:val="auto"/>
              </w:rPr>
              <w:t>State</w:t>
            </w:r>
          </w:p>
        </w:tc>
        <w:tc>
          <w:tcPr>
            <w:tcW w:w="2180" w:type="dxa"/>
            <w:vAlign w:val="bottom"/>
          </w:tcPr>
          <w:p>
            <w:pPr>
              <w:spacing w:after="0"/>
              <w:rPr>
                <w:sz w:val="22"/>
                <w:szCs w:val="22"/>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0"/>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13.9</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tax expense (income)</w:t>
            </w:r>
          </w:p>
        </w:tc>
        <w:tc>
          <w:tcPr>
            <w:tcW w:w="2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0.9</w:t>
            </w:r>
          </w:p>
        </w:tc>
        <w:tc>
          <w:tcPr>
            <w:tcW w:w="4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64"/>
        </w:trPr>
        <w:tc>
          <w:tcPr>
            <w:tcW w:w="45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149.2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47.2</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Non-current tax expense (income) is primarily related to income tax associated with the reserve for 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2017</w:t>
            </w:r>
          </w:p>
        </w:tc>
        <w:tc>
          <w:tcPr>
            <w:tcW w:w="1800" w:type="dxa"/>
            <w:vAlign w:val="bottom"/>
            <w:tcBorders>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2016</w:t>
            </w: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24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35.0 %</w:t>
            </w:r>
          </w:p>
        </w:tc>
        <w:tc>
          <w:tcPr>
            <w:tcW w:w="18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35.0 %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Foreign earnings, net of foreign taxes</w:t>
            </w:r>
          </w:p>
        </w:tc>
        <w:tc>
          <w:tcPr>
            <w:tcW w:w="2480" w:type="dxa"/>
            <w:vAlign w:val="bottom"/>
          </w:tcPr>
          <w:p>
            <w:pPr>
              <w:jc w:val="right"/>
              <w:ind w:right="531"/>
              <w:spacing w:after="0"/>
              <w:rPr>
                <w:sz w:val="20"/>
                <w:szCs w:val="20"/>
                <w:color w:val="auto"/>
              </w:rPr>
            </w:pPr>
            <w:r>
              <w:rPr>
                <w:rFonts w:ascii="Arial" w:cs="Arial" w:eastAsia="Arial" w:hAnsi="Arial"/>
                <w:sz w:val="18"/>
                <w:szCs w:val="18"/>
                <w:color w:val="auto"/>
              </w:rPr>
              <w:t>245.4</w:t>
            </w:r>
          </w:p>
        </w:tc>
        <w:tc>
          <w:tcPr>
            <w:tcW w:w="1800" w:type="dxa"/>
            <w:vAlign w:val="bottom"/>
          </w:tcPr>
          <w:p>
            <w:pPr>
              <w:jc w:val="right"/>
              <w:ind w:right="471"/>
              <w:spacing w:after="0"/>
              <w:rPr>
                <w:sz w:val="20"/>
                <w:szCs w:val="20"/>
                <w:color w:val="auto"/>
              </w:rPr>
            </w:pPr>
            <w:r>
              <w:rPr>
                <w:rFonts w:ascii="Arial" w:cs="Arial" w:eastAsia="Arial" w:hAnsi="Arial"/>
                <w:sz w:val="18"/>
                <w:szCs w:val="18"/>
                <w:color w:val="auto"/>
              </w:rPr>
              <w:t>(42.4)</w:t>
            </w: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(28.3)</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income taxes, net of U.S. federal income tax benefit</w:t>
            </w:r>
          </w:p>
        </w:tc>
        <w:tc>
          <w:tcPr>
            <w:tcW w:w="24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(51.8)</w:t>
            </w:r>
          </w:p>
        </w:tc>
        <w:tc>
          <w:tcPr>
            <w:tcW w:w="180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(1.5)</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U.S. tax on deemed dividends</w:t>
            </w:r>
          </w:p>
        </w:tc>
        <w:tc>
          <w:tcPr>
            <w:tcW w:w="2480" w:type="dxa"/>
            <w:vAlign w:val="bottom"/>
          </w:tcPr>
          <w:p>
            <w:pPr>
              <w:jc w:val="right"/>
              <w:ind w:right="471"/>
              <w:spacing w:after="0"/>
              <w:rPr>
                <w:sz w:val="20"/>
                <w:szCs w:val="20"/>
                <w:color w:val="auto"/>
              </w:rPr>
            </w:pPr>
            <w:r>
              <w:rPr>
                <w:rFonts w:ascii="Arial" w:cs="Arial" w:eastAsia="Arial" w:hAnsi="Arial"/>
                <w:sz w:val="18"/>
                <w:szCs w:val="18"/>
                <w:color w:val="auto"/>
              </w:rPr>
              <w:t>(14.0)</w:t>
            </w:r>
          </w:p>
        </w:tc>
        <w:tc>
          <w:tcPr>
            <w:tcW w:w="1800" w:type="dxa"/>
            <w:vAlign w:val="bottom"/>
          </w:tcPr>
          <w:p>
            <w:pPr>
              <w:jc w:val="right"/>
              <w:ind w:right="531"/>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1.7</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Act impact</w:t>
            </w:r>
          </w:p>
        </w:tc>
        <w:tc>
          <w:tcPr>
            <w:tcW w:w="24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(704.3)</w:t>
            </w:r>
          </w:p>
        </w:tc>
        <w:tc>
          <w:tcPr>
            <w:tcW w:w="18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Deferred tax impact on foreign unrepatriated earnings</w:t>
            </w:r>
          </w:p>
        </w:tc>
        <w:tc>
          <w:tcPr>
            <w:tcW w:w="2480" w:type="dxa"/>
            <w:vAlign w:val="bottom"/>
          </w:tcPr>
          <w:p>
            <w:pPr>
              <w:jc w:val="right"/>
              <w:ind w:right="471"/>
              <w:spacing w:after="0"/>
              <w:rPr>
                <w:sz w:val="20"/>
                <w:szCs w:val="20"/>
                <w:color w:val="auto"/>
              </w:rPr>
            </w:pPr>
            <w:r>
              <w:rPr>
                <w:rFonts w:ascii="Arial" w:cs="Arial" w:eastAsia="Arial" w:hAnsi="Arial"/>
                <w:sz w:val="18"/>
                <w:szCs w:val="18"/>
                <w:color w:val="auto"/>
              </w:rPr>
              <w:t>(65.5)</w:t>
            </w:r>
          </w:p>
        </w:tc>
        <w:tc>
          <w:tcPr>
            <w:tcW w:w="180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24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(81.5)</w:t>
            </w:r>
          </w:p>
        </w:tc>
        <w:tc>
          <w:tcPr>
            <w:tcW w:w="18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Sale of subsidiary</w:t>
            </w:r>
          </w:p>
        </w:tc>
        <w:tc>
          <w:tcPr>
            <w:tcW w:w="24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31"/>
              <w:spacing w:after="0"/>
              <w:rPr>
                <w:sz w:val="20"/>
                <w:szCs w:val="20"/>
                <w:color w:val="auto"/>
              </w:rPr>
            </w:pPr>
            <w:r>
              <w:rPr>
                <w:rFonts w:ascii="Arial" w:cs="Arial" w:eastAsia="Arial" w:hAnsi="Arial"/>
                <w:sz w:val="18"/>
                <w:szCs w:val="18"/>
                <w:color w:val="auto"/>
              </w:rPr>
              <w:t>3.8</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4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(4.1)</w:t>
            </w:r>
          </w:p>
        </w:tc>
        <w:tc>
          <w:tcPr>
            <w:tcW w:w="18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9.2</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10.3</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Tax authority settlements</w:t>
            </w:r>
          </w:p>
        </w:tc>
        <w:tc>
          <w:tcPr>
            <w:tcW w:w="2480" w:type="dxa"/>
            <w:vAlign w:val="bottom"/>
          </w:tcPr>
          <w:p>
            <w:pPr>
              <w:jc w:val="right"/>
              <w:ind w:right="471"/>
              <w:spacing w:after="0"/>
              <w:rPr>
                <w:sz w:val="20"/>
                <w:szCs w:val="20"/>
                <w:color w:val="auto"/>
              </w:rPr>
            </w:pPr>
            <w:r>
              <w:rPr>
                <w:rFonts w:ascii="Arial" w:cs="Arial" w:eastAsia="Arial" w:hAnsi="Arial"/>
                <w:sz w:val="18"/>
                <w:szCs w:val="18"/>
                <w:color w:val="auto"/>
              </w:rPr>
              <w:t>(10.0)</w:t>
            </w:r>
          </w:p>
        </w:tc>
        <w:tc>
          <w:tcPr>
            <w:tcW w:w="180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Nontaxable interest income</w:t>
            </w:r>
          </w:p>
        </w:tc>
        <w:tc>
          <w:tcPr>
            <w:tcW w:w="24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36.9</w:t>
            </w:r>
          </w:p>
        </w:tc>
        <w:tc>
          <w:tcPr>
            <w:tcW w:w="18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Nondeductible interest expense</w:t>
            </w:r>
          </w:p>
        </w:tc>
        <w:tc>
          <w:tcPr>
            <w:tcW w:w="2480" w:type="dxa"/>
            <w:vAlign w:val="bottom"/>
          </w:tcPr>
          <w:p>
            <w:pPr>
              <w:jc w:val="right"/>
              <w:ind w:right="471"/>
              <w:spacing w:after="0"/>
              <w:rPr>
                <w:sz w:val="20"/>
                <w:szCs w:val="20"/>
                <w:color w:val="auto"/>
              </w:rPr>
            </w:pPr>
            <w:r>
              <w:rPr>
                <w:rFonts w:ascii="Arial" w:cs="Arial" w:eastAsia="Arial" w:hAnsi="Arial"/>
                <w:sz w:val="18"/>
                <w:szCs w:val="18"/>
                <w:color w:val="auto"/>
              </w:rPr>
              <w:t>(12.6)</w:t>
            </w:r>
          </w:p>
        </w:tc>
        <w:tc>
          <w:tcPr>
            <w:tcW w:w="180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4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(19.6)</w:t>
            </w:r>
          </w:p>
        </w:tc>
        <w:tc>
          <w:tcPr>
            <w:tcW w:w="180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64"/>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permanent differences</w:t>
            </w:r>
          </w:p>
        </w:tc>
        <w:tc>
          <w:tcPr>
            <w:tcW w:w="24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(61.0)</w:t>
            </w:r>
          </w:p>
        </w:tc>
        <w:tc>
          <w:tcPr>
            <w:tcW w:w="18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3.6</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w:t>
            </w:r>
          </w:p>
        </w:tc>
      </w:tr>
      <w:tr>
        <w:trPr>
          <w:trHeight w:val="264"/>
        </w:trPr>
        <w:tc>
          <w:tcPr>
            <w:tcW w:w="5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4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rPr>
              <w:t>(707.1)%</w:t>
            </w:r>
          </w:p>
        </w:tc>
        <w:tc>
          <w:tcPr>
            <w:tcW w:w="180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11.0 %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22, 2017, the U.S. President signed into law the Tax Act. This legislation will significantly change the U.S. Internal Revenue Code, including taxation of U.S. corporations, by, among other things, limiting interest deductions,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20"/>
          </w:cols>
          <w:pgMar w:left="240" w:top="140"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reducing the U.S. corporate income tax rate, altering the expensing of capital expenditures, adopting elements of a territorial tax system, GILTI, assessing a repatriation tax or “toll-charge” on undistributed earnings and profits of U.S.-owned foreign corporations, and introducing certain anti-base erosion provisions. The legislation is unclear in certain respects and will require interpretations and implementing regulations by the IRS, as well as state tax authorities, and the legislation could be subject to potential amendments and technical corrections, any of which could increase certain adverse impacts of the legislation.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2017, our effective income tax rate was (707.1)%, and our income tax provision was $149.2 million, as compared to an effective income tax rate of 11.0% and an income tax provision of $15.7 million for 2016. The higher effective income tax rate for 2017, as compared to 2016, resulted principally from the effects of the Tax Act's $143.7 million one-time transition tax on historic accumulated foreign earnings. Without the transition tax charge, the effective income tax rate for 2017 would have been (25.9)%.</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2016, our effective income tax rate was 11.0%, for an income tax provision of $15.7 million, as compared to an effective income tax rate of 21.7% and an income tax provision of $47.2 million for 2015. The lower effective income tax rate for 2016 resulted primarily from differences in the results of our subsidiaries in tax jurisdictions with different income tax rates.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2015, our effective income tax rate was 21.7%, for an income tax provision of $47.2 million, as compared to an effective income tax rate of 19.5% and an income tax provision of $53.6 million for 2014. The higher effective income tax rate for 2015 compared to 2014, resulted primarily from differences in the results of our subsidiaries in tax jurisdictions with different income tax rates.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September 30, 2017, we considered all of the earnings in our non-U.S. subsidiaries to be indefinitely reinvested and, accordingly, recorded no deferred income taxes. The passage of the Tax Act in December of 2017 dramatically changed the US taxation of foreign earnings. Following a transition period and one-time toll charge of our foreign earnings and profits, foreign dividends will be exempt from US federal income tax.</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analyzed our global working capital and cash requirements and the potential tax liabilities attributable to repatriation and have determined that we intend to continue our assertion to permanently reinvest $725 million of our foreign earnings in non-US business operations. For these investments, due to uncertainty in foreign law, it is not practical to determine the amount of deferred taxes payable if such earnings are not reinvested indefinitely. For the remaining $1.7 billion accumulated foreign earnings that are actually or deemed repatriated, we have made a reasonable provisional estimate of the associated foreign withholding and state income tax effects of $13.8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Net operating loss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23.0</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and other share-based compensation</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foreign income tax credits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income tax credits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gross deferred tax assets</w:t>
            </w:r>
          </w:p>
        </w:tc>
        <w:tc>
          <w:tcPr>
            <w:tcW w:w="1160" w:type="dxa"/>
            <w:vAlign w:val="bottom"/>
          </w:tcPr>
          <w:p>
            <w:pPr>
              <w:spacing w:after="0"/>
              <w:rPr>
                <w:sz w:val="22"/>
                <w:szCs w:val="22"/>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63.7</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93.2</w:t>
            </w: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11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24.6</w:t>
            </w:r>
          </w:p>
        </w:tc>
        <w:tc>
          <w:tcPr>
            <w:tcW w:w="7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deferred tax assets, net of valuation allowance</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39.1</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86.1</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and intangible assets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Unrealized foreign exchange</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7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 deductible for tax purposes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costs on foreign unrepatriated earnings</w:t>
            </w:r>
          </w:p>
        </w:tc>
        <w:tc>
          <w:tcPr>
            <w:tcW w:w="116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7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derivatives</w:t>
            </w:r>
          </w:p>
        </w:tc>
        <w:tc>
          <w:tcPr>
            <w:tcW w:w="1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6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1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30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liability</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31.7</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1"/>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Reported on the consolidated balance sheets as:</w:t>
            </w: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7"/>
        </w:trPr>
        <w:tc>
          <w:tcPr>
            <w:tcW w:w="7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44"/>
        </w:trPr>
        <w:tc>
          <w:tcPr>
            <w:tcW w:w="7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 liabilities, net for deferred tax liabilities, non-current</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44.5</w:t>
            </w:r>
          </w:p>
        </w:tc>
        <w:tc>
          <w:tcPr>
            <w:tcW w:w="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39"/>
        </w:trPr>
        <w:tc>
          <w:tcPr>
            <w:tcW w:w="7640" w:type="dxa"/>
            <w:vAlign w:val="bottom"/>
          </w:tcPr>
          <w:p>
            <w:pPr>
              <w:ind w:left="5640"/>
              <w:spacing w:after="0"/>
              <w:rPr>
                <w:sz w:val="20"/>
                <w:szCs w:val="20"/>
                <w:color w:val="auto"/>
              </w:rPr>
            </w:pPr>
            <w:r>
              <w:rPr>
                <w:rFonts w:ascii="Arial" w:cs="Arial" w:eastAsia="Arial" w:hAnsi="Arial"/>
                <w:sz w:val="14"/>
                <w:szCs w:val="14"/>
                <w:color w:val="auto"/>
              </w:rPr>
              <w:t>82</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and 2016, we had net operating losses (“NOLs”) of approximately $240.3 million and $106.2 million, respectively. The NOLs as of December 31, 2017 originated in various U.S. states and countries including Argentina, Australia, South Africa, Brazil, Puerto Rico, France, Italy, Canada, and the Netherlands. We have recorded a deferred tax asset of $23.0 million reflecting the benefit of the NOL carryforward as of December 31, 2017. This deferred tax asset expires as follows (in millions):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80" w:type="dxa"/>
            <w:vAlign w:val="bottom"/>
          </w:tcPr>
          <w:p>
            <w:pPr>
              <w:jc w:val="right"/>
              <w:ind w:right="532"/>
              <w:spacing w:after="0"/>
              <w:rPr>
                <w:sz w:val="20"/>
                <w:szCs w:val="20"/>
                <w:color w:val="auto"/>
              </w:rPr>
            </w:pPr>
            <w:r>
              <w:rPr>
                <w:rFonts w:ascii="Arial" w:cs="Arial" w:eastAsia="Arial" w:hAnsi="Arial"/>
                <w:sz w:val="14"/>
                <w:szCs w:val="14"/>
                <w:b w:val="1"/>
                <w:bCs w:val="1"/>
                <w:color w:val="auto"/>
              </w:rPr>
              <w:t>Deferred</w:t>
            </w:r>
          </w:p>
        </w:tc>
      </w:tr>
      <w:tr>
        <w:trPr>
          <w:trHeight w:val="196"/>
        </w:trPr>
        <w:tc>
          <w:tcPr>
            <w:tcW w:w="7460" w:type="dxa"/>
            <w:vAlign w:val="bottom"/>
            <w:tcBorders>
              <w:bottom w:val="single" w:sz="8" w:color="auto"/>
            </w:tcBorders>
          </w:tcPr>
          <w:p>
            <w:pPr>
              <w:ind w:left="4260"/>
              <w:spacing w:after="0"/>
              <w:rPr>
                <w:sz w:val="20"/>
                <w:szCs w:val="20"/>
                <w:color w:val="auto"/>
              </w:rPr>
            </w:pPr>
            <w:r>
              <w:rPr>
                <w:rFonts w:ascii="Arial" w:cs="Arial" w:eastAsia="Arial" w:hAnsi="Arial"/>
                <w:sz w:val="14"/>
                <w:szCs w:val="14"/>
                <w:b w:val="1"/>
                <w:bCs w:val="1"/>
                <w:color w:val="auto"/>
              </w:rPr>
              <w:t>Expiration Date</w:t>
            </w:r>
          </w:p>
        </w:tc>
        <w:tc>
          <w:tcPr>
            <w:tcW w:w="24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Tax Asset</w:t>
            </w:r>
          </w:p>
        </w:tc>
      </w:tr>
      <w:tr>
        <w:trPr>
          <w:trHeight w:val="256"/>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c>
          <w:tcPr>
            <w:tcW w:w="2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2021</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2022</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2024</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2025</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2026</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2027</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2028</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2029</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2031</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2032</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2033</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2034</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2035</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63"/>
        </w:trPr>
        <w:tc>
          <w:tcPr>
            <w:tcW w:w="7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2036</w:t>
            </w:r>
          </w:p>
        </w:tc>
        <w:tc>
          <w:tcPr>
            <w:tcW w:w="24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50"/>
        </w:trPr>
        <w:tc>
          <w:tcPr>
            <w:tcW w:w="7460" w:type="dxa"/>
            <w:vAlign w:val="bottom"/>
          </w:tcPr>
          <w:p>
            <w:pPr>
              <w:ind w:left="40"/>
              <w:spacing w:after="0"/>
              <w:rPr>
                <w:sz w:val="20"/>
                <w:szCs w:val="20"/>
                <w:color w:val="auto"/>
              </w:rPr>
            </w:pPr>
            <w:r>
              <w:rPr>
                <w:rFonts w:ascii="Arial" w:cs="Arial" w:eastAsia="Arial" w:hAnsi="Arial"/>
                <w:sz w:val="18"/>
                <w:szCs w:val="18"/>
                <w:color w:val="auto"/>
              </w:rPr>
              <w:t>December 31, 2037</w:t>
            </w:r>
          </w:p>
        </w:tc>
        <w:tc>
          <w:tcPr>
            <w:tcW w:w="2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57"/>
        </w:trPr>
        <w:tc>
          <w:tcPr>
            <w:tcW w:w="7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24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50"/>
        </w:trPr>
        <w:tc>
          <w:tcPr>
            <w:tcW w:w="7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2017, a valuation allowance of $24.6 million has been recorded to recognize only the portion of the deferred tax assets related to NOLs and other deferred tax assets that are more likely than not to be realized.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operated under a special income tax concession in Singapore which began January 1, 2008. Our current five year special income tax concession was effective on January 1, 2013.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derivative gains and losses. The impact of this income tax concession decreased (increased) foreign income taxes by $1.3 million, $2.7 million, and $(7.7) million for 2017, 2016 and 2015 respectively. The impact of the income tax concession on basic earnings per common share was $0.02, $0.04, and $ (0.11) for 2017, 2016 and 2015 respectively. On a diluted earnings per common share basis, the impact was $0.02, $0.04, and $(0.11) for 2017, 2016 and 2015 respectively. The special income tax concession in Singapore has been renewed effective January 1, 2018 for the next five year period.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recorded a decrease of $3.4 million of liabilities related to unrecognized income tax benefits (“Unrecognized Tax Liabilities”) and an increase of $19.8 million of assets related to unrecognized income tax benefits (“Unrecognized Tax Assets”) during 2017. In addition, during 2017, we recorded an increase of $1.4 million to our Unrecognized Tax Liabilities related to a foreign currency translation loss, which is included in other income (expense), net, in the accompanying consolidated statements of income and comprehensive income. As of December 31, 2017, our Unrecognized Tax Liabilities, including penalties and interest, were $ 72.6 million and our Unrecognized Tax Assets were $25.4 million. During 2016, we recorded an increase of $14.4 million of liabilities related to Unrecognized Tax Liabilities and an increase of $3.2 million of assets related to Unrecognized Tax Assets. In addition, during 2016, we recorded a decrease of $0.1 million to our Unrecognized Tax Liabilities related to a foreign currency translation gain, which is included in other income (expense), net, in the accompanying consolidated statements of income and comprehensive income. As of December 31, 2016, our Unrecognized Tax Liabilities, including penalties and interest, were $62.2 million and our Unrecognized Tax Assets were $5.6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gross unrecognized income tax liabilities for the year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Unrecognized Tax Liabilities – opening balance</w:t>
            </w:r>
          </w:p>
        </w:tc>
        <w:tc>
          <w:tcPr>
            <w:tcW w:w="2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prior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prior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increases – tax positions in current period</w:t>
            </w:r>
          </w:p>
        </w:tc>
        <w:tc>
          <w:tcPr>
            <w:tcW w:w="2040" w:type="dxa"/>
            <w:vAlign w:val="bottom"/>
          </w:tcPr>
          <w:p>
            <w:pPr>
              <w:spacing w:after="0"/>
              <w:rPr>
                <w:sz w:val="22"/>
                <w:szCs w:val="22"/>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22.0</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decreases – tax positions in current period</w:t>
            </w:r>
          </w:p>
        </w:tc>
        <w:tc>
          <w:tcPr>
            <w:tcW w:w="2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0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22"/>
                <w:szCs w:val="22"/>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5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2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Unrecognized Tax Liabilities – ending balance</w:t>
            </w:r>
          </w:p>
        </w:tc>
        <w:tc>
          <w:tcPr>
            <w:tcW w:w="2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62.2</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47.8</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gross Unrecognized Tax Liabilities, net of our Unrecognized Tax Assets of $25.4 million, as of December 31, 2017 are settled by the taxing authorities in our favor, our income tax expense would be reduced by $33.4 million (exclusive of interest and penalties) in the period the matter is considered settled in accordance with Accounting Standards Codification 740. This would have the impact of reducing our 2017 effective income tax rate by 158.2%. As of December 31, 2017, it does not appear that the total amount of our unrecognized income tax benefits will materially increase or decrease within the next twelve months.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$3.4 million during 2017 and income of $(0.7) million and an expense $0.9 million during 2016 and 2015, respectively. For penalties, we recorded expense of $0.1 million, $2.3 million and income of $0.3 million during 2017, 2016 and 2015, respectively. As of December 31, 2017 and 2016, we had recognized liabilities of $7.3 million and $4.3 million for interest and $6.5 million and $6.5 million for penalties, respectively.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quarters ended March 31, 2017 and June 30, 2017, the Korean Branch of one of our subsidiaries received income tax assessment notices for $9.7 million (KRW 10.4 billion) for the years 2011 through 2014 from the South Korea tax authorities. We disagree with the Korean tax authorities' assessment and are appealing.</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3760" w:type="dxa"/>
            <w:vAlign w:val="bottom"/>
            <w:tcBorders>
              <w:bottom w:val="single" w:sz="8" w:color="auto"/>
            </w:tcBorders>
            <w:gridSpan w:val="2"/>
          </w:tcPr>
          <w:p>
            <w:pPr>
              <w:jc w:val="right"/>
              <w:ind w:right="1294"/>
              <w:spacing w:after="0"/>
              <w:rPr>
                <w:sz w:val="20"/>
                <w:szCs w:val="20"/>
                <w:color w:val="auto"/>
              </w:rPr>
            </w:pPr>
            <w:r>
              <w:rPr>
                <w:rFonts w:ascii="Arial" w:cs="Arial" w:eastAsia="Arial" w:hAnsi="Arial"/>
                <w:sz w:val="14"/>
                <w:szCs w:val="14"/>
                <w:b w:val="1"/>
                <w:bCs w:val="1"/>
                <w:color w:val="auto"/>
              </w:rPr>
              <w:t>Open Tax Year</w:t>
            </w:r>
          </w:p>
        </w:tc>
      </w:tr>
      <w:tr>
        <w:trPr>
          <w:trHeight w:val="175"/>
        </w:trPr>
        <w:tc>
          <w:tcPr>
            <w:tcW w:w="7660" w:type="dxa"/>
            <w:vAlign w:val="bottom"/>
          </w:tcPr>
          <w:p>
            <w:pPr>
              <w:spacing w:after="0"/>
              <w:rPr>
                <w:sz w:val="15"/>
                <w:szCs w:val="15"/>
                <w:color w:val="auto"/>
              </w:rPr>
            </w:pPr>
          </w:p>
        </w:tc>
        <w:tc>
          <w:tcPr>
            <w:tcW w:w="2040" w:type="dxa"/>
            <w:vAlign w:val="bottom"/>
          </w:tcPr>
          <w:p>
            <w:pPr>
              <w:jc w:val="right"/>
              <w:ind w:right="616"/>
              <w:spacing w:after="0"/>
              <w:rPr>
                <w:sz w:val="20"/>
                <w:szCs w:val="20"/>
                <w:color w:val="auto"/>
              </w:rPr>
            </w:pPr>
            <w:r>
              <w:rPr>
                <w:rFonts w:ascii="Arial" w:cs="Arial" w:eastAsia="Arial" w:hAnsi="Arial"/>
                <w:sz w:val="14"/>
                <w:szCs w:val="14"/>
                <w:b w:val="1"/>
                <w:bCs w:val="1"/>
                <w:color w:val="auto"/>
              </w:rPr>
              <w:t>Examination</w:t>
            </w:r>
          </w:p>
        </w:tc>
        <w:tc>
          <w:tcPr>
            <w:tcW w:w="1720" w:type="dxa"/>
            <w:vAlign w:val="bottom"/>
          </w:tcPr>
          <w:p>
            <w:pPr>
              <w:jc w:val="right"/>
              <w:ind w:right="274"/>
              <w:spacing w:after="0"/>
              <w:rPr>
                <w:sz w:val="20"/>
                <w:szCs w:val="20"/>
                <w:color w:val="auto"/>
              </w:rPr>
            </w:pPr>
            <w:r>
              <w:rPr>
                <w:rFonts w:ascii="Arial" w:cs="Arial" w:eastAsia="Arial" w:hAnsi="Arial"/>
                <w:sz w:val="14"/>
                <w:szCs w:val="14"/>
                <w:b w:val="1"/>
                <w:bCs w:val="1"/>
                <w:color w:val="auto"/>
              </w:rPr>
              <w:t>Examination not</w:t>
            </w:r>
          </w:p>
        </w:tc>
      </w:tr>
      <w:tr>
        <w:trPr>
          <w:trHeight w:val="196"/>
        </w:trPr>
        <w:tc>
          <w:tcPr>
            <w:tcW w:w="766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Jurisdiction</w:t>
            </w:r>
          </w:p>
        </w:tc>
        <w:tc>
          <w:tcPr>
            <w:tcW w:w="20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in progress</w:t>
            </w:r>
          </w:p>
        </w:tc>
        <w:tc>
          <w:tcPr>
            <w:tcW w:w="17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yet initiated</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2013 - 2016</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Korea</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2011 - 2014</w:t>
            </w:r>
          </w:p>
        </w:tc>
        <w:tc>
          <w:tcPr>
            <w:tcW w:w="1720" w:type="dxa"/>
            <w:vAlign w:val="bottom"/>
          </w:tcPr>
          <w:p>
            <w:pPr>
              <w:jc w:val="right"/>
              <w:spacing w:after="0"/>
              <w:rPr>
                <w:sz w:val="20"/>
                <w:szCs w:val="20"/>
                <w:color w:val="auto"/>
              </w:rPr>
            </w:pPr>
            <w:r>
              <w:rPr>
                <w:rFonts w:ascii="Arial" w:cs="Arial" w:eastAsia="Arial" w:hAnsi="Arial"/>
                <w:sz w:val="18"/>
                <w:szCs w:val="18"/>
                <w:color w:val="auto"/>
              </w:rPr>
              <w:t>2015 - 2017</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2013 - 2015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2016 - 2017</w:t>
            </w:r>
          </w:p>
        </w:tc>
      </w:tr>
      <w:tr>
        <w:trPr>
          <w:trHeight w:val="263"/>
        </w:trPr>
        <w:tc>
          <w:tcPr>
            <w:tcW w:w="76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040" w:type="dxa"/>
            <w:vAlign w:val="bottom"/>
          </w:tcPr>
          <w:p>
            <w:pPr>
              <w:jc w:val="right"/>
              <w:ind w:right="156"/>
              <w:spacing w:after="0"/>
              <w:rPr>
                <w:sz w:val="20"/>
                <w:szCs w:val="20"/>
                <w:color w:val="auto"/>
              </w:rPr>
            </w:pPr>
            <w:r>
              <w:rPr>
                <w:rFonts w:ascii="Arial" w:cs="Arial" w:eastAsia="Arial" w:hAnsi="Arial"/>
                <w:sz w:val="18"/>
                <w:szCs w:val="18"/>
                <w:color w:val="auto"/>
              </w:rPr>
              <w:t>None</w:t>
            </w:r>
          </w:p>
        </w:tc>
        <w:tc>
          <w:tcPr>
            <w:tcW w:w="1720" w:type="dxa"/>
            <w:vAlign w:val="bottom"/>
          </w:tcPr>
          <w:p>
            <w:pPr>
              <w:jc w:val="right"/>
              <w:spacing w:after="0"/>
              <w:rPr>
                <w:sz w:val="20"/>
                <w:szCs w:val="20"/>
                <w:color w:val="auto"/>
              </w:rPr>
            </w:pPr>
            <w:r>
              <w:rPr>
                <w:rFonts w:ascii="Arial" w:cs="Arial" w:eastAsia="Arial" w:hAnsi="Arial"/>
                <w:sz w:val="18"/>
                <w:szCs w:val="18"/>
                <w:color w:val="auto"/>
              </w:rPr>
              <w:t>2013 - 2017</w:t>
            </w:r>
          </w:p>
        </w:tc>
      </w:tr>
      <w:tr>
        <w:trPr>
          <w:trHeight w:val="27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None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2012 - 2017</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Denmark</w:t>
            </w:r>
          </w:p>
        </w:tc>
        <w:tc>
          <w:tcPr>
            <w:tcW w:w="20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2013 - 2015</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2016 - 2017</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w:t>
      </w:r>
      <w:r>
        <w:rPr>
          <w:rFonts w:ascii="MS PGothic" w:cs="MS PGothic" w:eastAsia="MS PGothic" w:hAnsi="MS PGothic"/>
          <w:sz w:val="18"/>
          <w:szCs w:val="18"/>
          <w:color w:val="auto"/>
        </w:rPr>
        <w:t>‑</w:t>
      </w:r>
      <w:r>
        <w:rPr>
          <w:rFonts w:ascii="Arial" w:cs="Arial" w:eastAsia="Arial" w:hAnsi="Arial"/>
          <w:sz w:val="18"/>
          <w:szCs w:val="18"/>
          <w:color w:val="auto"/>
        </w:rPr>
        <w:t>term maturities of these instruments. The carrying values of our debt and notes receivables approximate fair value since these instruments bear interest either at variable rates or fixed rates which are not materially different than market rates. Based on the fair value hierarchy, our debt of $0.9 billion and $1.2 billion as of December 31, 2017 and December 31, 2016, respectively, and our notes receivable of $44.9 million and $16.9 million as of December 31, 2017 and December 31, 2016, respectively are categorized in Level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gross assets and liabilities that are measured at fair value on a recurring basis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(in millions):</w:t>
      </w:r>
    </w:p>
    <w:p>
      <w:pPr>
        <w:spacing w:after="0" w:line="200" w:lineRule="exact"/>
        <w:rPr>
          <w:sz w:val="20"/>
          <w:szCs w:val="20"/>
          <w:color w:val="auto"/>
        </w:rPr>
      </w:pPr>
    </w:p>
    <w:p>
      <w:pPr>
        <w:spacing w:after="0" w:line="22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196.3</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303.6</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196.3</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5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317.7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210.6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111.8</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323.9</w:t>
            </w: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210.6</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120.5</w:t>
            </w:r>
          </w:p>
        </w:tc>
        <w:tc>
          <w:tcPr>
            <w:tcW w:w="5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332.5</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gridSpan w:val="7"/>
          </w:tcPr>
          <w:p>
            <w:pPr>
              <w:spacing w:after="0" w:line="20" w:lineRule="exact"/>
              <w:rPr>
                <w:sz w:val="1"/>
                <w:szCs w:val="1"/>
                <w:color w:val="auto"/>
              </w:rPr>
            </w:pPr>
          </w:p>
        </w:tc>
      </w:tr>
      <w:tr>
        <w:trPr>
          <w:trHeight w:val="602"/>
        </w:trPr>
        <w:tc>
          <w:tcPr>
            <w:tcW w:w="6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jc w:val="right"/>
              <w:ind w:right="812"/>
              <w:spacing w:after="0"/>
              <w:rPr>
                <w:sz w:val="20"/>
                <w:szCs w:val="20"/>
                <w:color w:val="auto"/>
              </w:rPr>
            </w:pPr>
            <w:r>
              <w:rPr>
                <w:rFonts w:ascii="Arial" w:cs="Arial" w:eastAsia="Arial" w:hAnsi="Arial"/>
                <w:sz w:val="14"/>
                <w:szCs w:val="14"/>
                <w:b w:val="1"/>
                <w:bCs w:val="1"/>
                <w:color w:val="auto"/>
              </w:rPr>
              <w:t>Fair Value Measurements as of December 31, 2016</w:t>
            </w:r>
          </w:p>
        </w:tc>
      </w:tr>
      <w:tr>
        <w:trPr>
          <w:trHeight w:val="264"/>
        </w:trPr>
        <w:tc>
          <w:tcPr>
            <w:tcW w:w="6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Level 1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2 Inputs</w:t>
            </w: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Level 3 Inputs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Total Fair Value</w:t>
            </w: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273.6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331.2</w:t>
            </w:r>
          </w:p>
        </w:tc>
      </w:tr>
      <w:tr>
        <w:trPr>
          <w:trHeight w:val="277"/>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surrender value of life insurance</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4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273.6</w:t>
            </w:r>
          </w:p>
        </w:tc>
        <w:tc>
          <w:tcPr>
            <w:tcW w:w="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5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351.2</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616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8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236.6</w:t>
            </w:r>
          </w:p>
        </w:tc>
        <w:tc>
          <w:tcPr>
            <w:tcW w:w="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326.1</w:t>
            </w: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5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64"/>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at fair value</w:t>
            </w: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236.6</w:t>
            </w:r>
          </w:p>
        </w:tc>
        <w:tc>
          <w:tcPr>
            <w:tcW w:w="4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95.2</w:t>
            </w:r>
          </w:p>
        </w:tc>
        <w:tc>
          <w:tcPr>
            <w:tcW w:w="54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332.5</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140"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were no transfers between Level 1 and Level 2 during the periods presented. The fair values of our commodity contracts measured using Level 3 inputs were not material at December 31, 2017 and 2016, respectively.</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Fair Value as of December 31, 2017</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71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303.6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228.4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75.1</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53.9</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235.2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76.9</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21.2</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55.7</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228.4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95.4</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56.2</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6.7</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332.5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235.2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97.4</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39.2</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18"/>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Fair Value as of December 31, 2016</w:t>
            </w: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716"/>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114"/>
              <w:spacing w:after="0"/>
              <w:rPr>
                <w:sz w:val="20"/>
                <w:szCs w:val="20"/>
                <w:color w:val="auto"/>
              </w:rPr>
            </w:pPr>
            <w:r>
              <w:rPr>
                <w:rFonts w:ascii="Arial" w:cs="Arial" w:eastAsia="Arial" w:hAnsi="Arial"/>
                <w:sz w:val="14"/>
                <w:szCs w:val="14"/>
                <w:b w:val="1"/>
                <w:bCs w:val="1"/>
                <w:color w:val="auto"/>
              </w:rPr>
              <w:t>Gross Amounts</w:t>
            </w:r>
          </w:p>
        </w:tc>
        <w:tc>
          <w:tcPr>
            <w:tcW w:w="320" w:type="dxa"/>
            <w:vAlign w:val="bottom"/>
          </w:tcPr>
          <w:p>
            <w:pPr>
              <w:spacing w:after="0"/>
              <w:rPr>
                <w:sz w:val="14"/>
                <w:szCs w:val="14"/>
                <w:color w:val="auto"/>
              </w:rPr>
            </w:pPr>
          </w:p>
        </w:tc>
        <w:tc>
          <w:tcPr>
            <w:tcW w:w="940" w:type="dxa"/>
            <w:vAlign w:val="bottom"/>
          </w:tcPr>
          <w:p>
            <w:pPr>
              <w:jc w:val="center"/>
              <w:ind w:right="156"/>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4"/>
                <w:szCs w:val="14"/>
                <w:color w:val="auto"/>
              </w:rPr>
            </w:pPr>
          </w:p>
        </w:tc>
        <w:tc>
          <w:tcPr>
            <w:tcW w:w="1220" w:type="dxa"/>
            <w:vAlign w:val="bottom"/>
          </w:tcPr>
          <w:p>
            <w:pPr>
              <w:jc w:val="center"/>
              <w:ind w:right="115"/>
              <w:spacing w:after="0"/>
              <w:rPr>
                <w:sz w:val="20"/>
                <w:szCs w:val="20"/>
                <w:color w:val="auto"/>
              </w:rPr>
            </w:pPr>
            <w:r>
              <w:rPr>
                <w:rFonts w:ascii="Arial" w:cs="Arial" w:eastAsia="Arial" w:hAnsi="Arial"/>
                <w:sz w:val="14"/>
                <w:szCs w:val="14"/>
                <w:b w:val="1"/>
                <w:bCs w:val="1"/>
                <w:color w:val="333333"/>
              </w:rPr>
              <w:t>Net Amounts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Right of</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2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Recognized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Offset</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333333"/>
              </w:rPr>
              <w:t>Presented</w:t>
            </w:r>
          </w:p>
        </w:tc>
        <w:tc>
          <w:tcPr>
            <w:tcW w:w="14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Cash Collateral</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Offset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333333"/>
              </w:rPr>
              <w:t>Net Amounts</w:t>
            </w: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331.2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6"/>
              <w:spacing w:after="0"/>
              <w:rPr>
                <w:sz w:val="20"/>
                <w:szCs w:val="20"/>
                <w:color w:val="auto"/>
              </w:rPr>
            </w:pPr>
            <w:r>
              <w:rPr>
                <w:rFonts w:ascii="Arial" w:cs="Arial" w:eastAsia="Arial" w:hAnsi="Arial"/>
                <w:sz w:val="18"/>
                <w:szCs w:val="18"/>
                <w:color w:val="auto"/>
              </w:rPr>
              <w:t>249.7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81.5</w:t>
            </w:r>
          </w:p>
        </w:tc>
        <w:tc>
          <w:tcPr>
            <w:tcW w:w="60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27.1</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54.5</w:t>
            </w:r>
          </w:p>
        </w:tc>
      </w:tr>
      <w:tr>
        <w:trPr>
          <w:trHeight w:val="270"/>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10.9</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r>
      <w:tr>
        <w:trPr>
          <w:trHeight w:val="30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 at fair value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347.2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254.8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92.4</w:t>
            </w:r>
          </w:p>
        </w:tc>
        <w:tc>
          <w:tcPr>
            <w:tcW w:w="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27.1</w:t>
            </w: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65.3</w:t>
            </w:r>
          </w:p>
        </w:tc>
      </w:tr>
      <w:tr>
        <w:trPr>
          <w:trHeight w:val="311"/>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Commodities contracts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249.7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76.5</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w:t>
            </w:r>
          </w:p>
        </w:tc>
      </w:tr>
      <w:tr>
        <w:trPr>
          <w:trHeight w:val="26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Foreign currency contracts</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r>
      <w:tr>
        <w:trPr>
          <w:trHeight w:val="264"/>
        </w:trPr>
        <w:tc>
          <w:tcPr>
            <w:tcW w:w="2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332.5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254.8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77.7</w:t>
            </w:r>
          </w:p>
        </w:tc>
        <w:tc>
          <w:tcPr>
            <w:tcW w:w="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75.7</w:t>
            </w: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2016, we did not present any amounts gross on our consolidated balance sheet where we had the right of setoff.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December 31, 2017, two counterparties each represented over 10% of our credit exposure to OTC derivative counterparties for a total credit risk of 24.2 million.</w:t>
      </w:r>
    </w:p>
    <w:p>
      <w:pPr>
        <w:spacing w:after="0" w:line="396" w:lineRule="exact"/>
        <w:rPr>
          <w:sz w:val="20"/>
          <w:szCs w:val="20"/>
          <w:color w:val="auto"/>
        </w:rPr>
      </w:pPr>
    </w:p>
    <w:p>
      <w:pPr>
        <w:ind w:right="5320" w:firstLine="8"/>
        <w:spacing w:after="0" w:line="513" w:lineRule="auto"/>
        <w:tabs>
          <w:tab w:leader="none" w:pos="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Geographic Information, and Major Customers Business Segments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ectPr>
          <w:pgSz w:w="11900" w:h="16838" w:orient="portrait"/>
          <w:cols w:equalWidth="0" w:num="1">
            <w:col w:w="11420"/>
          </w:cols>
          <w:pgMar w:left="240" w:top="140" w:right="2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140"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 In addition, we supply products and services to U.S. and foreign government, intergovernmental and military customers, such as the U.S. Defense Logistics Agency and the North Atlantic Treaty Organization (NATO).</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For the Year ended December 31,</w:t>
            </w:r>
          </w:p>
        </w:tc>
        <w:tc>
          <w:tcPr>
            <w:tcW w:w="116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14,538.2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10,914.4</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11,739.8</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10,958.0</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8,918.8</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9,274.3</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8,199.3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7,182.5</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9,367.2</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33,695.5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27,015.8</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30,381.4</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440.5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401.0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361.9</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365.8</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348.5</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309.5</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126.0</w:t>
            </w:r>
          </w:p>
        </w:tc>
        <w:tc>
          <w:tcPr>
            <w:tcW w:w="4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149.5</w:t>
            </w:r>
          </w:p>
        </w:tc>
        <w:tc>
          <w:tcPr>
            <w:tcW w:w="5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304"/>
        </w:trPr>
        <w:tc>
          <w:tcPr>
            <w:tcW w:w="6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932.2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899.0</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861.0</w:t>
            </w: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192.9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160.5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132.2</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70.8</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(57.8)</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73.0</w:t>
            </w:r>
          </w:p>
        </w:tc>
      </w:tr>
      <w:tr>
        <w:trPr>
          <w:trHeight w:val="270"/>
        </w:trPr>
        <w:tc>
          <w:tcPr>
            <w:tcW w:w="6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127.2</w:t>
            </w:r>
          </w:p>
        </w:tc>
        <w:tc>
          <w:tcPr>
            <w:tcW w:w="4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261.5</w:t>
            </w: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 overhead - unallocated</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(81.6)</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45.6</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188.9</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26.8</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47.1</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32.9</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82.3</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380" w:type="dxa"/>
            <w:vAlign w:val="bottom"/>
          </w:tcPr>
          <w:p>
            <w:pPr>
              <w:spacing w:after="0"/>
              <w:rPr>
                <w:sz w:val="22"/>
                <w:szCs w:val="22"/>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22"/>
                <w:szCs w:val="22"/>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19.1</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14.5</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r>
      <w:tr>
        <w:trPr>
          <w:trHeight w:val="264"/>
        </w:trPr>
        <w:tc>
          <w:tcPr>
            <w:tcW w:w="63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37.7</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$52.4 million of restructuring charges and a $12.8 million impairment charge attributable to certain long term assets in 2017.</w:t>
      </w:r>
    </w:p>
    <w:p>
      <w:pPr>
        <w:spacing w:after="0" w:line="225" w:lineRule="exact"/>
        <w:rPr>
          <w:rFonts w:ascii="Arial" w:cs="Arial" w:eastAsia="Arial" w:hAnsi="Arial"/>
          <w:sz w:val="18"/>
          <w:szCs w:val="18"/>
          <w:color w:val="auto"/>
        </w:rPr>
      </w:pPr>
    </w:p>
    <w:p>
      <w:pPr>
        <w:ind w:left="660" w:right="320" w:hanging="652"/>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$79.1 million impairment charge attributable to the impairment of goodwill and other long term assets, and $1.4 million of restructuring charges in 2017.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Aviation segment, net of allowance for bad debt of $10.8 and $6.6 as of December 31, 2017</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8"/>
                <w:szCs w:val="18"/>
                <w:color w:val="auto"/>
              </w:rPr>
              <w:t>and December 31, 2016, respectively</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9"/>
              </w:rPr>
              <w:t>1,013.0</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776.0</w:t>
            </w: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segment, net of allowance for bad debt of $6.6 and $8.2 as of December 31, 2017 and</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2016, respectively</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874.7</w:t>
            </w:r>
          </w:p>
        </w:tc>
        <w:tc>
          <w:tcPr>
            <w:tcW w:w="8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737.5</w:t>
            </w: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Marine segment, net of allowance for bad debt of $10.4 and $10.2 as of December 31, 2017</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and December 31, 2016, respectively</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817.9</w:t>
            </w:r>
          </w:p>
        </w:tc>
        <w:tc>
          <w:tcPr>
            <w:tcW w:w="8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830.5</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2,705.6</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2,344.0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Aviation segment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2,240.4</w:t>
            </w:r>
          </w:p>
        </w:tc>
        <w:tc>
          <w:tcPr>
            <w:tcW w:w="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2,050.6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Land segment</w:t>
            </w:r>
          </w:p>
        </w:tc>
        <w:tc>
          <w:tcPr>
            <w:tcW w:w="110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9"/>
              </w:rPr>
              <w:t>2,091.4</w:t>
            </w:r>
          </w:p>
        </w:tc>
        <w:tc>
          <w:tcPr>
            <w:tcW w:w="8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1,928.5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Marine segment</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1,097.1</w:t>
            </w:r>
          </w:p>
        </w:tc>
        <w:tc>
          <w:tcPr>
            <w:tcW w:w="8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1,287.7</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Corporate</w:t>
            </w: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158.9</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145.8</w:t>
            </w:r>
          </w:p>
        </w:tc>
      </w:tr>
      <w:tr>
        <w:trPr>
          <w:trHeight w:val="264"/>
        </w:trPr>
        <w:tc>
          <w:tcPr>
            <w:tcW w:w="7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5,587.8</w:t>
            </w:r>
          </w:p>
        </w:tc>
        <w:tc>
          <w:tcPr>
            <w:tcW w:w="8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5,412.6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and property and equipment, net, as segregated between the Americas, EMEA (Europe, Middle East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Africa) and the Asia Pacific regions, is presented as follows, based on the country of incorporation of the relevant subsidiary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17,938.0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14,368.8</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15,496.3</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7,553.3</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6,018.6</w:t>
            </w: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6,382.2</w:t>
            </w:r>
          </w:p>
        </w:tc>
      </w:tr>
      <w:tr>
        <w:trPr>
          <w:trHeight w:val="270"/>
        </w:trPr>
        <w:tc>
          <w:tcPr>
            <w:tcW w:w="6380" w:type="dxa"/>
            <w:vAlign w:val="bottom"/>
          </w:tcPr>
          <w:p>
            <w:pPr>
              <w:ind w:left="40"/>
              <w:spacing w:after="0"/>
              <w:rPr>
                <w:sz w:val="20"/>
                <w:szCs w:val="20"/>
                <w:color w:val="auto"/>
              </w:rPr>
            </w:pPr>
            <w:r>
              <w:rPr>
                <w:rFonts w:ascii="Arial" w:cs="Arial" w:eastAsia="Arial" w:hAnsi="Arial"/>
                <w:sz w:val="18"/>
                <w:szCs w:val="18"/>
                <w:color w:val="auto"/>
              </w:rPr>
              <w:t xml:space="preserve">Asia Pacific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4,923.0</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4,271.1</w:t>
            </w:r>
          </w:p>
        </w:tc>
        <w:tc>
          <w:tcPr>
            <w:tcW w:w="6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5,863.4</w:t>
            </w:r>
          </w:p>
        </w:tc>
      </w:tr>
      <w:tr>
        <w:trPr>
          <w:trHeight w:val="264"/>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3,281.2</w:t>
            </w:r>
          </w:p>
        </w:tc>
        <w:tc>
          <w:tcPr>
            <w:tcW w:w="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2,357.2</w:t>
            </w:r>
          </w:p>
        </w:tc>
        <w:tc>
          <w:tcPr>
            <w:tcW w:w="6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2,639.5</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33,695.5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27,015.8</w:t>
            </w: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30,381.4</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02"/>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64"/>
        </w:trPr>
        <w:tc>
          <w:tcPr>
            <w:tcW w:w="6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Pr>
          <w:p>
            <w:pPr>
              <w:spacing w:after="0"/>
              <w:rPr>
                <w:sz w:val="22"/>
                <w:szCs w:val="22"/>
                <w:color w:val="auto"/>
              </w:rPr>
            </w:pPr>
          </w:p>
        </w:tc>
        <w:tc>
          <w:tcPr>
            <w:tcW w:w="12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152.6</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137.7</w:t>
            </w:r>
          </w:p>
        </w:tc>
      </w:tr>
      <w:tr>
        <w:trPr>
          <w:trHeight w:val="27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120.2</w:t>
            </w:r>
          </w:p>
        </w:tc>
        <w:tc>
          <w:tcPr>
            <w:tcW w:w="6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122.9</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0"/>
        </w:trPr>
        <w:tc>
          <w:tcPr>
            <w:tcW w:w="6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Americas, excluding United States</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46.7</w:t>
            </w:r>
          </w:p>
        </w:tc>
        <w:tc>
          <w:tcPr>
            <w:tcW w:w="6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r>
      <w:tr>
        <w:trPr>
          <w:trHeight w:val="264"/>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329.8</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311.2</w:t>
            </w: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revenue related to the U.K. of $5.0 billion, $4.1 billion and $4.7 billion for 2017, 2016 and 2015, respectively.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revenue related to Singapore of $4.8 billion, $4.2 billion and $5.8 billion for 2017, 2016 and 2015, respectively.</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140"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 Sales to government customers, which includes sales to the U.S. Defense Logistics Agency and NATO, have accounted for a material portion of our profitability in recent years and we expect this to continue in the foreseeable future.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Furthermore, changes in military policies or priorities, such as the decision to withdraw or reduce armed force levels in different geographies, can be sudden, subjecting us to losses or higher expenses associated with disposing of unused inventory, removal or abandonment of equipment and relocation of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Summary Quarterly Information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2017 and 2016 (in millions, except earnings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6"/>
                <w:szCs w:val="16"/>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1420" w:type="dxa"/>
            <w:vAlign w:val="bottom"/>
          </w:tcPr>
          <w:p>
            <w:pPr>
              <w:jc w:val="center"/>
              <w:ind w:right="17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1380" w:type="dxa"/>
            <w:vAlign w:val="bottom"/>
          </w:tcPr>
          <w:p>
            <w:pPr>
              <w:jc w:val="center"/>
              <w:ind w:right="1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9"/>
              </w:rPr>
              <w:t>2017 (1)</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2017 (2)</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8,194.3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8,086.2</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8,543.0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8,872.0</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231.0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239.9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229.9</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18"/>
                <w:szCs w:val="18"/>
                <w:color w:val="auto"/>
                <w:vertAlign w:val="superscript"/>
              </w:rPr>
              <w:t>(3)</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18"/>
                <w:szCs w:val="18"/>
                <w:color w:val="auto"/>
                <w:vertAlign w:val="superscript"/>
              </w:rPr>
              <w:t>(3)</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0.44</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90"/>
        </w:trPr>
        <w:tc>
          <w:tcPr>
            <w:tcW w:w="4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jc w:val="center"/>
              <w:ind w:right="214"/>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24"/>
                <w:szCs w:val="24"/>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420" w:type="dxa"/>
            <w:vAlign w:val="bottom"/>
          </w:tcPr>
          <w:p>
            <w:pPr>
              <w:jc w:val="center"/>
              <w:ind w:right="17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24"/>
                <w:szCs w:val="24"/>
                <w:color w:val="auto"/>
              </w:rPr>
            </w:pPr>
          </w:p>
        </w:tc>
        <w:tc>
          <w:tcPr>
            <w:tcW w:w="1380" w:type="dxa"/>
            <w:vAlign w:val="bottom"/>
          </w:tcPr>
          <w:p>
            <w:pPr>
              <w:jc w:val="center"/>
              <w:ind w:right="154"/>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4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2016</w:t>
            </w:r>
          </w:p>
        </w:tc>
      </w:tr>
      <w:tr>
        <w:trPr>
          <w:trHeight w:val="263"/>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5,190.8</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6,633.0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7,399.8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7,792.1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221.5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218.5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222.3</w:t>
            </w:r>
          </w:p>
        </w:tc>
      </w:tr>
      <w:tr>
        <w:trPr>
          <w:trHeight w:val="251"/>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29.8</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43.0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42.7</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r>
      <w:tr>
        <w:trPr>
          <w:trHeight w:val="257"/>
        </w:trPr>
        <w:tc>
          <w:tcPr>
            <w:tcW w:w="4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18"/>
                <w:szCs w:val="18"/>
                <w:color w:val="auto"/>
                <w:vertAlign w:val="superscript"/>
              </w:rPr>
              <w:t>(3)</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0.74</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0.43</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0.62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18"/>
                <w:szCs w:val="18"/>
                <w:color w:val="auto"/>
                <w:vertAlign w:val="superscript"/>
              </w:rPr>
              <w:t>(3)</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0.74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0.61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0.03</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hanging="412"/>
        <w:spacing w:after="0" w:line="262"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valuation allowance on our U.S. deferred tax assets of $76.9 million, due to our U.S. operations generating a three-year cumulative loss during the quarter.</w:t>
      </w:r>
    </w:p>
    <w:p>
      <w:pPr>
        <w:spacing w:after="0" w:line="196" w:lineRule="exact"/>
        <w:rPr>
          <w:rFonts w:ascii="Arial" w:cs="Arial" w:eastAsia="Arial" w:hAnsi="Arial"/>
          <w:sz w:val="18"/>
          <w:szCs w:val="18"/>
          <w:color w:val="auto"/>
        </w:rPr>
      </w:pPr>
    </w:p>
    <w:p>
      <w:pPr>
        <w:jc w:val="both"/>
        <w:ind w:left="42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fourth quarter of 2017, we included in our operating expenses $91.9 million for goodwill and other impairment related charges, $59.6 million for restructuring related charges and a one-time transition tax charge of $143.7 million which was reduced by the reversal of the third quarter valuation allowance on our U.S. deferred tax assets of $76.9 million.</w:t>
      </w:r>
    </w:p>
    <w:p>
      <w:pPr>
        <w:spacing w:after="0" w:line="201" w:lineRule="exact"/>
        <w:rPr>
          <w:rFonts w:ascii="Arial" w:cs="Arial" w:eastAsia="Arial" w:hAnsi="Arial"/>
          <w:sz w:val="18"/>
          <w:szCs w:val="18"/>
          <w:color w:val="auto"/>
        </w:rPr>
      </w:pPr>
    </w:p>
    <w:p>
      <w:pPr>
        <w:jc w:val="both"/>
        <w:ind w:left="420" w:hanging="412"/>
        <w:spacing w:after="0" w:line="256"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and diluted earnings per share amounts reported.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Form 10-K Summary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include the voluntary, summary information required by Form 10-K under this Item 16.</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140"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right="20"/>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February 28, 2018.</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President and Chief Executive Officer</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4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Executive Vice President and Chief Financial Officer</w:t>
      </w:r>
    </w:p>
    <w:p>
      <w:pPr>
        <w:spacing w:after="0" w:line="248"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February 28, 2018.</w:t>
      </w:r>
    </w:p>
    <w:p>
      <w:pPr>
        <w:sectPr>
          <w:pgSz w:w="11900" w:h="16838" w:orient="portrait"/>
          <w:cols w:equalWidth="0" w:num="1">
            <w:col w:w="11420"/>
          </w:cols>
          <w:pgMar w:left="240" w:top="140" w:right="239" w:bottom="1440" w:gutter="0" w:footer="0" w:header="0"/>
        </w:sect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Kasbar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Ira M. Birns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Ken Bakshi</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JORGE L. 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Jorge L. Benitez</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STEPHEN J.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Stephen J. Gold</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A. Kassar</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L. Manley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 THOMAS PRESBY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J. Thomas Presby</w:t>
      </w:r>
    </w:p>
    <w:p>
      <w:pPr>
        <w:spacing w:after="0" w:line="208" w:lineRule="exact"/>
        <w:rPr>
          <w:sz w:val="20"/>
          <w:szCs w:val="20"/>
          <w:color w:val="auto"/>
        </w:rPr>
      </w:pPr>
    </w:p>
    <w:p>
      <w:pPr>
        <w:ind w:left="40" w:right="920"/>
        <w:spacing w:after="0" w:line="366" w:lineRule="auto"/>
        <w:rPr>
          <w:sz w:val="20"/>
          <w:szCs w:val="20"/>
          <w:color w:val="auto"/>
        </w:rPr>
      </w:pPr>
      <w:r>
        <w:rPr>
          <w:rFonts w:ascii="Arial" w:cs="Arial" w:eastAsia="Arial" w:hAnsi="Arial"/>
          <w:sz w:val="16"/>
          <w:szCs w:val="16"/>
          <w:color w:val="auto"/>
        </w:rPr>
        <w:t>/s/ STEPHEN K. RODDENBERRY Stephen K. Roddenberry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Paul H. Stebbins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Chairman, President and Chief Executive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497" w:lineRule="exact"/>
        <w:rPr>
          <w:sz w:val="20"/>
          <w:szCs w:val="20"/>
          <w:color w:val="auto"/>
        </w:rPr>
      </w:pPr>
    </w:p>
    <w:p>
      <w:pPr>
        <w:sectPr>
          <w:pgSz w:w="11900" w:h="16838" w:orient="portrait"/>
          <w:cols w:equalWidth="0" w:num="2">
            <w:col w:w="3440" w:space="720"/>
            <w:col w:w="726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420"/>
          </w:cols>
          <w:pgMar w:left="240" w:top="140"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10.10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 AGREEMENT</w:t>
      </w:r>
    </w:p>
    <w:p>
      <w:pPr>
        <w:spacing w:after="0" w:line="220" w:lineRule="exact"/>
        <w:rPr>
          <w:sz w:val="20"/>
          <w:szCs w:val="20"/>
          <w:color w:val="auto"/>
        </w:rPr>
      </w:pPr>
    </w:p>
    <w:p>
      <w:pPr>
        <w:ind w:left="1140" w:hanging="484"/>
        <w:spacing w:after="0"/>
        <w:tabs>
          <w:tab w:leader="none" w:pos="11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World Fuel Services Corporation, a Florida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awarded to</w:t>
      </w:r>
    </w:p>
    <w:p>
      <w:pPr>
        <w:spacing w:after="0" w:line="29" w:lineRule="exact"/>
        <w:rPr>
          <w:rFonts w:ascii="Arial" w:cs="Arial" w:eastAsia="Arial" w:hAnsi="Arial"/>
          <w:sz w:val="22"/>
          <w:szCs w:val="22"/>
          <w:color w:val="auto"/>
        </w:rPr>
      </w:pPr>
    </w:p>
    <w:p>
      <w:pPr>
        <w:jc w:val="both"/>
        <w:spacing w:after="0" w:line="244" w:lineRule="auto"/>
        <w:rPr>
          <w:rFonts w:ascii="Arial" w:cs="Arial" w:eastAsia="Arial" w:hAnsi="Arial"/>
          <w:sz w:val="22"/>
          <w:szCs w:val="22"/>
          <w:color w:val="auto"/>
        </w:rPr>
      </w:pPr>
      <w:r>
        <w:rPr>
          <w:rFonts w:ascii="Arial" w:cs="Arial" w:eastAsia="Arial" w:hAnsi="Arial"/>
          <w:sz w:val="22"/>
          <w:szCs w:val="22"/>
          <w:b w:val="1"/>
          <w:bCs w:val="1"/>
          <w:color w:val="auto"/>
        </w:rPr>
        <w:t xml:space="preserve">_____________ </w:t>
      </w:r>
      <w:r>
        <w:rPr>
          <w:rFonts w:ascii="Arial" w:cs="Arial" w:eastAsia="Arial" w:hAnsi="Arial"/>
          <w:sz w:val="22"/>
          <w:szCs w:val="22"/>
          <w:color w:val="auto"/>
        </w:rPr>
        <w:t>(the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effective as of</w:t>
      </w:r>
      <w:r>
        <w:rPr>
          <w:rFonts w:ascii="Arial" w:cs="Arial" w:eastAsia="Arial" w:hAnsi="Arial"/>
          <w:sz w:val="22"/>
          <w:szCs w:val="22"/>
          <w:b w:val="1"/>
          <w:bCs w:val="1"/>
          <w:color w:val="auto"/>
        </w:rPr>
        <w:t xml:space="preserve"> May 10, 2017 </w:t>
      </w:r>
      <w:r>
        <w:rPr>
          <w:rFonts w:ascii="Arial" w:cs="Arial" w:eastAsia="Arial" w:hAnsi="Arial"/>
          <w:sz w:val="22"/>
          <w:szCs w:val="22"/>
          <w:color w:val="auto"/>
        </w:rPr>
        <w:t>(the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______________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(the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corresponding to the same number of shares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the Company’s common stock, par value US$0.01 per share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The RSUs have been granted under the Company’s 2016 Omnibus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212" w:lineRule="exact"/>
        <w:rPr>
          <w:rFonts w:ascii="Arial" w:cs="Arial" w:eastAsia="Arial" w:hAnsi="Arial"/>
          <w:sz w:val="22"/>
          <w:szCs w:val="22"/>
          <w:color w:val="auto"/>
        </w:rPr>
      </w:pPr>
    </w:p>
    <w:p>
      <w:pPr>
        <w:jc w:val="both"/>
        <w:ind w:firstLine="656"/>
        <w:spacing w:after="0" w:line="245" w:lineRule="auto"/>
        <w:tabs>
          <w:tab w:leader="none" w:pos="1109"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and phrases used in this Agreement shall have the meaning set forth below. Capitalized terms used herein and not defined in this Agreement, shall have the meaning set forth in the Plan. Notwithstanding the foregoing, the definitions of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have the meanings set forth in the Employment Arrangement (as defined below).</w:t>
      </w:r>
    </w:p>
    <w:p>
      <w:pPr>
        <w:spacing w:after="0" w:line="183" w:lineRule="exact"/>
        <w:rPr>
          <w:rFonts w:ascii="Arial" w:cs="Arial" w:eastAsia="Arial" w:hAnsi="Arial"/>
          <w:sz w:val="22"/>
          <w:szCs w:val="22"/>
          <w:color w:val="auto"/>
        </w:rPr>
      </w:pPr>
    </w:p>
    <w:p>
      <w:pPr>
        <w:ind w:left="1800" w:hanging="495"/>
        <w:spacing w:after="0"/>
        <w:tabs>
          <w:tab w:leader="none" w:pos="18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of the Board of Directors of the Company.</w:t>
      </w:r>
    </w:p>
    <w:p>
      <w:pPr>
        <w:spacing w:after="0" w:line="219" w:lineRule="exact"/>
        <w:rPr>
          <w:rFonts w:ascii="Arial" w:cs="Arial" w:eastAsia="Arial" w:hAnsi="Arial"/>
          <w:sz w:val="22"/>
          <w:szCs w:val="22"/>
          <w:color w:val="auto"/>
        </w:rPr>
      </w:pPr>
    </w:p>
    <w:p>
      <w:pPr>
        <w:jc w:val="both"/>
        <w:ind w:firstLine="1305"/>
        <w:spacing w:after="0" w:line="258" w:lineRule="auto"/>
        <w:tabs>
          <w:tab w:leader="none" w:pos="2138"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Arrangement</w:t>
      </w:r>
      <w:r>
        <w:rPr>
          <w:rFonts w:ascii="Arial" w:cs="Arial" w:eastAsia="Arial" w:hAnsi="Arial"/>
          <w:sz w:val="22"/>
          <w:szCs w:val="22"/>
          <w:color w:val="auto"/>
        </w:rPr>
        <w:t>” means any employment agreement or individual severance agreement by and between the Company and the Participant, or severance plan maintained by the Company in which the Participant participates as of the Grant Date, in each case, as in effect on the Grant Date.</w:t>
      </w:r>
    </w:p>
    <w:p>
      <w:pPr>
        <w:spacing w:after="0" w:line="170" w:lineRule="exact"/>
        <w:rPr>
          <w:rFonts w:ascii="Arial" w:cs="Arial" w:eastAsia="Arial" w:hAnsi="Arial"/>
          <w:sz w:val="22"/>
          <w:szCs w:val="22"/>
          <w:color w:val="auto"/>
        </w:rPr>
      </w:pPr>
    </w:p>
    <w:p>
      <w:pPr>
        <w:ind w:firstLine="1305"/>
        <w:spacing w:after="0" w:line="274" w:lineRule="auto"/>
        <w:tabs>
          <w:tab w:leader="none" w:pos="1622"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U.S. Internal Revenue Code of 1986, as amended, and the Treasury Regulations thereunder.</w:t>
      </w:r>
    </w:p>
    <w:p>
      <w:pPr>
        <w:spacing w:after="0" w:line="151" w:lineRule="exact"/>
        <w:rPr>
          <w:rFonts w:ascii="Arial" w:cs="Arial" w:eastAsia="Arial" w:hAnsi="Arial"/>
          <w:sz w:val="22"/>
          <w:szCs w:val="22"/>
          <w:color w:val="auto"/>
        </w:rPr>
      </w:pPr>
    </w:p>
    <w:p>
      <w:pPr>
        <w:ind w:right="20" w:firstLine="1305"/>
        <w:spacing w:after="0" w:line="274" w:lineRule="auto"/>
        <w:tabs>
          <w:tab w:leader="none" w:pos="1936" w:val="left"/>
        </w:tabs>
        <w:numPr>
          <w:ilvl w:val="1"/>
          <w:numId w:val="28"/>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“Termination Date” </w:t>
      </w:r>
      <w:r>
        <w:rPr>
          <w:rFonts w:ascii="Arial" w:cs="Arial" w:eastAsia="Arial" w:hAnsi="Arial"/>
          <w:sz w:val="22"/>
          <w:szCs w:val="22"/>
          <w:color w:val="auto"/>
        </w:rPr>
        <w:t>means the date on which the Participant is no longer an employee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or any Subsidiary.</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Vesting and Forfeiture of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5" w:lineRule="auto"/>
        <w:tabs>
          <w:tab w:leader="none" w:pos="1983" w:val="left"/>
        </w:tabs>
        <w:numPr>
          <w:ilvl w:val="1"/>
          <w:numId w:val="28"/>
        </w:numPr>
        <w:rPr>
          <w:rFonts w:ascii="Arial" w:cs="Arial" w:eastAsia="Arial" w:hAnsi="Arial"/>
          <w:sz w:val="22"/>
          <w:szCs w:val="22"/>
          <w:color w:val="auto"/>
        </w:rPr>
      </w:pPr>
      <w:r>
        <w:rPr>
          <w:rFonts w:ascii="Arial" w:cs="Arial" w:eastAsia="Arial" w:hAnsi="Arial"/>
          <w:sz w:val="22"/>
          <w:szCs w:val="22"/>
          <w:color w:val="auto"/>
        </w:rPr>
        <w:t>Subject to the provisions of this Section 3, if the Participant is continuously employed by the Company or any Subsidiary from the Grant Date through and until any of the dates (the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 set forth in the vesting schedule attached hereto as Exhibit A (the “</w:t>
      </w:r>
      <w:r>
        <w:rPr>
          <w:rFonts w:ascii="Arial" w:cs="Arial" w:eastAsia="Arial" w:hAnsi="Arial"/>
          <w:sz w:val="22"/>
          <w:szCs w:val="22"/>
          <w:b w:val="1"/>
          <w:bCs w:val="1"/>
          <w:i w:val="1"/>
          <w:iCs w:val="1"/>
          <w:color w:val="auto"/>
        </w:rPr>
        <w:t>Vesting Schedule</w:t>
      </w:r>
      <w:r>
        <w:rPr>
          <w:rFonts w:ascii="Arial" w:cs="Arial" w:eastAsia="Arial" w:hAnsi="Arial"/>
          <w:sz w:val="22"/>
          <w:szCs w:val="22"/>
          <w:color w:val="auto"/>
        </w:rPr>
        <w:t>”), then the RSUs shall become vested as set forth in the Vesting Schedule on the applicable Vesting Date. Except as otherwise provided in this Section 3, there shall be no proportionate or partial vesting of the RSUs prior to the applicable Vesting Date.</w:t>
      </w:r>
    </w:p>
    <w:p>
      <w:pPr>
        <w:spacing w:after="0" w:line="207" w:lineRule="exact"/>
        <w:rPr>
          <w:rFonts w:ascii="Arial" w:cs="Arial" w:eastAsia="Arial" w:hAnsi="Arial"/>
          <w:sz w:val="22"/>
          <w:szCs w:val="22"/>
          <w:color w:val="auto"/>
        </w:rPr>
      </w:pPr>
    </w:p>
    <w:p>
      <w:pPr>
        <w:ind w:firstLine="1305"/>
        <w:spacing w:after="0" w:line="249" w:lineRule="auto"/>
        <w:tabs>
          <w:tab w:leader="none" w:pos="1816"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vesting of the RSUs (or, if applicable, Acquirer RSUs (as defined below)) shall be accelerated if and to the extent provided in this Section 3(b):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8" w:right="239" w:bottom="1440" w:gutter="0" w:footer="0" w:header="0"/>
        </w:sectPr>
      </w:pPr>
    </w:p>
    <w:bookmarkStart w:id="96" w:name="page97"/>
    <w:bookmarkEnd w:id="96"/>
    <w:p>
      <w:pPr>
        <w:jc w:val="both"/>
        <w:ind w:firstLine="1953"/>
        <w:spacing w:after="0" w:line="243" w:lineRule="auto"/>
        <w:tabs>
          <w:tab w:leader="none" w:pos="237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RSUs shall immediately vest upon the occurrence of a Change of Control of the Company while the Participant is employed by the Company or any Subsidiary. Notwithstanding the foregoing, if in the event of a Change of Control the successor company assumes or substitutes the RSUs as of the date of the Change of Control, then the vesting of the RSUs that are assumed or substituted shall not be so accelerated as a result of such Change of Control. For this purpose, the RSUs shall be considered assumed or substituted only if (A) the RSUs that are assumed or substituted vest at the times that such RSUs would vest pursuant to this Agreement, and (B) following the Change of Control, the RSUs confer the right to receive, for each unvested 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or its parent or subsidiary, the Company may provide that the consideration to be received upon the vesting of any RSU will be solely common stock of the successor company or its parent or subsidiary substantially equal in fair market value to the per share consideration received by holders of Shares in the transaction constituting a Change of Control. The determinations of (1) whether the RSUs shall be assumed or substituted or shall accelerate vesting in accordance with this Section 3(b)(i) and (2) in the event of an assumption or substitution, such substantial equality of value of consideration shall be made by the Compensation Committee of the Company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in its sole discretion and its determinations shall be conclusive and binding. The award resulting from the assumption or substitution of the RSUs by the successor company shall be referred to hereafter as the “</w:t>
      </w:r>
      <w:r>
        <w:rPr>
          <w:rFonts w:ascii="Arial" w:cs="Arial" w:eastAsia="Arial" w:hAnsi="Arial"/>
          <w:sz w:val="22"/>
          <w:szCs w:val="22"/>
          <w:b w:val="1"/>
          <w:bCs w:val="1"/>
          <w:i w:val="1"/>
          <w:iCs w:val="1"/>
          <w:color w:val="auto"/>
        </w:rPr>
        <w:t>Acquirer RSUs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953"/>
        <w:spacing w:after="0" w:line="258" w:lineRule="auto"/>
        <w:tabs>
          <w:tab w:leader="none" w:pos="2299" w:val="left"/>
        </w:tabs>
        <w:numPr>
          <w:ilvl w:val="1"/>
          <w:numId w:val="29"/>
        </w:numPr>
        <w:rPr>
          <w:rFonts w:ascii="Arial" w:cs="Arial" w:eastAsia="Arial" w:hAnsi="Arial"/>
          <w:sz w:val="21"/>
          <w:szCs w:val="21"/>
          <w:color w:val="auto"/>
        </w:rPr>
      </w:pPr>
      <w:r>
        <w:rPr>
          <w:rFonts w:ascii="Arial" w:cs="Arial" w:eastAsia="Arial" w:hAnsi="Arial"/>
          <w:sz w:val="21"/>
          <w:szCs w:val="21"/>
          <w:color w:val="auto"/>
        </w:rPr>
        <w:t>In the event that the Participant’s employment with the Company and its Subsidiaries is terminated due to the Participant’s death or Disability prior to the applicable Vesting Date and (A) prior to a Change of Control, the Participant shall immediately vest upon the Termination Date in a pro-rated portion of the RSUs determined in accordance with Section 3(c) hereof, and the balance of the RSUs shall be immediately forfeited upon the Termination Date, or (B) within the two (2) year period following a Change of Control, the Participant shall immediately vest upon the Termination Date in all outstanding Acquirer RSUs to the extent unvested as of the Termination Date.</w:t>
      </w:r>
    </w:p>
    <w:p>
      <w:pPr>
        <w:spacing w:after="0" w:line="198" w:lineRule="exact"/>
        <w:rPr>
          <w:rFonts w:ascii="Arial" w:cs="Arial" w:eastAsia="Arial" w:hAnsi="Arial"/>
          <w:sz w:val="21"/>
          <w:szCs w:val="21"/>
          <w:color w:val="auto"/>
        </w:rPr>
      </w:pPr>
    </w:p>
    <w:p>
      <w:pPr>
        <w:jc w:val="both"/>
        <w:ind w:firstLine="1953"/>
        <w:spacing w:after="0" w:line="245" w:lineRule="auto"/>
        <w:tabs>
          <w:tab w:leader="none" w:pos="2347"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the event that the Participant’s employment with the Company and its Subsidiaries is terminated by the Company and its Subsidiaries without Cause or by the Participant for Good Reason, in each case, prior to the applicable Vesting Date and on or within the two (2) year period following a Change of Control, the Participant shall immediately vest upon the Termination Date in all outstanding Acquirer RSUs to the extent unvested as of the Termination Date.</w:t>
      </w:r>
    </w:p>
    <w:p>
      <w:pPr>
        <w:spacing w:after="0" w:line="207" w:lineRule="exact"/>
        <w:rPr>
          <w:rFonts w:ascii="Arial" w:cs="Arial" w:eastAsia="Arial" w:hAnsi="Arial"/>
          <w:sz w:val="22"/>
          <w:szCs w:val="22"/>
          <w:color w:val="auto"/>
        </w:rPr>
      </w:pPr>
    </w:p>
    <w:p>
      <w:pPr>
        <w:ind w:firstLine="8"/>
        <w:spacing w:after="0" w:line="249" w:lineRule="auto"/>
        <w:tabs>
          <w:tab w:leader="none" w:pos="546"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 purposes of Section 3(b)(ii), the pro-rated portion shall be calculated by multiplying the number of RSUs set forth in Section 1 hereof by a fraction,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0" w:right="239" w:bottom="1440" w:gutter="0" w:footer="0" w:header="0"/>
        </w:sectPr>
      </w:pPr>
    </w:p>
    <w:bookmarkStart w:id="97" w:name="page98"/>
    <w:bookmarkEnd w:id="97"/>
    <w:p>
      <w:pPr>
        <w:jc w:val="both"/>
        <w:spacing w:after="0" w:line="245" w:lineRule="auto"/>
        <w:rPr>
          <w:sz w:val="20"/>
          <w:szCs w:val="20"/>
          <w:color w:val="auto"/>
        </w:rPr>
      </w:pPr>
      <w:r>
        <w:rPr>
          <w:rFonts w:ascii="Arial" w:cs="Arial" w:eastAsia="Arial" w:hAnsi="Arial"/>
          <w:sz w:val="22"/>
          <w:szCs w:val="22"/>
          <w:color w:val="auto"/>
        </w:rPr>
        <w:t>the numerator of which shall be the number of days which have elapsed between the Grant Date and the Termination Date, and the denominator of which shall be the total number of days between the Grant Date and the final vesting Date set forth in the Vesting Schedule; provided, however, that if the Termination Date occurs after any Vesting Date set forth in the Vesting Schedule, then the pro-rated portion shall be reduced by the number of RSUs that vested prior to the Termination Date in accordance with the Vesting Schedule.</w:t>
      </w:r>
    </w:p>
    <w:p>
      <w:pPr>
        <w:spacing w:after="0" w:line="208" w:lineRule="exact"/>
        <w:rPr>
          <w:sz w:val="20"/>
          <w:szCs w:val="20"/>
          <w:color w:val="auto"/>
        </w:rPr>
      </w:pPr>
    </w:p>
    <w:p>
      <w:pPr>
        <w:jc w:val="both"/>
        <w:ind w:firstLine="8"/>
        <w:spacing w:after="0" w:line="244" w:lineRule="auto"/>
        <w:tabs>
          <w:tab w:leader="none" w:pos="581"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event that the Participant’s employment with the Company and its Subsidiaries is terminated prior to the applicable Vesting Date for any other reason not specified in Section 3(b)(ii) or (iii), then the Participant shall immediately forfeit all of the unvested RSUs (or, if applicable, Acquirer RSUs). Termination of employment with the Company (or, if applicable, the successor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7" w:lineRule="exact"/>
        <w:rPr>
          <w:sz w:val="20"/>
          <w:szCs w:val="20"/>
          <w:color w:val="auto"/>
        </w:rPr>
      </w:pPr>
    </w:p>
    <w:p>
      <w:pPr>
        <w:jc w:val="both"/>
        <w:ind w:firstLine="662"/>
        <w:spacing w:after="0" w:line="258" w:lineRule="auto"/>
        <w:rPr>
          <w:sz w:val="20"/>
          <w:szCs w:val="20"/>
          <w:color w:val="auto"/>
        </w:rPr>
      </w:pPr>
      <w:r>
        <w:rPr>
          <w:rFonts w:ascii="Arial" w:cs="Arial" w:eastAsia="Arial" w:hAnsi="Arial"/>
          <w:sz w:val="22"/>
          <w:szCs w:val="22"/>
          <w:b w:val="1"/>
          <w:bCs w:val="1"/>
          <w:color w:val="auto"/>
        </w:rPr>
        <w:t>Nothing in this Section 3 or this Agreement shall be deemed to limit or modify any non-competition, confidentiality or non-solicitation restrictions that the Participant is already subject to, which restrictions shall continue to be separately enforceable in accordance with their terms</w:t>
      </w:r>
      <w:r>
        <w:rPr>
          <w:rFonts w:ascii="Arial" w:cs="Arial" w:eastAsia="Arial" w:hAnsi="Arial"/>
          <w:sz w:val="22"/>
          <w:szCs w:val="22"/>
          <w:color w:val="auto"/>
        </w:rPr>
        <w:t>.</w:t>
      </w:r>
    </w:p>
    <w:p>
      <w:pPr>
        <w:spacing w:after="0" w:line="196" w:lineRule="exact"/>
        <w:rPr>
          <w:sz w:val="20"/>
          <w:szCs w:val="20"/>
          <w:color w:val="auto"/>
        </w:rPr>
      </w:pPr>
    </w:p>
    <w:p>
      <w:pPr>
        <w:jc w:val="both"/>
        <w:ind w:firstLine="670"/>
        <w:spacing w:after="0" w:line="245" w:lineRule="auto"/>
        <w:tabs>
          <w:tab w:leader="none" w:pos="956"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Adjustment</w:t>
      </w:r>
      <w:r>
        <w:rPr>
          <w:rFonts w:ascii="Arial" w:cs="Arial" w:eastAsia="Arial" w:hAnsi="Arial"/>
          <w:sz w:val="22"/>
          <w:szCs w:val="22"/>
          <w:color w:val="auto"/>
        </w:rPr>
        <w:t>. The number of 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9" w:lineRule="exact"/>
        <w:rPr>
          <w:rFonts w:ascii="Arial" w:cs="Arial" w:eastAsia="Arial" w:hAnsi="Arial"/>
          <w:sz w:val="22"/>
          <w:szCs w:val="22"/>
          <w:color w:val="auto"/>
        </w:rPr>
      </w:pPr>
    </w:p>
    <w:p>
      <w:pPr>
        <w:ind w:left="1080" w:hanging="424"/>
        <w:spacing w:after="0"/>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Settlement of Awards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56" w:lineRule="auto"/>
        <w:tabs>
          <w:tab w:leader="none" w:pos="1828" w:val="left"/>
        </w:tabs>
        <w:numPr>
          <w:ilvl w:val="2"/>
          <w:numId w:val="33"/>
        </w:numPr>
        <w:rPr>
          <w:rFonts w:ascii="Arial" w:cs="Arial" w:eastAsia="Arial" w:hAnsi="Arial"/>
          <w:sz w:val="21"/>
          <w:szCs w:val="21"/>
          <w:color w:val="auto"/>
        </w:rPr>
      </w:pPr>
      <w:r>
        <w:rPr>
          <w:rFonts w:ascii="Arial" w:cs="Arial" w:eastAsia="Arial" w:hAnsi="Arial"/>
          <w:sz w:val="21"/>
          <w:szCs w:val="21"/>
          <w:u w:val="single" w:color="auto"/>
          <w:color w:val="auto"/>
        </w:rPr>
        <w:t>Delivery of Shares</w:t>
      </w:r>
      <w:r>
        <w:rPr>
          <w:rFonts w:ascii="Arial" w:cs="Arial" w:eastAsia="Arial" w:hAnsi="Arial"/>
          <w:sz w:val="21"/>
          <w:szCs w:val="21"/>
          <w:color w:val="auto"/>
        </w:rPr>
        <w:t>. The Company shall deliver the Shares corresponding to the vested RSUs (or, if applicable, Acquirer RSUs) to the Participant within 30 days following the applicable Vesting Date; provided, however, that (i) in the event of the Participant’s termination of employment (A) due to death or Disability or (B) on or within the two (2) year period following a Change of Control, by the Company without Cause or by the Participant for Good Reason, the Company shall deliver the Shares corresponding to the vested RSUs (or, if applicable, Acquirer RSUs) to the Participant within 30 days following such Termination Date, (ii) in the event of a Change of Control pursuant to which the RSUs accelerate vesting in accordance with the first sentence of Section 3(b)(i) of this Agreement, the Company shall deliver the Shares corresponding to the vested RSUs to the Participant within 30 days following such Change of Control. In the event of a Change of Control pursuant to which the RSUs are assumed or substituted in accordance with Section 3(b)(i) of this Agreement, all references in this Section 5(a) to (x) the Company shall be to the successor company and (y) Shares shall be to the consideration corresponding to Acquirer RSUs.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0" w:right="239" w:bottom="1440" w:gutter="0" w:footer="0" w:header="0"/>
        </w:sectPr>
      </w:pPr>
    </w:p>
    <w:bookmarkStart w:id="98" w:name="page99"/>
    <w:bookmarkEnd w:id="98"/>
    <w:p>
      <w:pPr>
        <w:jc w:val="both"/>
        <w:ind w:firstLine="1305"/>
        <w:spacing w:after="0" w:line="256" w:lineRule="auto"/>
        <w:tabs>
          <w:tab w:leader="none" w:pos="1828"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Death of Participant</w:t>
      </w:r>
      <w:r>
        <w:rPr>
          <w:rFonts w:ascii="Arial" w:cs="Arial" w:eastAsia="Arial" w:hAnsi="Arial"/>
          <w:sz w:val="21"/>
          <w:szCs w:val="21"/>
          <w:color w:val="auto"/>
        </w:rPr>
        <w:t>. By written notice to the Company’s Secretary, the Participant may designate a beneficiary or beneficiaries to whom any vested RSUs (or, if applicable, Acquirer RSUs) and the Participant’s Cash Account (as defined below) shall be transferred upon the death of the Participant. In the absence of such designation, or if no designated beneficiary survives the Participant, such vested RSUs (or, if applicable, Acquirer RSUs) and the Participant’s Cash Account shall be transferred to the legal representative of the Participant’s estate. No such transfer of the RSUs (or, if applicable, Acquirer RSUs), or the right to convert the Shares corresponding to such RSUs (or, if applicable, shares corresponding to Acquirer RSUs) or the conversion of any portion thereof into Common Stock (or, if applicable, Acquirer shares),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04" w:lineRule="exact"/>
        <w:rPr>
          <w:rFonts w:ascii="Arial" w:cs="Arial" w:eastAsia="Arial" w:hAnsi="Arial"/>
          <w:sz w:val="21"/>
          <w:szCs w:val="21"/>
          <w:color w:val="auto"/>
        </w:rPr>
      </w:pPr>
    </w:p>
    <w:p>
      <w:pPr>
        <w:jc w:val="both"/>
        <w:ind w:firstLine="1305"/>
        <w:spacing w:after="0" w:line="245" w:lineRule="auto"/>
        <w:tabs>
          <w:tab w:leader="none" w:pos="191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Settlement Conditioned Upon Satisfaction of Tax Obligations</w:t>
      </w:r>
      <w:r>
        <w:rPr>
          <w:rFonts w:ascii="Arial" w:cs="Arial" w:eastAsia="Arial" w:hAnsi="Arial"/>
          <w:sz w:val="22"/>
          <w:szCs w:val="22"/>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9" w:lineRule="exact"/>
        <w:rPr>
          <w:rFonts w:ascii="Arial" w:cs="Arial" w:eastAsia="Arial" w:hAnsi="Arial"/>
          <w:sz w:val="22"/>
          <w:szCs w:val="22"/>
          <w:color w:val="auto"/>
        </w:rPr>
      </w:pPr>
    </w:p>
    <w:p>
      <w:pPr>
        <w:ind w:left="1080" w:hanging="424"/>
        <w:spacing w:after="0"/>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Rights with Respect to Shares Represented by RSUs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5" w:lineRule="auto"/>
        <w:tabs>
          <w:tab w:leader="none" w:pos="199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No Rights as Shareholder until Delivery</w:t>
      </w:r>
      <w:r>
        <w:rPr>
          <w:rFonts w:ascii="Arial" w:cs="Arial" w:eastAsia="Arial" w:hAnsi="Arial"/>
          <w:sz w:val="22"/>
          <w:szCs w:val="22"/>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07" w:lineRule="exact"/>
        <w:rPr>
          <w:rFonts w:ascii="Arial" w:cs="Arial" w:eastAsia="Arial" w:hAnsi="Arial"/>
          <w:sz w:val="22"/>
          <w:szCs w:val="22"/>
          <w:color w:val="auto"/>
        </w:rPr>
      </w:pPr>
    </w:p>
    <w:p>
      <w:pPr>
        <w:ind w:left="1800" w:hanging="495"/>
        <w:spacing w:after="0"/>
        <w:tabs>
          <w:tab w:leader="none" w:pos="18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3"/>
        <w:spacing w:after="0" w:line="244" w:lineRule="auto"/>
        <w:tabs>
          <w:tab w:leader="none" w:pos="2390" w:val="left"/>
        </w:tabs>
        <w:numPr>
          <w:ilvl w:val="2"/>
          <w:numId w:val="35"/>
        </w:numPr>
        <w:rPr>
          <w:rFonts w:ascii="Arial" w:cs="Arial" w:eastAsia="Arial" w:hAnsi="Arial"/>
          <w:sz w:val="22"/>
          <w:szCs w:val="22"/>
          <w:color w:val="auto"/>
        </w:rPr>
      </w:pPr>
      <w:r>
        <w:rPr>
          <w:rFonts w:ascii="Arial" w:cs="Arial" w:eastAsia="Arial" w:hAnsi="Arial"/>
          <w:sz w:val="22"/>
          <w:szCs w:val="22"/>
          <w:u w:val="single" w:color="auto"/>
          <w:color w:val="auto"/>
        </w:rPr>
        <w:t>Cash Dividends</w:t>
      </w:r>
      <w:r>
        <w:rPr>
          <w:rFonts w:ascii="Arial" w:cs="Arial" w:eastAsia="Arial" w:hAnsi="Arial"/>
          <w:sz w:val="22"/>
          <w:szCs w:val="22"/>
          <w:color w:val="auto"/>
        </w:rPr>
        <w:t>. As of each date on which the Company pays a cash dividend with respect to its Shares, the Company shall credit to a bookkeeping account (the “</w:t>
      </w:r>
      <w:r>
        <w:rPr>
          <w:rFonts w:ascii="Arial" w:cs="Arial" w:eastAsia="Arial" w:hAnsi="Arial"/>
          <w:sz w:val="22"/>
          <w:szCs w:val="22"/>
          <w:b w:val="1"/>
          <w:bCs w:val="1"/>
          <w:i w:val="1"/>
          <w:iCs w:val="1"/>
          <w:color w:val="auto"/>
        </w:rPr>
        <w:t>Cash Account</w:t>
      </w:r>
      <w:r>
        <w:rPr>
          <w:rFonts w:ascii="Arial" w:cs="Arial" w:eastAsia="Arial" w:hAnsi="Arial"/>
          <w:sz w:val="22"/>
          <w:szCs w:val="22"/>
          <w:color w:val="auto"/>
        </w:rPr>
        <w:t>”) for the Participant an amount equal to the cash dividend that would have been payable with respect to the Shares corresponding to the RSUs (or, if applicable, shares corresponding to Acquirer RSUs), excluding any RSUs (or, if applicable, Acquirer RSUs) which have been forfeited, as if those Shares had been issued and outstanding as of the dividend payment date. Upon the vesting of any RSUs (or, if applicable, Acquirer RSUs) hereunder, the Participant shall vest in and have the right to receive that portion of the Cash Account which relates to any such vested RSUs (or, if applicable, Acquirer RSUs). The value of the Participant’s Cash Account shall vest and be distributable to the Participant at the same time as the RSUs (or, if applicable, Acquirer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0" w:right="239" w:bottom="1440" w:gutter="0" w:footer="0" w:header="0"/>
        </w:sectPr>
      </w:pPr>
    </w:p>
    <w:bookmarkStart w:id="99" w:name="page100"/>
    <w:bookmarkEnd w:id="99"/>
    <w:p>
      <w:pPr>
        <w:ind w:right="20"/>
        <w:spacing w:after="0" w:line="249" w:lineRule="auto"/>
        <w:rPr>
          <w:sz w:val="20"/>
          <w:szCs w:val="20"/>
          <w:color w:val="auto"/>
        </w:rPr>
      </w:pPr>
      <w:r>
        <w:rPr>
          <w:rFonts w:ascii="Arial" w:cs="Arial" w:eastAsia="Arial" w:hAnsi="Arial"/>
          <w:sz w:val="22"/>
          <w:szCs w:val="22"/>
          <w:color w:val="auto"/>
        </w:rPr>
        <w:t>RSUs) vest and the Shares corresponding to the vested RSUs (or, if applicable, consideration corresponding to Acquirer RSUs) are distributed to the Participant.</w:t>
      </w:r>
    </w:p>
    <w:p>
      <w:pPr>
        <w:spacing w:after="0" w:line="204" w:lineRule="exact"/>
        <w:rPr>
          <w:sz w:val="20"/>
          <w:szCs w:val="20"/>
          <w:color w:val="auto"/>
        </w:rPr>
      </w:pPr>
    </w:p>
    <w:p>
      <w:pPr>
        <w:jc w:val="both"/>
        <w:ind w:firstLine="1953"/>
        <w:spacing w:after="0" w:line="245" w:lineRule="auto"/>
        <w:tabs>
          <w:tab w:leader="none" w:pos="2465" w:val="left"/>
        </w:tabs>
        <w:numPr>
          <w:ilvl w:val="3"/>
          <w:numId w:val="36"/>
        </w:numPr>
        <w:rPr>
          <w:rFonts w:ascii="Arial" w:cs="Arial" w:eastAsia="Arial" w:hAnsi="Arial"/>
          <w:sz w:val="22"/>
          <w:szCs w:val="22"/>
          <w:color w:val="auto"/>
        </w:rPr>
      </w:pPr>
      <w:r>
        <w:rPr>
          <w:rFonts w:ascii="Arial" w:cs="Arial" w:eastAsia="Arial" w:hAnsi="Arial"/>
          <w:sz w:val="22"/>
          <w:szCs w:val="22"/>
          <w:u w:val="single" w:color="auto"/>
          <w:color w:val="auto"/>
        </w:rPr>
        <w:t>Stock Dividends</w:t>
      </w:r>
      <w:r>
        <w:rPr>
          <w:rFonts w:ascii="Arial" w:cs="Arial" w:eastAsia="Arial" w:hAnsi="Arial"/>
          <w:sz w:val="22"/>
          <w:szCs w:val="22"/>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vested, shall be distributed at the same time as the Shares corresponding to vested RSUs are distributed.</w:t>
      </w:r>
    </w:p>
    <w:p>
      <w:pPr>
        <w:spacing w:after="0" w:line="207" w:lineRule="exact"/>
        <w:rPr>
          <w:rFonts w:ascii="Arial" w:cs="Arial" w:eastAsia="Arial" w:hAnsi="Arial"/>
          <w:sz w:val="22"/>
          <w:szCs w:val="22"/>
          <w:color w:val="auto"/>
        </w:rPr>
      </w:pPr>
    </w:p>
    <w:p>
      <w:pPr>
        <w:ind w:firstLine="656"/>
        <w:spacing w:after="0" w:line="249" w:lineRule="auto"/>
        <w:tabs>
          <w:tab w:leader="none" w:pos="1177"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Transfers</w:t>
      </w:r>
      <w:r>
        <w:rPr>
          <w:rFonts w:ascii="Arial" w:cs="Arial" w:eastAsia="Arial" w:hAnsi="Arial"/>
          <w:sz w:val="22"/>
          <w:szCs w:val="22"/>
          <w:color w:val="auto"/>
        </w:rPr>
        <w:t>. The Participant may not, directly or indirectly, sell, pledge or otherwise transfer any RSUs or Acquirer RSUs or any rights with respect to the Cash Account.</w:t>
      </w:r>
    </w:p>
    <w:p>
      <w:pPr>
        <w:spacing w:after="0" w:line="204" w:lineRule="exact"/>
        <w:rPr>
          <w:rFonts w:ascii="Arial" w:cs="Arial" w:eastAsia="Arial" w:hAnsi="Arial"/>
          <w:sz w:val="22"/>
          <w:szCs w:val="22"/>
          <w:color w:val="auto"/>
        </w:rPr>
      </w:pPr>
    </w:p>
    <w:p>
      <w:pPr>
        <w:jc w:val="both"/>
        <w:ind w:firstLine="656"/>
        <w:spacing w:after="0" w:line="258" w:lineRule="auto"/>
        <w:tabs>
          <w:tab w:leader="none" w:pos="136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Registration Statement</w:t>
      </w:r>
      <w:r>
        <w:rPr>
          <w:rFonts w:ascii="Arial" w:cs="Arial" w:eastAsia="Arial" w:hAnsi="Arial"/>
          <w:sz w:val="21"/>
          <w:szCs w:val="21"/>
          <w:color w:val="auto"/>
        </w:rPr>
        <w:t>. The Participant acknowledges and agrees that the Company has filed a Registration Statement on Form S-8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under the Securities Act of 1933, as amended (the “</w:t>
      </w:r>
      <w:r>
        <w:rPr>
          <w:rFonts w:ascii="Arial" w:cs="Arial" w:eastAsia="Arial" w:hAnsi="Arial"/>
          <w:sz w:val="21"/>
          <w:szCs w:val="21"/>
          <w:u w:val="single" w:color="auto"/>
          <w:color w:val="auto"/>
        </w:rPr>
        <w:t>1933 Act</w:t>
      </w:r>
      <w:r>
        <w:rPr>
          <w:rFonts w:ascii="Arial" w:cs="Arial" w:eastAsia="Arial" w:hAnsi="Arial"/>
          <w:sz w:val="21"/>
          <w:szCs w:val="21"/>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or non-U.S. securities law.</w:t>
      </w:r>
    </w:p>
    <w:p>
      <w:pPr>
        <w:spacing w:after="0" w:line="198" w:lineRule="exact"/>
        <w:rPr>
          <w:rFonts w:ascii="Arial" w:cs="Arial" w:eastAsia="Arial" w:hAnsi="Arial"/>
          <w:sz w:val="21"/>
          <w:szCs w:val="21"/>
          <w:color w:val="auto"/>
        </w:rPr>
      </w:pPr>
    </w:p>
    <w:p>
      <w:pPr>
        <w:ind w:left="1080" w:hanging="424"/>
        <w:spacing w:after="0"/>
        <w:tabs>
          <w:tab w:leader="none" w:pos="10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Taxes; Potential Forfeiture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58" w:lineRule="auto"/>
        <w:tabs>
          <w:tab w:leader="none" w:pos="1828"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Payment of Taxes</w:t>
      </w:r>
      <w:r>
        <w:rPr>
          <w:rFonts w:ascii="Arial" w:cs="Arial" w:eastAsia="Arial" w:hAnsi="Arial"/>
          <w:sz w:val="21"/>
          <w:szCs w:val="21"/>
          <w:color w:val="auto"/>
        </w:rPr>
        <w:t>. On or prior to the date on which any Shares corresponding to any vested 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198" w:lineRule="exact"/>
        <w:rPr>
          <w:rFonts w:ascii="Arial" w:cs="Arial" w:eastAsia="Arial" w:hAnsi="Arial"/>
          <w:sz w:val="21"/>
          <w:szCs w:val="21"/>
          <w:color w:val="auto"/>
        </w:rPr>
      </w:pPr>
    </w:p>
    <w:p>
      <w:pPr>
        <w:jc w:val="both"/>
        <w:ind w:firstLine="1359"/>
        <w:spacing w:after="0" w:line="244" w:lineRule="auto"/>
        <w:tabs>
          <w:tab w:leader="none" w:pos="1949" w:val="left"/>
        </w:tabs>
        <w:numPr>
          <w:ilvl w:val="2"/>
          <w:numId w:val="37"/>
        </w:numPr>
        <w:rPr>
          <w:rFonts w:ascii="Arial" w:cs="Arial" w:eastAsia="Arial" w:hAnsi="Arial"/>
          <w:sz w:val="22"/>
          <w:szCs w:val="22"/>
          <w:color w:val="auto"/>
        </w:rPr>
      </w:pPr>
      <w:r>
        <w:rPr>
          <w:rFonts w:ascii="Arial" w:cs="Arial" w:eastAsia="Arial" w:hAnsi="Arial"/>
          <w:sz w:val="22"/>
          <w:szCs w:val="22"/>
          <w:u w:val="single" w:color="auto"/>
          <w:color w:val="auto"/>
        </w:rPr>
        <w:t>Alternative Payment Methods and Company Rights</w:t>
      </w:r>
      <w:r>
        <w:rPr>
          <w:rFonts w:ascii="Arial" w:cs="Arial" w:eastAsia="Arial" w:hAnsi="Arial"/>
          <w:sz w:val="22"/>
          <w:szCs w:val="22"/>
          <w:color w:val="auto"/>
        </w:rPr>
        <w:t>. The Company may, at its option, permit the Participant to satisfy his or her obligations under this Section 9, by tendering to the Company a portion of the Shares (or, if applicable, consideration corresponding to Acquirer RSUs) that otherwise would be delivered to the Participant pursuant to the 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RSUs (or, if applicable, consideration corresponding to Acquirer RSUs) in the open market,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0" w:right="239" w:bottom="1440" w:gutter="0" w:footer="0" w:header="0"/>
        </w:sectPr>
      </w:pPr>
    </w:p>
    <w:bookmarkStart w:id="100" w:name="page101"/>
    <w:bookmarkEnd w:id="100"/>
    <w:p>
      <w:pPr>
        <w:jc w:val="both"/>
        <w:spacing w:after="0" w:line="245" w:lineRule="auto"/>
        <w:rPr>
          <w:sz w:val="20"/>
          <w:szCs w:val="20"/>
          <w:color w:val="auto"/>
        </w:rPr>
      </w:pPr>
      <w:r>
        <w:rPr>
          <w:rFonts w:ascii="Arial" w:cs="Arial" w:eastAsia="Arial" w:hAnsi="Arial"/>
          <w:sz w:val="22"/>
          <w:szCs w:val="22"/>
          <w:color w:val="auto"/>
        </w:rPr>
        <w:t>or (3) withholding and cancelling all or a portion of the Shares corresponding to the vested RSUs (or, if applicable, consideration corresponding to Acquirer RSUs). Any acquisition of Shares corresponding to RSUs (or, if applicable, consideration corresponding to Acquirer RSUs) by the Company as contemplated hereby is expressly approved by the Committee as part of the approval of this Agreement.</w:t>
      </w:r>
    </w:p>
    <w:p>
      <w:pPr>
        <w:spacing w:after="0" w:line="210" w:lineRule="exact"/>
        <w:rPr>
          <w:sz w:val="20"/>
          <w:szCs w:val="20"/>
          <w:color w:val="auto"/>
        </w:rPr>
      </w:pPr>
    </w:p>
    <w:p>
      <w:pPr>
        <w:jc w:val="both"/>
        <w:ind w:firstLine="1359"/>
        <w:spacing w:after="0" w:line="244" w:lineRule="auto"/>
        <w:tabs>
          <w:tab w:leader="none" w:pos="187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Forfeiture for Failure to Pay Taxes</w:t>
      </w:r>
      <w:r>
        <w:rPr>
          <w:rFonts w:ascii="Arial" w:cs="Arial" w:eastAsia="Arial" w:hAnsi="Arial"/>
          <w:sz w:val="22"/>
          <w:szCs w:val="22"/>
          <w:color w:val="auto"/>
        </w:rPr>
        <w:t>. If and to the extent that the Participant fails to satisfy his or her obligations under this Section 9 and the Company does not exercise its right to satisfy those obligations under Section 9(b) hereof with respect to any RSUs (or, if applicable, Acquirer RSUs) or any portion of the vested Cash Account within 30 days after the date on which the Shares corresponding to the vested RSUs (or, if applicable, consideration corresponding to Acquirer RSUs) or vested Cash Account otherwise would be delivered pursuant to Sections 5 and 6(b) hereof, as applicable, the Participant immediately forfeits any rights with respect to the portion of the RSUs (or, if applicable, Acquirer RSUs) or vested Cash Account to which such failure relates.</w:t>
      </w:r>
    </w:p>
    <w:p>
      <w:pPr>
        <w:spacing w:after="0" w:line="212" w:lineRule="exact"/>
        <w:rPr>
          <w:rFonts w:ascii="Arial" w:cs="Arial" w:eastAsia="Arial" w:hAnsi="Arial"/>
          <w:sz w:val="22"/>
          <w:szCs w:val="22"/>
          <w:color w:val="auto"/>
        </w:rPr>
      </w:pPr>
    </w:p>
    <w:p>
      <w:pPr>
        <w:jc w:val="both"/>
        <w:ind w:firstLine="656"/>
        <w:spacing w:after="0" w:line="244" w:lineRule="auto"/>
        <w:tabs>
          <w:tab w:leader="none" w:pos="118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Stock Retention Policy</w:t>
      </w:r>
      <w:r>
        <w:rPr>
          <w:rFonts w:ascii="Arial" w:cs="Arial" w:eastAsia="Arial" w:hAnsi="Arial"/>
          <w:sz w:val="22"/>
          <w:szCs w:val="22"/>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211" w:lineRule="exact"/>
        <w:rPr>
          <w:rFonts w:ascii="Arial" w:cs="Arial" w:eastAsia="Arial" w:hAnsi="Arial"/>
          <w:sz w:val="22"/>
          <w:szCs w:val="22"/>
          <w:color w:val="auto"/>
        </w:rPr>
      </w:pPr>
    </w:p>
    <w:p>
      <w:pPr>
        <w:jc w:val="both"/>
        <w:ind w:firstLine="656"/>
        <w:spacing w:after="0" w:line="261" w:lineRule="auto"/>
        <w:tabs>
          <w:tab w:leader="none" w:pos="1009"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Stock Ownership Policy</w:t>
      </w:r>
      <w:r>
        <w:rPr>
          <w:rFonts w:ascii="Arial" w:cs="Arial" w:eastAsia="Arial" w:hAnsi="Arial"/>
          <w:sz w:val="21"/>
          <w:szCs w:val="21"/>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192" w:lineRule="exact"/>
        <w:rPr>
          <w:rFonts w:ascii="Arial" w:cs="Arial" w:eastAsia="Arial" w:hAnsi="Arial"/>
          <w:sz w:val="21"/>
          <w:szCs w:val="21"/>
          <w:color w:val="auto"/>
        </w:rPr>
      </w:pPr>
    </w:p>
    <w:p>
      <w:pPr>
        <w:jc w:val="both"/>
        <w:ind w:firstLine="656"/>
        <w:spacing w:after="0" w:line="244" w:lineRule="auto"/>
        <w:tabs>
          <w:tab w:leader="none" w:pos="122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No Effect on Employment</w:t>
      </w:r>
      <w:r>
        <w:rPr>
          <w:rFonts w:ascii="Arial" w:cs="Arial" w:eastAsia="Arial" w:hAnsi="Arial"/>
          <w:sz w:val="22"/>
          <w:szCs w:val="22"/>
          <w:color w:val="auto"/>
        </w:rPr>
        <w:t>. Except as otherwise provided in the Participant’s Employment Arrangement, if any, the Participant’s employment with the Company and any Subsidiary is on an at-will basis only. Accordingly, subject to the terms of any such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90" w:right="239" w:bottom="1440" w:gutter="0" w:footer="0" w:header="0"/>
        </w:sectPr>
      </w:pPr>
    </w:p>
    <w:bookmarkStart w:id="101" w:name="page102"/>
    <w:bookmarkEnd w:id="101"/>
    <w:p>
      <w:pPr>
        <w:jc w:val="both"/>
        <w:ind w:firstLine="656"/>
        <w:spacing w:after="0" w:line="246" w:lineRule="auto"/>
        <w:tabs>
          <w:tab w:leader="none" w:pos="118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8" w:lineRule="exact"/>
        <w:rPr>
          <w:rFonts w:ascii="Arial" w:cs="Arial" w:eastAsia="Arial" w:hAnsi="Arial"/>
          <w:sz w:val="22"/>
          <w:szCs w:val="22"/>
          <w:color w:val="auto"/>
        </w:rPr>
      </w:pPr>
    </w:p>
    <w:p>
      <w:pPr>
        <w:ind w:right="20" w:firstLine="656"/>
        <w:spacing w:after="0" w:line="249" w:lineRule="auto"/>
        <w:tabs>
          <w:tab w:leader="none" w:pos="122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Binding Agreement</w:t>
      </w:r>
      <w:r>
        <w:rPr>
          <w:rFonts w:ascii="Arial" w:cs="Arial" w:eastAsia="Arial" w:hAnsi="Arial"/>
          <w:sz w:val="22"/>
          <w:szCs w:val="22"/>
          <w:color w:val="auto"/>
        </w:rPr>
        <w:t>. This Agreement shall be binding upon and inure to the benefit of the heirs, legatees, legal representatives, successors and assigns of the parties hereto.</w:t>
      </w:r>
    </w:p>
    <w:p>
      <w:pPr>
        <w:spacing w:after="0" w:line="204" w:lineRule="exact"/>
        <w:rPr>
          <w:rFonts w:ascii="Arial" w:cs="Arial" w:eastAsia="Arial" w:hAnsi="Arial"/>
          <w:sz w:val="22"/>
          <w:szCs w:val="22"/>
          <w:color w:val="auto"/>
        </w:rPr>
      </w:pPr>
    </w:p>
    <w:p>
      <w:pPr>
        <w:jc w:val="both"/>
        <w:ind w:firstLine="656"/>
        <w:spacing w:after="0" w:line="246" w:lineRule="auto"/>
        <w:tabs>
          <w:tab w:leader="none" w:pos="124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08" w:lineRule="exact"/>
        <w:rPr>
          <w:rFonts w:ascii="Arial" w:cs="Arial" w:eastAsia="Arial" w:hAnsi="Arial"/>
          <w:sz w:val="22"/>
          <w:szCs w:val="22"/>
          <w:color w:val="auto"/>
        </w:rPr>
      </w:pPr>
    </w:p>
    <w:p>
      <w:pPr>
        <w:jc w:val="both"/>
        <w:ind w:firstLine="656"/>
        <w:spacing w:after="0" w:line="244" w:lineRule="auto"/>
        <w:tabs>
          <w:tab w:leader="none" w:pos="121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Governing Law/Jurisdiction</w:t>
      </w:r>
      <w:r>
        <w:rPr>
          <w:rFonts w:ascii="Arial" w:cs="Arial" w:eastAsia="Arial" w:hAnsi="Arial"/>
          <w:sz w:val="22"/>
          <w:szCs w:val="22"/>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0" w:lineRule="exact"/>
        <w:rPr>
          <w:rFonts w:ascii="Arial" w:cs="Arial" w:eastAsia="Arial" w:hAnsi="Arial"/>
          <w:sz w:val="22"/>
          <w:szCs w:val="22"/>
          <w:color w:val="auto"/>
        </w:rPr>
      </w:pPr>
    </w:p>
    <w:p>
      <w:pPr>
        <w:jc w:val="both"/>
        <w:ind w:firstLine="656"/>
        <w:spacing w:after="0" w:line="258" w:lineRule="auto"/>
        <w:tabs>
          <w:tab w:leader="none" w:pos="1189"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195" w:lineRule="exact"/>
        <w:rPr>
          <w:rFonts w:ascii="Arial" w:cs="Arial" w:eastAsia="Arial" w:hAnsi="Arial"/>
          <w:sz w:val="21"/>
          <w:szCs w:val="21"/>
          <w:color w:val="auto"/>
        </w:rPr>
      </w:pPr>
    </w:p>
    <w:p>
      <w:pPr>
        <w:ind w:right="20" w:firstLine="656"/>
        <w:spacing w:after="0" w:line="249" w:lineRule="auto"/>
        <w:tabs>
          <w:tab w:leader="none" w:pos="124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provided herein are for convenience only and are not to serve as a basis for the interpretation or construction of this Agreement.</w:t>
      </w:r>
    </w:p>
    <w:p>
      <w:pPr>
        <w:spacing w:after="0" w:line="204" w:lineRule="exact"/>
        <w:rPr>
          <w:rFonts w:ascii="Arial" w:cs="Arial" w:eastAsia="Arial" w:hAnsi="Arial"/>
          <w:sz w:val="22"/>
          <w:szCs w:val="22"/>
          <w:color w:val="auto"/>
        </w:rPr>
      </w:pPr>
    </w:p>
    <w:p>
      <w:pPr>
        <w:jc w:val="both"/>
        <w:ind w:firstLine="656"/>
        <w:spacing w:after="0" w:line="246" w:lineRule="auto"/>
        <w:tabs>
          <w:tab w:leader="none" w:pos="143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8" w:lineRule="exact"/>
        <w:rPr>
          <w:rFonts w:ascii="Arial" w:cs="Arial" w:eastAsia="Arial" w:hAnsi="Arial"/>
          <w:sz w:val="22"/>
          <w:szCs w:val="22"/>
          <w:color w:val="auto"/>
        </w:rPr>
      </w:pPr>
    </w:p>
    <w:p>
      <w:pPr>
        <w:jc w:val="both"/>
        <w:ind w:firstLine="656"/>
        <w:spacing w:after="0" w:line="246" w:lineRule="auto"/>
        <w:tabs>
          <w:tab w:leader="none" w:pos="118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Agreement constitutes the entire understanding of the parties on the subjects covered. The Participant expressly warrants that he or she is not executing this Agreement in reliance on any promises, representations, or inducements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90" w:right="2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22"/>
          <w:szCs w:val="22"/>
          <w:color w:val="auto"/>
        </w:rPr>
        <w:t>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0" w:lineRule="exact"/>
        <w:rPr>
          <w:sz w:val="20"/>
          <w:szCs w:val="20"/>
          <w:color w:val="auto"/>
        </w:rPr>
      </w:pPr>
    </w:p>
    <w:p>
      <w:pPr>
        <w:ind w:left="1200" w:hanging="544"/>
        <w:spacing w:after="0"/>
        <w:tabs>
          <w:tab w:leader="none" w:pos="120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244" w:lineRule="auto"/>
        <w:tabs>
          <w:tab w:leader="none" w:pos="193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and to the extent that the Company believes that the RSUs (including, if applicable,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12" w:lineRule="exact"/>
        <w:rPr>
          <w:rFonts w:ascii="Arial" w:cs="Arial" w:eastAsia="Arial" w:hAnsi="Arial"/>
          <w:sz w:val="22"/>
          <w:szCs w:val="22"/>
          <w:color w:val="auto"/>
        </w:rPr>
      </w:pPr>
    </w:p>
    <w:p>
      <w:pPr>
        <w:ind w:left="1800" w:hanging="495"/>
        <w:spacing w:after="0"/>
        <w:tabs>
          <w:tab w:leader="none" w:pos="18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and to the extent required to comply with Section 409A:</w:t>
      </w:r>
    </w:p>
    <w:p>
      <w:pPr>
        <w:spacing w:after="0" w:line="219" w:lineRule="exact"/>
        <w:rPr>
          <w:rFonts w:ascii="Arial" w:cs="Arial" w:eastAsia="Arial" w:hAnsi="Arial"/>
          <w:sz w:val="22"/>
          <w:szCs w:val="22"/>
          <w:color w:val="auto"/>
        </w:rPr>
      </w:pPr>
    </w:p>
    <w:p>
      <w:pPr>
        <w:jc w:val="both"/>
        <w:ind w:firstLine="1953"/>
        <w:spacing w:after="0" w:line="244" w:lineRule="auto"/>
        <w:tabs>
          <w:tab w:leader="none" w:pos="2377" w:val="left"/>
        </w:tabs>
        <w:numPr>
          <w:ilvl w:val="2"/>
          <w:numId w:val="41"/>
        </w:numPr>
        <w:rPr>
          <w:rFonts w:ascii="Arial" w:cs="Arial" w:eastAsia="Arial" w:hAnsi="Arial"/>
          <w:sz w:val="22"/>
          <w:szCs w:val="22"/>
          <w:color w:val="auto"/>
        </w:rPr>
      </w:pPr>
      <w:r>
        <w:rPr>
          <w:rFonts w:ascii="Arial" w:cs="Arial" w:eastAsia="Arial" w:hAnsi="Arial"/>
          <w:sz w:val="22"/>
          <w:szCs w:val="22"/>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12" w:lineRule="exact"/>
        <w:rPr>
          <w:rFonts w:ascii="Arial" w:cs="Arial" w:eastAsia="Arial" w:hAnsi="Arial"/>
          <w:sz w:val="22"/>
          <w:szCs w:val="22"/>
          <w:color w:val="auto"/>
        </w:rPr>
      </w:pPr>
    </w:p>
    <w:p>
      <w:pPr>
        <w:jc w:val="both"/>
        <w:ind w:firstLine="1953"/>
        <w:spacing w:after="0" w:line="246" w:lineRule="auto"/>
        <w:tabs>
          <w:tab w:leader="none" w:pos="2448"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08" w:lineRule="exact"/>
        <w:rPr>
          <w:rFonts w:ascii="Arial" w:cs="Arial" w:eastAsia="Arial" w:hAnsi="Arial"/>
          <w:sz w:val="22"/>
          <w:szCs w:val="22"/>
          <w:color w:val="auto"/>
        </w:rPr>
      </w:pPr>
    </w:p>
    <w:p>
      <w:pPr>
        <w:jc w:val="both"/>
        <w:ind w:firstLine="2020"/>
        <w:spacing w:after="0" w:line="246" w:lineRule="auto"/>
        <w:tabs>
          <w:tab w:leader="none" w:pos="2615" w:val="left"/>
        </w:tabs>
        <w:numPr>
          <w:ilvl w:val="3"/>
          <w:numId w:val="41"/>
        </w:numPr>
        <w:rPr>
          <w:rFonts w:ascii="Arial" w:cs="Arial" w:eastAsia="Arial" w:hAnsi="Arial"/>
          <w:sz w:val="22"/>
          <w:szCs w:val="22"/>
          <w:color w:val="auto"/>
        </w:rPr>
      </w:pPr>
      <w:r>
        <w:rPr>
          <w:rFonts w:ascii="Arial" w:cs="Arial" w:eastAsia="Arial" w:hAnsi="Arial"/>
          <w:sz w:val="22"/>
          <w:szCs w:val="22"/>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208"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For purposes of the foregoing, the terms in quotations shall have the same meanings as those terms have for purposes of Section 409A, and the limitations set forth herein shall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90" w:right="239" w:bottom="1440" w:gutter="0" w:footer="0" w:header="0"/>
        </w:sectPr>
      </w:pPr>
    </w:p>
    <w:bookmarkStart w:id="103" w:name="page104"/>
    <w:bookmarkEnd w:id="103"/>
    <w:p>
      <w:pPr>
        <w:spacing w:after="0" w:line="249" w:lineRule="auto"/>
        <w:rPr>
          <w:sz w:val="20"/>
          <w:szCs w:val="20"/>
          <w:color w:val="auto"/>
        </w:rPr>
      </w:pPr>
      <w:r>
        <w:rPr>
          <w:rFonts w:ascii="Arial" w:cs="Arial" w:eastAsia="Arial" w:hAnsi="Arial"/>
          <w:sz w:val="22"/>
          <w:szCs w:val="22"/>
          <w:color w:val="auto"/>
        </w:rPr>
        <w:t>be applied in such manner (and only to the extent) as shall be necessary to comply with any requirements of Section 409A that are applicable to this Agreement.</w:t>
      </w:r>
    </w:p>
    <w:p>
      <w:pPr>
        <w:spacing w:after="0" w:line="204" w:lineRule="exact"/>
        <w:rPr>
          <w:sz w:val="20"/>
          <w:szCs w:val="20"/>
          <w:color w:val="auto"/>
        </w:rPr>
      </w:pPr>
    </w:p>
    <w:p>
      <w:pPr>
        <w:jc w:val="both"/>
        <w:ind w:firstLine="1305"/>
        <w:spacing w:after="0" w:line="244" w:lineRule="auto"/>
        <w:tabs>
          <w:tab w:leader="none" w:pos="1873"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2" w:lineRule="exact"/>
        <w:rPr>
          <w:rFonts w:ascii="Arial" w:cs="Arial" w:eastAsia="Arial" w:hAnsi="Arial"/>
          <w:sz w:val="22"/>
          <w:szCs w:val="22"/>
          <w:color w:val="auto"/>
        </w:rPr>
      </w:pPr>
    </w:p>
    <w:p>
      <w:pPr>
        <w:jc w:val="both"/>
        <w:ind w:firstLine="656"/>
        <w:spacing w:after="0" w:line="245" w:lineRule="auto"/>
        <w:tabs>
          <w:tab w:leader="none" w:pos="125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Unfunded Agreement</w:t>
      </w:r>
      <w:r>
        <w:rPr>
          <w:rFonts w:ascii="Arial" w:cs="Arial" w:eastAsia="Arial" w:hAnsi="Arial"/>
          <w:sz w:val="22"/>
          <w:szCs w:val="22"/>
          <w:color w:val="auto"/>
        </w:rPr>
        <w:t>. The rights of the Participant under this Agreement with respect to the Company’s obligation to distribute Shares corresponding to vested 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89" w:right="23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executed this Agreement as of the Grant Date.</w:t>
      </w:r>
    </w:p>
    <w:p>
      <w:pPr>
        <w:sectPr>
          <w:pgSz w:w="11900" w:h="16838" w:orient="portrait"/>
          <w:cols w:equalWidth="0" w:num="1">
            <w:col w:w="9559"/>
          </w:cols>
          <w:pgMar w:left="900" w:top="620" w:right="1440" w:bottom="1440" w:gutter="0" w:footer="0" w:header="0"/>
        </w:sectPr>
      </w:pPr>
    </w:p>
    <w:p>
      <w:pPr>
        <w:spacing w:after="0" w:line="231" w:lineRule="exact"/>
        <w:rPr>
          <w:sz w:val="20"/>
          <w:szCs w:val="20"/>
          <w:color w:val="auto"/>
        </w:rPr>
      </w:pPr>
    </w:p>
    <w:p>
      <w:pPr>
        <w:ind w:left="1940"/>
        <w:spacing w:after="0"/>
        <w:rPr>
          <w:sz w:val="20"/>
          <w:szCs w:val="20"/>
          <w:color w:val="auto"/>
        </w:rPr>
      </w:pPr>
      <w:r>
        <w:rPr>
          <w:rFonts w:ascii="Arial" w:cs="Arial" w:eastAsia="Arial" w:hAnsi="Arial"/>
          <w:sz w:val="21"/>
          <w:szCs w:val="21"/>
          <w:b w:val="1"/>
          <w:bCs w:val="1"/>
          <w:u w:val="single" w:color="auto"/>
          <w:color w:val="auto"/>
        </w:rPr>
        <w:t>WORLD FUEL SERVICES CORPORATION</w:t>
      </w:r>
    </w:p>
    <w:p>
      <w:pPr>
        <w:spacing w:after="0" w:line="200" w:lineRule="exact"/>
        <w:rPr>
          <w:sz w:val="20"/>
          <w:szCs w:val="20"/>
          <w:color w:val="auto"/>
        </w:rPr>
      </w:pPr>
    </w:p>
    <w:p>
      <w:pPr>
        <w:spacing w:after="0" w:line="354"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By: ____________________________</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Michael J. Kasbar</w:t>
      </w:r>
    </w:p>
    <w:p>
      <w:pPr>
        <w:spacing w:after="0" w:line="4"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spacing w:after="0"/>
        <w:rPr>
          <w:sz w:val="20"/>
          <w:szCs w:val="20"/>
          <w:color w:val="auto"/>
        </w:rPr>
      </w:pPr>
      <w:r>
        <w:rPr>
          <w:rFonts w:ascii="Arial" w:cs="Arial" w:eastAsia="Arial" w:hAnsi="Arial"/>
          <w:sz w:val="22"/>
          <w:szCs w:val="22"/>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-27305</wp:posOffset>
            </wp:positionV>
            <wp:extent cx="915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00"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915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559"/>
          </w:cols>
          <w:pgMar w:left="900" w:top="620" w:right="1440" w:bottom="1440" w:gutter="0" w:footer="0" w:header="0"/>
          <w:type w:val="continuous"/>
        </w:sectPr>
      </w:pPr>
    </w:p>
    <w:bookmarkStart w:id="105" w:name="page106"/>
    <w:bookmarkEnd w:id="105"/>
    <w:p>
      <w:pPr>
        <w:jc w:val="center"/>
        <w:ind w:right="-122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VESTING SCHEDULE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_____</w:t>
      </w:r>
      <w:r>
        <w:rPr>
          <w:rFonts w:ascii="Arial" w:cs="Arial" w:eastAsia="Arial" w:hAnsi="Arial"/>
          <w:sz w:val="22"/>
          <w:szCs w:val="22"/>
          <w:color w:val="auto"/>
        </w:rPr>
        <w:t xml:space="preserve"> of the RSUs shall vest on the </w:t>
      </w:r>
      <w:r>
        <w:rPr>
          <w:rFonts w:ascii="Arial" w:cs="Arial" w:eastAsia="Arial" w:hAnsi="Arial"/>
          <w:sz w:val="22"/>
          <w:szCs w:val="22"/>
          <w:u w:val="single" w:color="auto"/>
          <w:color w:val="auto"/>
        </w:rPr>
        <w:t>first (1st) anniversary</w:t>
      </w:r>
      <w:r>
        <w:rPr>
          <w:rFonts w:ascii="Arial" w:cs="Arial" w:eastAsia="Arial" w:hAnsi="Arial"/>
          <w:sz w:val="22"/>
          <w:szCs w:val="22"/>
          <w:color w:val="auto"/>
        </w:rPr>
        <w:t xml:space="preserve"> of the Grant Date.</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_____</w:t>
      </w:r>
      <w:r>
        <w:rPr>
          <w:rFonts w:ascii="Arial" w:cs="Arial" w:eastAsia="Arial" w:hAnsi="Arial"/>
          <w:sz w:val="21"/>
          <w:szCs w:val="21"/>
          <w:color w:val="auto"/>
        </w:rPr>
        <w:t xml:space="preserve"> of the RSUs shall vest on the </w:t>
      </w:r>
      <w:r>
        <w:rPr>
          <w:rFonts w:ascii="Arial" w:cs="Arial" w:eastAsia="Arial" w:hAnsi="Arial"/>
          <w:sz w:val="21"/>
          <w:szCs w:val="21"/>
          <w:u w:val="single" w:color="auto"/>
          <w:color w:val="auto"/>
        </w:rPr>
        <w:t>second (2nd) anniversary</w:t>
      </w:r>
      <w:r>
        <w:rPr>
          <w:rFonts w:ascii="Arial" w:cs="Arial" w:eastAsia="Arial" w:hAnsi="Arial"/>
          <w:sz w:val="21"/>
          <w:szCs w:val="21"/>
          <w:color w:val="auto"/>
        </w:rPr>
        <w:t xml:space="preserve"> of the Grant Date.</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_____</w:t>
      </w:r>
      <w:r>
        <w:rPr>
          <w:rFonts w:ascii="Arial" w:cs="Arial" w:eastAsia="Arial" w:hAnsi="Arial"/>
          <w:sz w:val="22"/>
          <w:szCs w:val="22"/>
          <w:color w:val="auto"/>
        </w:rPr>
        <w:t xml:space="preserve"> of the RSUs shall vest on the </w:t>
      </w:r>
      <w:r>
        <w:rPr>
          <w:rFonts w:ascii="Arial" w:cs="Arial" w:eastAsia="Arial" w:hAnsi="Arial"/>
          <w:sz w:val="22"/>
          <w:szCs w:val="22"/>
          <w:u w:val="single" w:color="auto"/>
          <w:color w:val="auto"/>
        </w:rPr>
        <w:t>third (3rd) anniversary</w:t>
      </w:r>
      <w:r>
        <w:rPr>
          <w:rFonts w:ascii="Arial" w:cs="Arial" w:eastAsia="Arial" w:hAnsi="Arial"/>
          <w:sz w:val="22"/>
          <w:szCs w:val="22"/>
          <w:color w:val="auto"/>
        </w:rPr>
        <w:t xml:space="preserve"> of the Grant Date.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62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Exhibit 10.12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GRANT AGREEMENT</w:t>
      </w:r>
    </w:p>
    <w:p>
      <w:pPr>
        <w:spacing w:after="0" w:line="229" w:lineRule="exact"/>
        <w:rPr>
          <w:sz w:val="20"/>
          <w:szCs w:val="20"/>
          <w:color w:val="auto"/>
        </w:rPr>
      </w:pPr>
    </w:p>
    <w:p>
      <w:pPr>
        <w:jc w:val="both"/>
        <w:ind w:firstLine="656"/>
        <w:spacing w:after="0" w:line="272" w:lineRule="auto"/>
        <w:tabs>
          <w:tab w:leader="none" w:pos="151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to [•]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 March 31, 2017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a target award of [•] performance-based restricted stock units (the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 $0.01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PRSUs have been granted under the Company’s 2016 Omnibus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PRSUs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207" w:lineRule="exact"/>
        <w:rPr>
          <w:rFonts w:ascii="Arial" w:cs="Arial" w:eastAsia="Arial" w:hAnsi="Arial"/>
          <w:sz w:val="20"/>
          <w:szCs w:val="20"/>
          <w:color w:val="auto"/>
        </w:rPr>
      </w:pPr>
    </w:p>
    <w:p>
      <w:pPr>
        <w:ind w:left="1560" w:hanging="904"/>
        <w:spacing w:after="0"/>
        <w:tabs>
          <w:tab w:leader="none" w:pos="15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w:t>
      </w:r>
    </w:p>
    <w:p>
      <w:pPr>
        <w:spacing w:after="0" w:line="26" w:lineRule="exact"/>
        <w:rPr>
          <w:rFonts w:ascii="Arial" w:cs="Arial" w:eastAsia="Arial" w:hAnsi="Arial"/>
          <w:sz w:val="20"/>
          <w:szCs w:val="20"/>
          <w:color w:val="auto"/>
        </w:rPr>
      </w:pPr>
    </w:p>
    <w:p>
      <w:pPr>
        <w:jc w:val="both"/>
        <w:ind w:right="20"/>
        <w:spacing w:after="0" w:line="271" w:lineRule="auto"/>
        <w:rPr>
          <w:rFonts w:ascii="Arial" w:cs="Arial" w:eastAsia="Arial" w:hAnsi="Arial"/>
          <w:sz w:val="20"/>
          <w:szCs w:val="20"/>
          <w:color w:val="auto"/>
        </w:rPr>
      </w:pPr>
      <w:r>
        <w:rPr>
          <w:rFonts w:ascii="Arial" w:cs="Arial" w:eastAsia="Arial" w:hAnsi="Arial"/>
          <w:sz w:val="20"/>
          <w:szCs w:val="20"/>
          <w:color w:val="auto"/>
        </w:rPr>
        <w:t>Capitalized terms used herein and not defined in this Agreement, shall have the meaning set forth in the Plan. Notwithstanding the foregoing, the definitions of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have the meanings set forth in the Employment Arrangement (as defined below).</w:t>
      </w:r>
    </w:p>
    <w:p>
      <w:pPr>
        <w:spacing w:after="0" w:line="182" w:lineRule="exact"/>
        <w:rPr>
          <w:rFonts w:ascii="Arial" w:cs="Arial" w:eastAsia="Arial" w:hAnsi="Arial"/>
          <w:sz w:val="20"/>
          <w:szCs w:val="20"/>
          <w:color w:val="auto"/>
        </w:rPr>
      </w:pPr>
    </w:p>
    <w:p>
      <w:pPr>
        <w:ind w:left="2240" w:hanging="935"/>
        <w:spacing w:after="0"/>
        <w:tabs>
          <w:tab w:leader="none" w:pos="22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of Directors of the Company.</w:t>
      </w:r>
    </w:p>
    <w:p>
      <w:pPr>
        <w:spacing w:after="0" w:line="242" w:lineRule="exact"/>
        <w:rPr>
          <w:rFonts w:ascii="Arial" w:cs="Arial" w:eastAsia="Arial" w:hAnsi="Arial"/>
          <w:sz w:val="20"/>
          <w:szCs w:val="20"/>
          <w:color w:val="auto"/>
        </w:rPr>
      </w:pPr>
    </w:p>
    <w:p>
      <w:pPr>
        <w:jc w:val="both"/>
        <w:ind w:firstLine="1305"/>
        <w:spacing w:after="0" w:line="275" w:lineRule="auto"/>
        <w:tabs>
          <w:tab w:leader="none" w:pos="2255"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means the date as soon as reasonably practicable following the date on which the Company’s audited financial statements with respect to fiscal year 2019 are available, but in no event later than March 15, 2020, as determined by the Committee, on which the Committee determines whether the Performance Goal has 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PRSUs are converted to Acquirer RSUs in accordance with Section 3(b)(i)(B), the Determination Date shall mean December 31, 2019.</w:t>
      </w:r>
    </w:p>
    <w:p>
      <w:pPr>
        <w:spacing w:after="0" w:line="181" w:lineRule="exact"/>
        <w:rPr>
          <w:rFonts w:ascii="Arial" w:cs="Arial" w:eastAsia="Arial" w:hAnsi="Arial"/>
          <w:sz w:val="20"/>
          <w:szCs w:val="20"/>
          <w:color w:val="auto"/>
        </w:rPr>
      </w:pPr>
    </w:p>
    <w:p>
      <w:pPr>
        <w:jc w:val="both"/>
        <w:ind w:firstLine="1305"/>
        <w:spacing w:after="0" w:line="284" w:lineRule="auto"/>
        <w:tabs>
          <w:tab w:leader="none" w:pos="2231"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Arrangement</w:t>
      </w:r>
      <w:r>
        <w:rPr>
          <w:rFonts w:ascii="Arial" w:cs="Arial" w:eastAsia="Arial" w:hAnsi="Arial"/>
          <w:sz w:val="20"/>
          <w:szCs w:val="20"/>
          <w:color w:val="auto"/>
        </w:rPr>
        <w:t>” means any employment agreement or individual severance agreement by and between the Company and the Participant, or severance plan maintained by the Company in which the Participant participates as of the Grant Date, in each case, as in effect on the Grant Date.</w:t>
      </w:r>
    </w:p>
    <w:p>
      <w:pPr>
        <w:spacing w:after="0" w:line="169" w:lineRule="exact"/>
        <w:rPr>
          <w:rFonts w:ascii="Arial" w:cs="Arial" w:eastAsia="Arial" w:hAnsi="Arial"/>
          <w:sz w:val="20"/>
          <w:szCs w:val="20"/>
          <w:color w:val="auto"/>
        </w:rPr>
      </w:pPr>
    </w:p>
    <w:p>
      <w:pPr>
        <w:jc w:val="both"/>
        <w:ind w:firstLine="1305"/>
        <w:spacing w:after="0" w:line="284" w:lineRule="auto"/>
        <w:tabs>
          <w:tab w:leader="none" w:pos="2255"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Determination Date</w:t>
      </w:r>
      <w:r>
        <w:rPr>
          <w:rFonts w:ascii="Arial" w:cs="Arial" w:eastAsia="Arial" w:hAnsi="Arial"/>
          <w:sz w:val="20"/>
          <w:szCs w:val="20"/>
          <w:color w:val="auto"/>
        </w:rPr>
        <w:t>” means the date as soon as reasonably practicable following the date on which the Company’s audited financial statements with respect to fiscal year 2017 are available on which the Committee determines whether the Initial Hurdle has been achieved.</w:t>
      </w:r>
    </w:p>
    <w:p>
      <w:pPr>
        <w:spacing w:after="0" w:line="169" w:lineRule="exact"/>
        <w:rPr>
          <w:rFonts w:ascii="Arial" w:cs="Arial" w:eastAsia="Arial" w:hAnsi="Arial"/>
          <w:sz w:val="20"/>
          <w:szCs w:val="20"/>
          <w:color w:val="auto"/>
        </w:rPr>
      </w:pPr>
    </w:p>
    <w:p>
      <w:pPr>
        <w:jc w:val="both"/>
        <w:ind w:firstLine="1305"/>
        <w:spacing w:after="0" w:line="284" w:lineRule="auto"/>
        <w:tabs>
          <w:tab w:leader="none" w:pos="22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Hurdle</w:t>
      </w:r>
      <w:r>
        <w:rPr>
          <w:rFonts w:ascii="Arial" w:cs="Arial" w:eastAsia="Arial" w:hAnsi="Arial"/>
          <w:sz w:val="20"/>
          <w:szCs w:val="20"/>
          <w:color w:val="auto"/>
        </w:rPr>
        <w:t xml:space="preserve">” means the specific written objective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which is based on the criteria set forth in Section 3.2(b) of the Plan that are timely approved by the Committee pursuant to Section 3.2(b) of the Plan for the Participant for the applicable Performance Period.</w:t>
      </w:r>
    </w:p>
    <w:p>
      <w:pPr>
        <w:spacing w:after="0" w:line="169" w:lineRule="exact"/>
        <w:rPr>
          <w:rFonts w:ascii="Arial" w:cs="Arial" w:eastAsia="Arial" w:hAnsi="Arial"/>
          <w:sz w:val="20"/>
          <w:szCs w:val="20"/>
          <w:color w:val="auto"/>
        </w:rPr>
      </w:pPr>
    </w:p>
    <w:p>
      <w:pPr>
        <w:ind w:left="2200" w:hanging="895"/>
        <w:spacing w:after="0"/>
        <w:tabs>
          <w:tab w:leader="none" w:pos="22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 2017 through December 31,</w:t>
      </w:r>
    </w:p>
    <w:p>
      <w:pPr>
        <w:spacing w:after="0" w:line="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2019.</w:t>
      </w:r>
    </w:p>
    <w:p>
      <w:pPr>
        <w:spacing w:after="0" w:line="218" w:lineRule="exact"/>
        <w:rPr>
          <w:rFonts w:ascii="Arial" w:cs="Arial" w:eastAsia="Arial" w:hAnsi="Arial"/>
          <w:sz w:val="20"/>
          <w:szCs w:val="20"/>
          <w:color w:val="auto"/>
        </w:rPr>
      </w:pPr>
    </w:p>
    <w:p>
      <w:pPr>
        <w:ind w:right="20" w:firstLine="1305"/>
        <w:spacing w:after="0" w:line="300" w:lineRule="auto"/>
        <w:tabs>
          <w:tab w:leader="none" w:pos="2242" w:val="left"/>
        </w:tabs>
        <w:numPr>
          <w:ilvl w:val="1"/>
          <w:numId w:val="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the number of Shares, if any, that shall be issued pursuant to this Agreement.</w:t>
      </w:r>
    </w:p>
    <w:p>
      <w:pPr>
        <w:sectPr>
          <w:pgSz w:w="11900" w:h="16838" w:orient="portrait"/>
          <w:cols w:equalWidth="0" w:num="1">
            <w:col w:w="11420"/>
          </w:cols>
          <w:pgMar w:left="240" w:top="388" w:right="239" w:bottom="1440" w:gutter="0" w:footer="0" w:header="0"/>
        </w:sectPr>
      </w:pPr>
    </w:p>
    <w:bookmarkStart w:id="107" w:name="page108"/>
    <w:bookmarkEnd w:id="107"/>
    <w:p>
      <w:pPr>
        <w:ind w:left="2260" w:hanging="955"/>
        <w:spacing w:after="0"/>
        <w:tabs>
          <w:tab w:leader="none" w:pos="22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2017 fiscal year with respect to which the Initial Hurdle is set by the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219" w:lineRule="exact"/>
        <w:rPr>
          <w:sz w:val="20"/>
          <w:szCs w:val="20"/>
          <w:color w:val="auto"/>
        </w:rPr>
      </w:pPr>
    </w:p>
    <w:p>
      <w:pPr>
        <w:ind w:firstLine="1305"/>
        <w:spacing w:after="0" w:line="300" w:lineRule="auto"/>
        <w:tabs>
          <w:tab w:leader="none" w:pos="2175"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xml:space="preserve"> means Section 409A of the U.S. Internal Revenue Code of 1986, as amended, and the Treasury Regulations thereunder.</w:t>
      </w:r>
    </w:p>
    <w:p>
      <w:pPr>
        <w:spacing w:after="0" w:line="154" w:lineRule="exact"/>
        <w:rPr>
          <w:rFonts w:ascii="Arial" w:cs="Arial" w:eastAsia="Arial" w:hAnsi="Arial"/>
          <w:sz w:val="20"/>
          <w:szCs w:val="20"/>
          <w:color w:val="auto"/>
        </w:rPr>
      </w:pPr>
    </w:p>
    <w:p>
      <w:pPr>
        <w:ind w:left="2180" w:hanging="875"/>
        <w:spacing w:after="0"/>
        <w:tabs>
          <w:tab w:leader="none" w:pos="21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w:t>
      </w:r>
    </w:p>
    <w:p>
      <w:pPr>
        <w:spacing w:after="0" w:line="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or any Subsidiary.</w:t>
      </w:r>
    </w:p>
    <w:p>
      <w:pPr>
        <w:spacing w:after="0" w:line="242" w:lineRule="exact"/>
        <w:rPr>
          <w:rFonts w:ascii="Arial" w:cs="Arial" w:eastAsia="Arial" w:hAnsi="Arial"/>
          <w:sz w:val="20"/>
          <w:szCs w:val="20"/>
          <w:color w:val="auto"/>
        </w:rPr>
      </w:pPr>
    </w:p>
    <w:p>
      <w:pPr>
        <w:ind w:left="1520" w:hanging="864"/>
        <w:spacing w:after="0"/>
        <w:tabs>
          <w:tab w:leader="none" w:pos="152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w:t>
      </w:r>
    </w:p>
    <w:p>
      <w:pPr>
        <w:spacing w:after="0" w:line="243" w:lineRule="exact"/>
        <w:rPr>
          <w:sz w:val="20"/>
          <w:szCs w:val="20"/>
          <w:color w:val="auto"/>
        </w:rPr>
      </w:pPr>
    </w:p>
    <w:p>
      <w:pPr>
        <w:jc w:val="both"/>
        <w:ind w:left="660" w:firstLine="645"/>
        <w:spacing w:after="0" w:line="268" w:lineRule="auto"/>
        <w:tabs>
          <w:tab w:leader="none" w:pos="2132" w:val="left"/>
        </w:tabs>
        <w:numPr>
          <w:ilvl w:val="1"/>
          <w:numId w:val="48"/>
        </w:numPr>
        <w:rPr>
          <w:rFonts w:ascii="Arial" w:cs="Arial" w:eastAsia="Arial" w:hAnsi="Arial"/>
          <w:sz w:val="20"/>
          <w:szCs w:val="20"/>
          <w:color w:val="auto"/>
        </w:rPr>
      </w:pPr>
      <w:r>
        <w:rPr>
          <w:rFonts w:ascii="Arial" w:cs="Arial" w:eastAsia="Arial" w:hAnsi="Arial"/>
          <w:sz w:val="20"/>
          <w:szCs w:val="20"/>
          <w:color w:val="auto"/>
        </w:rPr>
        <w:t>On the Initial Determination Date, the Company shall determine whether the Initial Hurdle has been achieved and, on the Determination Date, the Company shall determine the extent to which the Performance Goal has been achieved. Subject to the provisions of this Section 3, the delivery of Shares with respect to the PRSUs is contingent initially on the attainment of the Initial Hurdle during the Performance Period and secondly based on the achievement of the Performance Goal during the Measurement Period, in each case, pursuant to Schedule A. Except as otherwise set forth in this Section 3, all outstanding PRSUs will be immediately forfeited on the Initial Determination Date (and will no longer be considered outstanding PRSUs) unless the Company determines that the Initial Hurdle has been satisfied. If the Initial Hurdle has been satisfied, on the Determination Date, the Company shall determine the extent to which the Performance Goal has been achieved. Except as otherwise set forth in this Section 3 or as otherwise determined by the Committee, all outstanding PRSUs will be immediately forfeited on the Determination Date unless the Company determines that the Performance Goal has been satisfied. If the Iniital Hurdle has been satisfied, upon determination by the Company that the Performance Goal has been satisfied and subject to the provisions of the Plan and this Agreement, the Participant shall have the right to payment of that percentage of the target amount of PRSUs as corresponds to the level of the Performance Goal achieved. Furthermore, except as otherwise provided in this Section 3, in order to be entitled to payment with respect to any PRSUs, the Participant must be employed by the Company or any Subsidiary on the Determination Date. Except as otherwise provided in this Section 3, there shall be no proportionate or partial vesting of the PRSUs prior to the Determination Date.</w:t>
      </w:r>
    </w:p>
    <w:p>
      <w:pPr>
        <w:spacing w:after="0" w:line="212" w:lineRule="exact"/>
        <w:rPr>
          <w:rFonts w:ascii="Arial" w:cs="Arial" w:eastAsia="Arial" w:hAnsi="Arial"/>
          <w:sz w:val="20"/>
          <w:szCs w:val="20"/>
          <w:color w:val="auto"/>
        </w:rPr>
      </w:pPr>
    </w:p>
    <w:p>
      <w:pPr>
        <w:jc w:val="both"/>
        <w:ind w:left="660" w:firstLine="645"/>
        <w:spacing w:after="0" w:line="269" w:lineRule="auto"/>
        <w:tabs>
          <w:tab w:leader="none" w:pos="2176"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PRSUs are intended to qualify as “qualified performance-based compensation” under Section 162(m) of the Code. The Committee retains the sole and plenary discretion to make any adjustment permitted by Section 3.2 of the Plan in respect of the Initial Hurdle or any adjustment permitted by the Plan in respect of the Performane Goal, or to reduce or eliminate the number of PRSUs in accordance with the terms of the Plan for any reason deemed appropriate by the Committee, even if the Initial Hurdle and the Performance Goal have been attained and without regard to the Employment Arrangement or any other agreement between the Company and the Participant.</w:t>
      </w:r>
    </w:p>
    <w:p>
      <w:pPr>
        <w:spacing w:after="0" w:line="209" w:lineRule="exact"/>
        <w:rPr>
          <w:rFonts w:ascii="Arial" w:cs="Arial" w:eastAsia="Arial" w:hAnsi="Arial"/>
          <w:sz w:val="20"/>
          <w:szCs w:val="20"/>
          <w:color w:val="auto"/>
        </w:rPr>
      </w:pPr>
    </w:p>
    <w:p>
      <w:pPr>
        <w:jc w:val="both"/>
        <w:ind w:left="660" w:firstLine="645"/>
        <w:spacing w:after="0" w:line="271" w:lineRule="auto"/>
        <w:tabs>
          <w:tab w:leader="none" w:pos="222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 in the Employment Arrangement or any similar agreement between the Participant and the Company or any Subsidiary.</w:t>
      </w:r>
    </w:p>
    <w:p>
      <w:pPr>
        <w:spacing w:after="0" w:line="206" w:lineRule="exact"/>
        <w:rPr>
          <w:rFonts w:ascii="Arial" w:cs="Arial" w:eastAsia="Arial" w:hAnsi="Arial"/>
          <w:sz w:val="20"/>
          <w:szCs w:val="20"/>
          <w:color w:val="auto"/>
        </w:rPr>
      </w:pPr>
    </w:p>
    <w:p>
      <w:pPr>
        <w:ind w:right="20" w:firstLine="656"/>
        <w:spacing w:after="0" w:line="275" w:lineRule="auto"/>
        <w:tabs>
          <w:tab w:leader="none" w:pos="1538"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vesting of the PRSUs (or, if applicable, Acquirer RSUs (as defined below)) shall be accelerated if and to the extent provided in this Section 3(b):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5" w:right="239" w:bottom="1440" w:gutter="0" w:footer="0" w:header="0"/>
        </w:sectPr>
      </w:pPr>
    </w:p>
    <w:bookmarkStart w:id="108" w:name="page109"/>
    <w:bookmarkEnd w:id="108"/>
    <w:p>
      <w:pPr>
        <w:ind w:left="2120" w:hanging="815"/>
        <w:spacing w:after="0"/>
        <w:tabs>
          <w:tab w:leader="none" w:pos="2120" w:val="left"/>
        </w:tabs>
        <w:numPr>
          <w:ilvl w:val="0"/>
          <w:numId w:val="50"/>
        </w:numPr>
        <w:rPr>
          <w:rFonts w:ascii="Arial" w:cs="Arial" w:eastAsia="Arial" w:hAnsi="Arial"/>
          <w:sz w:val="20"/>
          <w:szCs w:val="20"/>
          <w:color w:val="auto"/>
        </w:rPr>
      </w:pPr>
      <w:r>
        <w:rPr>
          <w:rFonts w:ascii="Arial" w:cs="Arial" w:eastAsia="Arial" w:hAnsi="Arial"/>
          <w:sz w:val="20"/>
          <w:szCs w:val="20"/>
          <w:i w:val="1"/>
          <w:iCs w:val="1"/>
          <w:color w:val="auto"/>
        </w:rPr>
        <w:t>Change of Control.</w:t>
      </w:r>
    </w:p>
    <w:p>
      <w:pPr>
        <w:spacing w:after="0" w:line="263" w:lineRule="exact"/>
        <w:rPr>
          <w:sz w:val="20"/>
          <w:szCs w:val="20"/>
          <w:color w:val="auto"/>
        </w:rPr>
      </w:pPr>
    </w:p>
    <w:p>
      <w:pPr>
        <w:jc w:val="both"/>
        <w:ind w:left="660" w:firstLine="645"/>
        <w:spacing w:after="0" w:line="269" w:lineRule="auto"/>
        <w:tabs>
          <w:tab w:leader="none" w:pos="22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Except as otherwise determined by the Company as set forth in Section 3(b)(i)(B) hereof, in the event that a Change of Control occurs while the Participant is employed by the Company or any Subsidiary and the PRSUs are outstanding, the Participant shall immediately become fully vested and nonforfeitable upon the Change of Control in the outstanding PRSUs, with the number of Shares that will be delivered equal to the greater of target performance and actual performance of the Performance Goal as determined by the Committee in its reasonable discretion as of the most recent practicable date prior to the Change of Control.</w:t>
      </w:r>
    </w:p>
    <w:p>
      <w:pPr>
        <w:spacing w:after="0" w:line="209" w:lineRule="exact"/>
        <w:rPr>
          <w:rFonts w:ascii="Arial" w:cs="Arial" w:eastAsia="Arial" w:hAnsi="Arial"/>
          <w:sz w:val="20"/>
          <w:szCs w:val="20"/>
          <w:color w:val="auto"/>
        </w:rPr>
      </w:pPr>
    </w:p>
    <w:p>
      <w:pPr>
        <w:jc w:val="both"/>
        <w:ind w:left="660" w:firstLine="645"/>
        <w:spacing w:after="0" w:line="281" w:lineRule="auto"/>
        <w:tabs>
          <w:tab w:leader="none" w:pos="22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Notwithstanding Section 3(b)(i)(A) hereof, if in the event of a Change of Control the Company determines that the successor company shall assume or substitute the outstanding PRSUs as of the date of the Change of Control, then the vesting of the PRSUs that are assumed or substituted shall not be so accelerated as a result of such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PRSUs are so assumed or substituted, the PRSUs shall no longer be subject to the Initial Hurdle, in the event of a Change of Control that occurs prior to the Initial Determination Date, or the Performance Goal and, instead a number of PRSUs shall convert to service-based restricted stock units as of the Change of Control based on the greater of target performance and actual performance of the Performance Goal as determined by the Committee in its reasonable discretion as of the most recent practicable date prior to the Change of Control and, in the event the Change of Control occurs prior to the Initial Determination Date, assuming the Initial Hurdle has been satisfied.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 the successor company or its parent or subsidiary, the Company may provide that the consideration to be received upon the vesting of any PRSU will be solely common stock of the successor company or its parent or subsidiary substantially equal in fair market value to the per share consideration received by holders of Shares in the transaction constituting a Change of Control. The determinations of (1) whether the PRSUs shall be assumed or substituted in accordance with this Section 3(b)(i)(B) or shall accelerate vesting in accordance with Section 3(b)(i)(A) hereof and (2) in the event that this Section 3(b)(i)(B) is applicable, such substantial equality of value of consideration shall be made by the Committee in its sole discretion and its determinations shall be conclusive and binding. The award resulting from the assumption or substitution of the PRSUs by the successor company shall, except as otherwise provided in this Section 3(b), continue to vest after the Change of Control transaction based solely on the</w:t>
      </w:r>
    </w:p>
    <w:p>
      <w:pPr>
        <w:spacing w:after="0" w:line="19" w:lineRule="exact"/>
        <w:rPr>
          <w:rFonts w:ascii="Arial" w:cs="Arial" w:eastAsia="Arial" w:hAnsi="Arial"/>
          <w:sz w:val="19"/>
          <w:szCs w:val="19"/>
          <w:color w:val="auto"/>
        </w:rPr>
      </w:pPr>
    </w:p>
    <w:p>
      <w:pPr>
        <w:ind w:left="660"/>
        <w:spacing w:after="0" w:line="275" w:lineRule="auto"/>
        <w:rPr>
          <w:rFonts w:ascii="Arial" w:cs="Arial" w:eastAsia="Arial" w:hAnsi="Arial"/>
          <w:sz w:val="19"/>
          <w:szCs w:val="19"/>
          <w:color w:val="auto"/>
        </w:rPr>
      </w:pPr>
      <w:r>
        <w:rPr>
          <w:rFonts w:ascii="Arial" w:cs="Arial" w:eastAsia="Arial" w:hAnsi="Arial"/>
          <w:sz w:val="20"/>
          <w:szCs w:val="20"/>
          <w:color w:val="auto"/>
        </w:rPr>
        <w:t>Participant’s continued employment with the successor company and its affiliates through the Determination Date, and shall be referred to hereafter as the “</w:t>
      </w:r>
      <w:r>
        <w:rPr>
          <w:rFonts w:ascii="Arial" w:cs="Arial" w:eastAsia="Arial" w:hAnsi="Arial"/>
          <w:sz w:val="20"/>
          <w:szCs w:val="20"/>
          <w:b w:val="1"/>
          <w:bCs w:val="1"/>
          <w:i w:val="1"/>
          <w:iCs w:val="1"/>
          <w:color w:val="auto"/>
        </w:rPr>
        <w:t>Acquirer RSUs</w:t>
      </w:r>
      <w:r>
        <w:rPr>
          <w:rFonts w:ascii="Arial" w:cs="Arial" w:eastAsia="Arial" w:hAnsi="Arial"/>
          <w:sz w:val="20"/>
          <w:szCs w:val="20"/>
          <w:color w:val="auto"/>
        </w:rPr>
        <w:t>”.</w:t>
      </w:r>
    </w:p>
    <w:p>
      <w:pPr>
        <w:spacing w:after="0" w:line="182" w:lineRule="exact"/>
        <w:rPr>
          <w:sz w:val="20"/>
          <w:szCs w:val="20"/>
          <w:color w:val="auto"/>
        </w:rPr>
      </w:pPr>
    </w:p>
    <w:p>
      <w:pPr>
        <w:ind w:firstLine="1305"/>
        <w:spacing w:after="0" w:line="296" w:lineRule="auto"/>
        <w:tabs>
          <w:tab w:leader="none" w:pos="2164"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due to the Participant’s death or Disability (A) prior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29" w:right="23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20"/>
          <w:szCs w:val="20"/>
          <w:color w:val="auto"/>
        </w:rPr>
        <w:t>to a Change of Control and on or before the 18-month anniversary of the Grant Date, the Participant shall become immediately vested in any outstanding PRSUs assuming achievement of target performance and pro rated in accordance with Section 3(e) hereof, (B) prior to a Change of Control and following the 18-month anniversary of the Grant Date, the Participant shall become vested on the Determination Date in the number of outstanding PRSUs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due to the Participant’s death or Disability following the 18-month anniversary of the Grant Date in accordance with Section 3(b)(ii)(B), the number of PRSUs shall be determined by the Committee in accordance with Section 3(b)(i) hereof and the Participant shall immediately vest in a pro rated portion of such PRSUs determined in accordance with Section 3(e) hereof.</w:t>
      </w:r>
    </w:p>
    <w:p>
      <w:pPr>
        <w:spacing w:after="0" w:line="194" w:lineRule="exact"/>
        <w:rPr>
          <w:sz w:val="20"/>
          <w:szCs w:val="20"/>
          <w:color w:val="auto"/>
        </w:rPr>
      </w:pPr>
    </w:p>
    <w:p>
      <w:pPr>
        <w:ind w:left="2220" w:hanging="915"/>
        <w:spacing w:after="0"/>
        <w:tabs>
          <w:tab w:leader="none" w:pos="2220" w:val="left"/>
        </w:tabs>
        <w:numPr>
          <w:ilvl w:val="0"/>
          <w:numId w:val="53"/>
        </w:numPr>
        <w:rPr>
          <w:rFonts w:ascii="Arial" w:cs="Arial" w:eastAsia="Arial" w:hAnsi="Arial"/>
          <w:sz w:val="20"/>
          <w:szCs w:val="20"/>
          <w:color w:val="auto"/>
        </w:rPr>
      </w:pPr>
      <w:r>
        <w:rPr>
          <w:rFonts w:ascii="Arial" w:cs="Arial" w:eastAsia="Arial" w:hAnsi="Arial"/>
          <w:sz w:val="20"/>
          <w:szCs w:val="20"/>
          <w:i w:val="1"/>
          <w:iCs w:val="1"/>
          <w:color w:val="auto"/>
        </w:rPr>
        <w:t>Termination without Cause or for Good Reason</w:t>
      </w:r>
      <w:r>
        <w:rPr>
          <w:rFonts w:ascii="Arial" w:cs="Arial" w:eastAsia="Arial" w:hAnsi="Arial"/>
          <w:sz w:val="20"/>
          <w:szCs w:val="20"/>
          <w:color w:val="auto"/>
        </w:rPr>
        <w:t>.</w:t>
      </w:r>
    </w:p>
    <w:p>
      <w:pPr>
        <w:spacing w:after="0" w:line="263" w:lineRule="exact"/>
        <w:rPr>
          <w:sz w:val="20"/>
          <w:szCs w:val="20"/>
          <w:color w:val="auto"/>
        </w:rPr>
      </w:pPr>
    </w:p>
    <w:p>
      <w:pPr>
        <w:jc w:val="both"/>
        <w:ind w:left="660" w:firstLine="645"/>
        <w:spacing w:after="0" w:line="268" w:lineRule="auto"/>
        <w:tabs>
          <w:tab w:leader="none" w:pos="22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by the Company and its Subsidiaries without Cause or, if applicable, by the Participant for Good Reason (1) prior to the Determination Date and prior to a Change of Control, the Participant shall become vested on the Determination Date in the number of outstanding PRSUs determined by the Committee following the end of the Measurement Period based on the extent to which the Performance Goal has been achieved and, in the event such termination occurs prior to the Initial Determination Date, assuming the Initial Hurdle has been satisfied, and pro rated in accordance with Section 3(e) hereof, or (2) on or following a Change of Control, the Participant shall immediately vest upon the Termination Date in all outstanding Acquirer RSUs. Notwithstanding the foregoing sentence, in the event that a Change of Control occurs prior to the Determination Date but following the date that the Participant’s employment is terminated by the Company and its Subsidiaries without Cause or, if applicable, by the Participant for Good Reason pursuant to Section 3(c)(iii)(A)(1), the number of PRSUs shall be determined by the Committee in accordance with Section 3(b)(i) hereof, and the Participant shall immediately vest upon the Change of Control in a pro-rated portion of such PRSUs determined in accordance with Section 3(e) hereof.</w:t>
      </w:r>
    </w:p>
    <w:p>
      <w:pPr>
        <w:spacing w:after="0" w:line="213" w:lineRule="exact"/>
        <w:rPr>
          <w:rFonts w:ascii="Arial" w:cs="Arial" w:eastAsia="Arial" w:hAnsi="Arial"/>
          <w:sz w:val="20"/>
          <w:szCs w:val="20"/>
          <w:color w:val="auto"/>
        </w:rPr>
      </w:pPr>
    </w:p>
    <w:p>
      <w:pPr>
        <w:jc w:val="both"/>
        <w:ind w:left="660" w:firstLine="645"/>
        <w:spacing w:after="0" w:line="267" w:lineRule="auto"/>
        <w:tabs>
          <w:tab w:leader="none" w:pos="22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Notwithstanding the foregoing, the vesting set forth in Section 3(b)(iii)(A) hereof shall not occur and the PRSUs shall be forfeited if the Participant (1) engages in conduct prior to the Determination Date that constitutes a breach of the Participant’s covenants under the Employment Arrangement or under this Agreement with respect to unfair competition, non-competition, non-solicitation, non-disparagement or cooperation or (2) to the extent a release is</w:t>
      </w:r>
    </w:p>
    <w:p>
      <w:pPr>
        <w:spacing w:after="0" w:line="2" w:lineRule="exact"/>
        <w:rPr>
          <w:rFonts w:ascii="Arial" w:cs="Arial" w:eastAsia="Arial" w:hAnsi="Arial"/>
          <w:sz w:val="20"/>
          <w:szCs w:val="20"/>
          <w:color w:val="auto"/>
        </w:rPr>
      </w:pPr>
    </w:p>
    <w:p>
      <w:pPr>
        <w:jc w:val="both"/>
        <w:ind w:left="660"/>
        <w:spacing w:after="0" w:line="269" w:lineRule="auto"/>
        <w:rPr>
          <w:rFonts w:ascii="Arial" w:cs="Arial" w:eastAsia="Arial" w:hAnsi="Arial"/>
          <w:sz w:val="20"/>
          <w:szCs w:val="20"/>
          <w:color w:val="auto"/>
        </w:rPr>
      </w:pPr>
      <w:r>
        <w:rPr>
          <w:rFonts w:ascii="Arial" w:cs="Arial" w:eastAsia="Arial" w:hAnsi="Arial"/>
          <w:sz w:val="20"/>
          <w:szCs w:val="20"/>
          <w:color w:val="auto"/>
        </w:rPr>
        <w:t xml:space="preserve">contemplated by the Employment Arrangement, fails to execute a full general release of all claims in favor of the Company and its affiliates as contemplated by such Employment Arrangement. </w:t>
      </w:r>
      <w:r>
        <w:rPr>
          <w:rFonts w:ascii="Arial" w:cs="Arial" w:eastAsia="Arial" w:hAnsi="Arial"/>
          <w:sz w:val="20"/>
          <w:szCs w:val="20"/>
          <w:b w:val="1"/>
          <w:bCs w:val="1"/>
          <w:color w:val="auto"/>
        </w:rPr>
        <w:t>Nothing in this Section 3 or this Agreement shall</w:t>
      </w:r>
      <w:r>
        <w:rPr>
          <w:rFonts w:ascii="Arial" w:cs="Arial" w:eastAsia="Arial" w:hAnsi="Arial"/>
          <w:sz w:val="20"/>
          <w:szCs w:val="20"/>
          <w:color w:val="auto"/>
        </w:rPr>
        <w:t xml:space="preserve"> </w:t>
      </w:r>
      <w:r>
        <w:rPr>
          <w:rFonts w:ascii="Arial" w:cs="Arial" w:eastAsia="Arial" w:hAnsi="Arial"/>
          <w:sz w:val="20"/>
          <w:szCs w:val="20"/>
          <w:b w:val="1"/>
          <w:bCs w:val="1"/>
          <w:color w:val="auto"/>
        </w:rPr>
        <w:t>be deemed to limit or modify the non-competition, confidentiality or non-solicitation restrictions to which the Participant is already subject, which restrictions shall continue to be separately enforceable in accordance with their terms.</w:t>
      </w:r>
    </w:p>
    <w:p>
      <w:pPr>
        <w:spacing w:after="0" w:line="190" w:lineRule="exact"/>
        <w:rPr>
          <w:sz w:val="20"/>
          <w:szCs w:val="20"/>
          <w:color w:val="auto"/>
        </w:rPr>
      </w:pPr>
    </w:p>
    <w:p>
      <w:pPr>
        <w:jc w:val="both"/>
        <w:ind w:firstLine="1305"/>
        <w:spacing w:after="0" w:line="281" w:lineRule="auto"/>
        <w:tabs>
          <w:tab w:leader="none" w:pos="2175" w:val="left"/>
        </w:tabs>
        <w:numPr>
          <w:ilvl w:val="0"/>
          <w:numId w:val="55"/>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 and</w:t>
      </w:r>
      <w:r>
        <w:rPr>
          <w:rFonts w:ascii="Arial" w:cs="Arial" w:eastAsia="Arial" w:hAnsi="Arial"/>
          <w:sz w:val="20"/>
          <w:szCs w:val="20"/>
          <w:i w:val="1"/>
          <w:iCs w:val="1"/>
          <w:color w:val="auto"/>
        </w:rPr>
        <w:t xml:space="preserve"> </w:t>
      </w:r>
      <w:r>
        <w:rPr>
          <w:rFonts w:ascii="Arial" w:cs="Arial" w:eastAsia="Arial" w:hAnsi="Arial"/>
          <w:sz w:val="20"/>
          <w:szCs w:val="20"/>
          <w:color w:val="auto"/>
        </w:rPr>
        <w:t>its Subsidiaries is terminated prior to the Determination Date for any reason other than the Participant’s death or Disability, by the Company and its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9" w:right="239" w:bottom="1440" w:gutter="0" w:footer="0" w:header="0"/>
        </w:sectPr>
      </w:pPr>
    </w:p>
    <w:bookmarkStart w:id="110" w:name="page111"/>
    <w:bookmarkEnd w:id="110"/>
    <w:p>
      <w:pPr>
        <w:spacing w:after="0" w:line="275" w:lineRule="auto"/>
        <w:rPr>
          <w:sz w:val="20"/>
          <w:szCs w:val="20"/>
          <w:color w:val="auto"/>
        </w:rPr>
      </w:pPr>
      <w:r>
        <w:rPr>
          <w:rFonts w:ascii="Arial" w:cs="Arial" w:eastAsia="Arial" w:hAnsi="Arial"/>
          <w:sz w:val="20"/>
          <w:szCs w:val="20"/>
          <w:color w:val="auto"/>
        </w:rPr>
        <w:t>without Cause or, if applicable, by the Participant for Good Reason, the Participant shall immediately forfeit all the PRSUs (or, if applicable, Acquirer RSUs) on the Termination Date.</w:t>
      </w:r>
    </w:p>
    <w:p>
      <w:pPr>
        <w:spacing w:after="0" w:line="182" w:lineRule="exact"/>
        <w:rPr>
          <w:sz w:val="20"/>
          <w:szCs w:val="20"/>
          <w:color w:val="auto"/>
        </w:rPr>
      </w:pPr>
    </w:p>
    <w:p>
      <w:pPr>
        <w:jc w:val="both"/>
        <w:ind w:firstLine="1305"/>
        <w:spacing w:after="0" w:line="277" w:lineRule="auto"/>
        <w:tabs>
          <w:tab w:leader="none" w:pos="2187" w:val="left"/>
        </w:tabs>
        <w:numPr>
          <w:ilvl w:val="2"/>
          <w:numId w:val="56"/>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0" w:lineRule="exact"/>
        <w:rPr>
          <w:rFonts w:ascii="Arial" w:cs="Arial" w:eastAsia="Arial" w:hAnsi="Arial"/>
          <w:sz w:val="20"/>
          <w:szCs w:val="20"/>
          <w:color w:val="auto"/>
        </w:rPr>
      </w:pPr>
    </w:p>
    <w:p>
      <w:pPr>
        <w:jc w:val="both"/>
        <w:ind w:firstLine="1305"/>
        <w:spacing w:after="0" w:line="273" w:lineRule="auto"/>
        <w:tabs>
          <w:tab w:leader="none" w:pos="2187" w:val="left"/>
        </w:tabs>
        <w:numPr>
          <w:ilvl w:val="2"/>
          <w:numId w:val="56"/>
        </w:numPr>
        <w:rPr>
          <w:rFonts w:ascii="Arial" w:cs="Arial" w:eastAsia="Arial" w:hAnsi="Arial"/>
          <w:sz w:val="20"/>
          <w:szCs w:val="20"/>
          <w:color w:val="auto"/>
        </w:rPr>
      </w:pPr>
      <w:r>
        <w:rPr>
          <w:rFonts w:ascii="Arial" w:cs="Arial" w:eastAsia="Arial" w:hAnsi="Arial"/>
          <w:sz w:val="20"/>
          <w:szCs w:val="20"/>
          <w:i w:val="1"/>
          <w:iCs w:val="1"/>
          <w:color w:val="auto"/>
        </w:rPr>
        <w:t>Pro-Ration of PRSUs</w:t>
      </w:r>
      <w:r>
        <w:rPr>
          <w:rFonts w:ascii="Arial" w:cs="Arial" w:eastAsia="Arial" w:hAnsi="Arial"/>
          <w:sz w:val="20"/>
          <w:szCs w:val="20"/>
          <w:color w:val="auto"/>
        </w:rPr>
        <w:t>. For purposes of clauses (b)(ii) and (b)(iii), the pro-rated portion of PRSUs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calculated by multiplying the number of PRSUs determined by the Committee based on the extent to which the Performance Goal has been achieved by a fraction, the numerator of which shall be the number of days that have elapsed between the Grant Date and the Termination Date and the denominator of which shall be the total number of days between the Grant Date and the Determination Date, which for this purpose shall be deemed to be March 15, 2020, and the remaining portion of such PRSUs, if any, shall be forfeited.</w:t>
      </w:r>
    </w:p>
    <w:p>
      <w:pPr>
        <w:spacing w:after="0" w:line="206" w:lineRule="exact"/>
        <w:rPr>
          <w:rFonts w:ascii="Arial" w:cs="Arial" w:eastAsia="Arial" w:hAnsi="Arial"/>
          <w:sz w:val="20"/>
          <w:szCs w:val="20"/>
          <w:color w:val="auto"/>
        </w:rPr>
      </w:pPr>
    </w:p>
    <w:p>
      <w:pPr>
        <w:jc w:val="both"/>
        <w:ind w:firstLine="656"/>
        <w:spacing w:after="0" w:line="270" w:lineRule="auto"/>
        <w:tabs>
          <w:tab w:leader="none" w:pos="1462"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7" w:lineRule="exact"/>
        <w:rPr>
          <w:rFonts w:ascii="Arial" w:cs="Arial" w:eastAsia="Arial" w:hAnsi="Arial"/>
          <w:sz w:val="20"/>
          <w:szCs w:val="20"/>
          <w:color w:val="auto"/>
        </w:rPr>
      </w:pPr>
    </w:p>
    <w:p>
      <w:pPr>
        <w:ind w:left="1460" w:hanging="804"/>
        <w:spacing w:after="0"/>
        <w:tabs>
          <w:tab w:leader="none" w:pos="1460"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5"/>
        <w:spacing w:after="0" w:line="267" w:lineRule="auto"/>
        <w:tabs>
          <w:tab w:leader="none" w:pos="2187" w:val="left"/>
        </w:tabs>
        <w:numPr>
          <w:ilvl w:val="2"/>
          <w:numId w:val="57"/>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xml:space="preserve">. The Company shall deliver the Shares corresponding to the vested PRSUs (or, if applicable, Acquirer RSUs) to the Participant within 30 days following the Determination Date, but in no event later than March 15 of the calendar year immediately following the calendar year in which the Determination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2" w:lineRule="exact"/>
        <w:rPr>
          <w:rFonts w:ascii="Arial" w:cs="Arial" w:eastAsia="Arial" w:hAnsi="Arial"/>
          <w:sz w:val="20"/>
          <w:szCs w:val="20"/>
          <w:color w:val="auto"/>
        </w:rPr>
      </w:pPr>
    </w:p>
    <w:p>
      <w:pPr>
        <w:jc w:val="both"/>
        <w:ind w:firstLine="8"/>
        <w:spacing w:after="0" w:line="268" w:lineRule="auto"/>
        <w:tabs>
          <w:tab w:leader="none" w:pos="259"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event of a Change of Control pursuant to which the PRSUs accelerate vesting in accordance with Section 3(b)(i)(A) hereof, the Company shall deliver Shares corresponding to vested PRSUs to the Participant within 10 days following such Change of Control, (ii) in the event of the Participant’s termination of employment (A) due to death or Disability on or prior to the 18-month anniversary of the Grant Date or following a Change of Control or (B) by the Company without Cause or by the Participant for Good Reason, in either case, following a Change of Control, the Company shall deliver the Shares corresponding to the vested Acquirer RSUs to the Participant within 30 days following such Termination Date. Notwithstanding any provision in this Agreement to the contrary, the PRSUs (or,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214" w:lineRule="exact"/>
        <w:rPr>
          <w:rFonts w:ascii="Arial" w:cs="Arial" w:eastAsia="Arial" w:hAnsi="Arial"/>
          <w:sz w:val="20"/>
          <w:szCs w:val="20"/>
          <w:color w:val="auto"/>
        </w:rPr>
      </w:pPr>
    </w:p>
    <w:p>
      <w:pPr>
        <w:jc w:val="both"/>
        <w:ind w:firstLine="1305"/>
        <w:spacing w:after="0" w:line="268" w:lineRule="auto"/>
        <w:tabs>
          <w:tab w:leader="none" w:pos="2187" w:val="left"/>
        </w:tabs>
        <w:numPr>
          <w:ilvl w:val="2"/>
          <w:numId w:val="58"/>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 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49" w:right="239" w:bottom="1440" w:gutter="0" w:footer="0" w:header="0"/>
        </w:sectPr>
      </w:pPr>
    </w:p>
    <w:bookmarkStart w:id="111" w:name="page112"/>
    <w:bookmarkEnd w:id="111"/>
    <w:p>
      <w:pPr>
        <w:spacing w:after="0" w:line="275" w:lineRule="auto"/>
        <w:rPr>
          <w:sz w:val="20"/>
          <w:szCs w:val="20"/>
          <w:color w:val="auto"/>
        </w:rPr>
      </w:pPr>
      <w:r>
        <w:rPr>
          <w:rFonts w:ascii="Arial" w:cs="Arial" w:eastAsia="Arial" w:hAnsi="Arial"/>
          <w:sz w:val="20"/>
          <w:szCs w:val="20"/>
          <w:color w:val="auto"/>
        </w:rPr>
        <w:t>or executor (as applicable) to (A) comply with all the terms of this Agreement that are or would have been applicable to the Participant and (B) be bound by the acknowledgements made by the Participant in connection with this grant.</w:t>
      </w:r>
    </w:p>
    <w:p>
      <w:pPr>
        <w:spacing w:after="0" w:line="202" w:lineRule="exact"/>
        <w:rPr>
          <w:sz w:val="20"/>
          <w:szCs w:val="20"/>
          <w:color w:val="auto"/>
        </w:rPr>
      </w:pPr>
    </w:p>
    <w:p>
      <w:pPr>
        <w:jc w:val="both"/>
        <w:ind w:firstLine="1305"/>
        <w:spacing w:after="0" w:line="270" w:lineRule="auto"/>
        <w:tabs>
          <w:tab w:leader="none" w:pos="2175"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7" w:lineRule="exact"/>
        <w:rPr>
          <w:rFonts w:ascii="Arial" w:cs="Arial" w:eastAsia="Arial" w:hAnsi="Arial"/>
          <w:sz w:val="20"/>
          <w:szCs w:val="20"/>
          <w:color w:val="auto"/>
        </w:rPr>
      </w:pPr>
    </w:p>
    <w:p>
      <w:pPr>
        <w:ind w:left="1460" w:hanging="804"/>
        <w:spacing w:after="0"/>
        <w:tabs>
          <w:tab w:leader="none" w:pos="14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PRSUs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5"/>
        <w:spacing w:after="0" w:line="269" w:lineRule="auto"/>
        <w:tabs>
          <w:tab w:leader="none" w:pos="2187"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10" w:lineRule="exact"/>
        <w:rPr>
          <w:rFonts w:ascii="Arial" w:cs="Arial" w:eastAsia="Arial" w:hAnsi="Arial"/>
          <w:sz w:val="20"/>
          <w:szCs w:val="20"/>
          <w:color w:val="auto"/>
        </w:rPr>
      </w:pPr>
    </w:p>
    <w:p>
      <w:pPr>
        <w:ind w:left="2200" w:hanging="895"/>
        <w:spacing w:after="0"/>
        <w:tabs>
          <w:tab w:leader="none" w:pos="2200"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43" w:lineRule="exact"/>
        <w:rPr>
          <w:sz w:val="20"/>
          <w:szCs w:val="20"/>
          <w:color w:val="auto"/>
        </w:rPr>
      </w:pPr>
    </w:p>
    <w:p>
      <w:pPr>
        <w:jc w:val="both"/>
        <w:ind w:left="660" w:firstLine="645"/>
        <w:spacing w:after="0" w:line="268" w:lineRule="auto"/>
        <w:tabs>
          <w:tab w:leader="none" w:pos="2132"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 with respect to its Shares, the Company shall credit to a bookkeeping account (the “</w:t>
      </w:r>
      <w:r>
        <w:rPr>
          <w:rFonts w:ascii="Arial" w:cs="Arial" w:eastAsia="Arial" w:hAnsi="Arial"/>
          <w:sz w:val="20"/>
          <w:szCs w:val="20"/>
          <w:b w:val="1"/>
          <w:bCs w:val="1"/>
          <w:i w:val="1"/>
          <w:iCs w:val="1"/>
          <w:color w:val="auto"/>
        </w:rPr>
        <w:t>Cash Account</w:t>
      </w:r>
      <w:r>
        <w:rPr>
          <w:rFonts w:ascii="Arial" w:cs="Arial" w:eastAsia="Arial" w:hAnsi="Arial"/>
          <w:sz w:val="20"/>
          <w:szCs w:val="20"/>
          <w:color w:val="auto"/>
        </w:rPr>
        <w:t>”) for the Participant an amount equal to the cash dividend that would have been payable with respect to the Shares corresponding to the PRSUs (or, if applicable, shares corresponding to Acquirer RSUs). Upon the vesting of any PRSUs hereunder (or, if applicable, Acquirer RSUs), the Participant shall vest in and have the right to receive that portion of the Cash Account which relates to any such vested PRSUs (or, if applicable, Acquirer RSUs). The value of the Participant’s Cash Account shall vest and be distributable to the Participant at the same time as the Shares corresponding to the vested PRSUs (or, if applicable, the consideration corresponding to Acquirer RSUs) are distributed to the Participant. For the avoidance of doubt, if, on the Determination Date, the Company determines that the Performance Goal has not been achieved and the PRSUs are forfeited pursuant to Section 3(a)(i) hereof, the Participant’s Cash Account will be immediately forfeited, along with the PRSUs, on the Determination Date.</w:t>
      </w:r>
    </w:p>
    <w:p>
      <w:pPr>
        <w:spacing w:after="0" w:line="213" w:lineRule="exact"/>
        <w:rPr>
          <w:rFonts w:ascii="Arial" w:cs="Arial" w:eastAsia="Arial" w:hAnsi="Arial"/>
          <w:sz w:val="20"/>
          <w:szCs w:val="20"/>
          <w:color w:val="auto"/>
        </w:rPr>
      </w:pPr>
    </w:p>
    <w:p>
      <w:pPr>
        <w:jc w:val="both"/>
        <w:ind w:left="660" w:firstLine="645"/>
        <w:spacing w:after="0" w:line="269" w:lineRule="auto"/>
        <w:tabs>
          <w:tab w:leader="none" w:pos="2176"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PRSUs shall be increased by the stock dividend that would have been payable with respect to the Shares that correspond to the PRSUs, and shall be subject to the same vesting requirements as the PRSUs to which they relate and, to the extent earned and vested, shall be distributed at the same time as the Shares corresponding to the vested PRSUs are distributed.</w:t>
      </w:r>
    </w:p>
    <w:p>
      <w:pPr>
        <w:spacing w:after="0" w:line="210" w:lineRule="exact"/>
        <w:rPr>
          <w:rFonts w:ascii="Arial" w:cs="Arial" w:eastAsia="Arial" w:hAnsi="Arial"/>
          <w:sz w:val="20"/>
          <w:szCs w:val="20"/>
          <w:color w:val="auto"/>
        </w:rPr>
      </w:pPr>
    </w:p>
    <w:p>
      <w:pPr>
        <w:ind w:firstLine="656"/>
        <w:spacing w:after="0" w:line="275" w:lineRule="auto"/>
        <w:tabs>
          <w:tab w:leader="none" w:pos="146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PRSUs or Acquirer RSUs or any rights with respect to the Cash Account.</w:t>
      </w:r>
    </w:p>
    <w:p>
      <w:pPr>
        <w:spacing w:after="0" w:line="202" w:lineRule="exact"/>
        <w:rPr>
          <w:rFonts w:ascii="Arial" w:cs="Arial" w:eastAsia="Arial" w:hAnsi="Arial"/>
          <w:sz w:val="20"/>
          <w:szCs w:val="20"/>
          <w:color w:val="auto"/>
        </w:rPr>
      </w:pPr>
    </w:p>
    <w:p>
      <w:pPr>
        <w:jc w:val="both"/>
        <w:ind w:firstLine="656"/>
        <w:spacing w:after="0" w:line="270" w:lineRule="auto"/>
        <w:tabs>
          <w:tab w:leader="none" w:pos="146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PRSUs into Shares,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49" w:right="239" w:bottom="1440" w:gutter="0" w:footer="0" w:header="0"/>
        </w:sectPr>
      </w:pPr>
    </w:p>
    <w:bookmarkStart w:id="112" w:name="page113"/>
    <w:bookmarkEnd w:id="112"/>
    <w:p>
      <w:pPr>
        <w:spacing w:after="0" w:line="275" w:lineRule="auto"/>
        <w:rPr>
          <w:sz w:val="20"/>
          <w:szCs w:val="20"/>
          <w:color w:val="auto"/>
        </w:rPr>
      </w:pPr>
      <w:r>
        <w:rPr>
          <w:rFonts w:ascii="Arial" w:cs="Arial" w:eastAsia="Arial" w:hAnsi="Arial"/>
          <w:sz w:val="20"/>
          <w:szCs w:val="20"/>
          <w:color w:val="auto"/>
        </w:rPr>
        <w:t>Participant shall execute and deliver to the Company such representations in writing as may be requested by the Company in order for it to comply with the applicable requirements of federal and state securities law.</w:t>
      </w:r>
    </w:p>
    <w:p>
      <w:pPr>
        <w:spacing w:after="0" w:line="202" w:lineRule="exact"/>
        <w:rPr>
          <w:sz w:val="20"/>
          <w:szCs w:val="20"/>
          <w:color w:val="auto"/>
        </w:rPr>
      </w:pPr>
    </w:p>
    <w:p>
      <w:pPr>
        <w:ind w:left="1460" w:hanging="804"/>
        <w:spacing w:after="0"/>
        <w:tabs>
          <w:tab w:leader="none" w:pos="146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5"/>
        <w:spacing w:after="0" w:line="269" w:lineRule="auto"/>
        <w:tabs>
          <w:tab w:leader="none" w:pos="218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09" w:lineRule="exact"/>
        <w:rPr>
          <w:rFonts w:ascii="Arial" w:cs="Arial" w:eastAsia="Arial" w:hAnsi="Arial"/>
          <w:sz w:val="20"/>
          <w:szCs w:val="20"/>
          <w:color w:val="auto"/>
        </w:rPr>
      </w:pPr>
    </w:p>
    <w:p>
      <w:pPr>
        <w:jc w:val="both"/>
        <w:ind w:firstLine="1305"/>
        <w:spacing w:after="0" w:line="268" w:lineRule="auto"/>
        <w:tabs>
          <w:tab w:leader="none" w:pos="218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xml:space="preserve">. The Company or Participant may, at its, his or her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elects to satisfy his or her obligations by surrendering a portion of such Shares, such election shall be binding on the Company.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PRSUs (or, if applicable, consideration underlying Acquirer RSUs) in the open market or (3) withholding and canceling all or a portion of the Shares corresponding to the vested PRSUs (or, if applicable, consideration corresponding to Acquirer RSUs). Any acquisition of Shares corresponding to PRSUs (or, if applicable, consideration corresponding to Acquirer RSUs) by the Company as contemplated hereby is expressly approved by the Committee as part of the approval of this Agreement.</w:t>
      </w:r>
    </w:p>
    <w:p>
      <w:pPr>
        <w:spacing w:after="0" w:line="213" w:lineRule="exact"/>
        <w:rPr>
          <w:rFonts w:ascii="Arial" w:cs="Arial" w:eastAsia="Arial" w:hAnsi="Arial"/>
          <w:sz w:val="20"/>
          <w:szCs w:val="20"/>
          <w:color w:val="auto"/>
        </w:rPr>
      </w:pPr>
    </w:p>
    <w:p>
      <w:pPr>
        <w:jc w:val="both"/>
        <w:ind w:firstLine="1305"/>
        <w:spacing w:after="0" w:line="269" w:lineRule="auto"/>
        <w:tabs>
          <w:tab w:leader="none" w:pos="2175"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 date on which the Shares corresponding to the vested PRSUs (or, if applicable, consideration corresponding to Acquirer RSUs) or vested Cash Account otherwise would be delivered pursuant to Sections 5 and 6(b) hereof, as applicable, the Participant shall immediately forfeit any rights with respect to the portion of the PRSUs (or, if applicable, Acquirer RSUs) or vested Cash Account to which such failure relates.</w:t>
      </w:r>
    </w:p>
    <w:p>
      <w:pPr>
        <w:spacing w:after="0" w:line="207"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49" w:right="239" w:bottom="1440" w:gutter="0" w:footer="0" w:header="0"/>
        </w:sectPr>
      </w:pPr>
    </w:p>
    <w:bookmarkStart w:id="113" w:name="page114"/>
    <w:bookmarkEnd w:id="113"/>
    <w:p>
      <w:pPr>
        <w:spacing w:after="0" w:line="275" w:lineRule="auto"/>
        <w:rPr>
          <w:sz w:val="20"/>
          <w:szCs w:val="20"/>
          <w:color w:val="auto"/>
        </w:rPr>
      </w:pPr>
      <w:r>
        <w:rPr>
          <w:rFonts w:ascii="Arial" w:cs="Arial" w:eastAsia="Arial" w:hAnsi="Arial"/>
          <w:sz w:val="20"/>
          <w:szCs w:val="20"/>
          <w:color w:val="auto"/>
        </w:rPr>
        <w:t>Notwithstanding the foregoing, such policy shall not apply following a Change of Control to any Shares acquired by the Participant hereunder.</w:t>
      </w:r>
    </w:p>
    <w:p>
      <w:pPr>
        <w:spacing w:after="0" w:line="202" w:lineRule="exact"/>
        <w:rPr>
          <w:sz w:val="20"/>
          <w:szCs w:val="20"/>
          <w:color w:val="auto"/>
        </w:rPr>
      </w:pPr>
    </w:p>
    <w:p>
      <w:pPr>
        <w:jc w:val="both"/>
        <w:ind w:firstLine="656"/>
        <w:spacing w:after="0" w:line="270"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207"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Arrangement, the Participant’s employment with the Company and any Subsidiary is on an at-will basis only. Accordingly, subject to the terms of such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07"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656"/>
        <w:spacing w:after="0" w:line="275"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2" w:lineRule="exact"/>
        <w:rPr>
          <w:rFonts w:ascii="Arial" w:cs="Arial" w:eastAsia="Arial" w:hAnsi="Arial"/>
          <w:sz w:val="20"/>
          <w:szCs w:val="20"/>
          <w:color w:val="auto"/>
        </w:rPr>
      </w:pPr>
    </w:p>
    <w:p>
      <w:pPr>
        <w:jc w:val="both"/>
        <w:ind w:right="20" w:firstLine="656"/>
        <w:spacing w:after="0" w:line="302" w:lineRule="auto"/>
        <w:tabs>
          <w:tab w:leader="none" w:pos="157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9" w:lineRule="exact"/>
        <w:rPr>
          <w:rFonts w:ascii="Arial" w:cs="Arial" w:eastAsia="Arial" w:hAnsi="Arial"/>
          <w:sz w:val="19"/>
          <w:szCs w:val="19"/>
          <w:color w:val="auto"/>
        </w:rPr>
      </w:pPr>
    </w:p>
    <w:p>
      <w:pPr>
        <w:jc w:val="both"/>
        <w:ind w:firstLine="656"/>
        <w:spacing w:after="0" w:line="268"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4"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49" w:right="239" w:bottom="1440" w:gutter="0" w:footer="0" w:header="0"/>
        </w:sectPr>
      </w:pPr>
    </w:p>
    <w:bookmarkStart w:id="114" w:name="page115"/>
    <w:bookmarkEnd w:id="114"/>
    <w:p>
      <w:pPr>
        <w:ind w:right="20" w:firstLine="656"/>
        <w:spacing w:after="0" w:line="275" w:lineRule="auto"/>
        <w:tabs>
          <w:tab w:leader="none" w:pos="157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656"/>
        <w:spacing w:after="0" w:line="268" w:lineRule="auto"/>
        <w:tabs>
          <w:tab w:leader="none" w:pos="157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214" w:lineRule="exact"/>
        <w:rPr>
          <w:rFonts w:ascii="Arial" w:cs="Arial" w:eastAsia="Arial" w:hAnsi="Arial"/>
          <w:sz w:val="20"/>
          <w:szCs w:val="20"/>
          <w:color w:val="auto"/>
        </w:rPr>
      </w:pPr>
    </w:p>
    <w:p>
      <w:pPr>
        <w:ind w:left="1580" w:hanging="924"/>
        <w:spacing w:after="0"/>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1305"/>
        <w:spacing w:after="0" w:line="268" w:lineRule="auto"/>
        <w:tabs>
          <w:tab w:leader="none" w:pos="2187" w:val="left"/>
        </w:tabs>
        <w:numPr>
          <w:ilvl w:val="1"/>
          <w:numId w:val="65"/>
        </w:numPr>
        <w:rPr>
          <w:rFonts w:ascii="Arial" w:cs="Arial" w:eastAsia="Arial" w:hAnsi="Arial"/>
          <w:sz w:val="20"/>
          <w:szCs w:val="20"/>
          <w:color w:val="auto"/>
        </w:rPr>
      </w:pPr>
      <w:r>
        <w:rPr>
          <w:rFonts w:ascii="Arial" w:cs="Arial" w:eastAsia="Arial" w:hAnsi="Arial"/>
          <w:sz w:val="20"/>
          <w:szCs w:val="20"/>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14" w:lineRule="exact"/>
        <w:rPr>
          <w:rFonts w:ascii="Arial" w:cs="Arial" w:eastAsia="Arial" w:hAnsi="Arial"/>
          <w:sz w:val="20"/>
          <w:szCs w:val="20"/>
          <w:color w:val="auto"/>
        </w:rPr>
      </w:pPr>
    </w:p>
    <w:p>
      <w:pPr>
        <w:ind w:left="2200" w:hanging="895"/>
        <w:spacing w:after="0"/>
        <w:tabs>
          <w:tab w:leader="none" w:pos="2200" w:val="left"/>
        </w:tabs>
        <w:numPr>
          <w:ilvl w:val="1"/>
          <w:numId w:val="65"/>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43" w:lineRule="exact"/>
        <w:rPr>
          <w:sz w:val="20"/>
          <w:szCs w:val="20"/>
          <w:color w:val="auto"/>
        </w:rPr>
      </w:pPr>
    </w:p>
    <w:p>
      <w:pPr>
        <w:jc w:val="both"/>
        <w:ind w:left="660" w:firstLine="645"/>
        <w:spacing w:after="0" w:line="269" w:lineRule="auto"/>
        <w:tabs>
          <w:tab w:leader="none" w:pos="2132" w:val="left"/>
        </w:tabs>
        <w:numPr>
          <w:ilvl w:val="0"/>
          <w:numId w:val="66"/>
        </w:numPr>
        <w:rPr>
          <w:rFonts w:ascii="Arial" w:cs="Arial" w:eastAsia="Arial" w:hAnsi="Arial"/>
          <w:sz w:val="20"/>
          <w:szCs w:val="20"/>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9" w:lineRule="exact"/>
        <w:rPr>
          <w:rFonts w:ascii="Arial" w:cs="Arial" w:eastAsia="Arial" w:hAnsi="Arial"/>
          <w:sz w:val="20"/>
          <w:szCs w:val="20"/>
          <w:color w:val="auto"/>
        </w:rPr>
      </w:pPr>
    </w:p>
    <w:p>
      <w:pPr>
        <w:jc w:val="both"/>
        <w:ind w:left="660" w:firstLine="645"/>
        <w:spacing w:after="0" w:line="271" w:lineRule="auto"/>
        <w:tabs>
          <w:tab w:leader="none" w:pos="2176"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49" w:right="239" w:bottom="1440" w:gutter="0" w:footer="0" w:header="0"/>
        </w:sectPr>
      </w:pPr>
    </w:p>
    <w:bookmarkStart w:id="115" w:name="page116"/>
    <w:bookmarkEnd w:id="115"/>
    <w:p>
      <w:pPr>
        <w:jc w:val="both"/>
        <w:ind w:left="660" w:right="20" w:firstLine="645"/>
        <w:spacing w:after="0" w:line="271" w:lineRule="auto"/>
        <w:tabs>
          <w:tab w:leader="none" w:pos="22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20" w:lineRule="exact"/>
        <w:rPr>
          <w:sz w:val="20"/>
          <w:szCs w:val="20"/>
          <w:color w:val="auto"/>
        </w:rPr>
      </w:pPr>
    </w:p>
    <w:p>
      <w:pPr>
        <w:jc w:val="both"/>
        <w:ind w:firstLine="1305"/>
        <w:spacing w:after="0" w:line="269" w:lineRule="auto"/>
        <w:tabs>
          <w:tab w:leader="none" w:pos="2175" w:val="left"/>
        </w:tabs>
        <w:numPr>
          <w:ilvl w:val="1"/>
          <w:numId w:val="68"/>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07" w:lineRule="exact"/>
        <w:rPr>
          <w:rFonts w:ascii="Arial" w:cs="Arial" w:eastAsia="Arial" w:hAnsi="Arial"/>
          <w:sz w:val="20"/>
          <w:szCs w:val="20"/>
          <w:color w:val="auto"/>
        </w:rPr>
      </w:pPr>
    </w:p>
    <w:p>
      <w:pPr>
        <w:jc w:val="both"/>
        <w:ind w:firstLine="656"/>
        <w:spacing w:after="0" w:line="270" w:lineRule="auto"/>
        <w:tabs>
          <w:tab w:leader="none" w:pos="157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 as of the Grant Date.</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WORLD FUEL SERVICES CORPORATION</w:t>
      </w:r>
    </w:p>
    <w:p>
      <w:pPr>
        <w:spacing w:after="0" w:line="36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-22860</wp:posOffset>
            </wp:positionV>
            <wp:extent cx="977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____________________</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52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40"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Signature:</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____________________________</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49"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Initial Hurdle and Performance Goal</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World Fuel Services Corporation’s (“WFS”) consolidated gross profit for the 2017 fiscal year must be equal to or greater than 75% of WFS’s consolidated gross profit for the 2016 fiscal year (the “</w:t>
      </w:r>
      <w:r>
        <w:rPr>
          <w:rFonts w:ascii="Arial" w:cs="Arial" w:eastAsia="Arial" w:hAnsi="Arial"/>
          <w:sz w:val="20"/>
          <w:szCs w:val="20"/>
          <w:b w:val="1"/>
          <w:bCs w:val="1"/>
          <w:i w:val="1"/>
          <w:iCs w:val="1"/>
          <w:color w:val="auto"/>
        </w:rPr>
        <w:t>Initial Hurdle</w:t>
      </w:r>
      <w:r>
        <w:rPr>
          <w:rFonts w:ascii="Arial" w:cs="Arial" w:eastAsia="Arial" w:hAnsi="Arial"/>
          <w:sz w:val="20"/>
          <w:szCs w:val="20"/>
          <w:color w:val="auto"/>
        </w:rPr>
        <w:t>”).</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Once the Initial Hurdle is satisfied, and subject to the terms and conditions set forth in this Agreement (of which this Schedule constitutes a part), the Participant will be eligible to earn a number of Shares that is between 0% and 200% of the target number of PRSUs set forth in Section 1 of this Agreement, such number of earned PRSUs shall be determined as set forth in this Schedule (the “</w:t>
      </w:r>
      <w:r>
        <w:rPr>
          <w:rFonts w:ascii="Arial" w:cs="Arial" w:eastAsia="Arial" w:hAnsi="Arial"/>
          <w:sz w:val="20"/>
          <w:szCs w:val="20"/>
          <w:b w:val="1"/>
          <w:bCs w:val="1"/>
          <w:i w:val="1"/>
          <w:iCs w:val="1"/>
          <w:color w:val="auto"/>
        </w:rPr>
        <w:t>Earned PRSUs</w:t>
      </w:r>
      <w:r>
        <w:rPr>
          <w:rFonts w:ascii="Arial" w:cs="Arial" w:eastAsia="Arial" w:hAnsi="Arial"/>
          <w:sz w:val="20"/>
          <w:szCs w:val="20"/>
          <w:color w:val="auto"/>
        </w:rPr>
        <w:t>”) based on the achievement of the Performance Goal during the Measurement Period.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Measurement Period is the three-year period that begins on January 1, 2017 and ends on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Earned PRSUs will be based on the following Performance Goal:</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CAGR in EPS</w:t>
      </w:r>
      <w:r>
        <w:rPr>
          <w:rFonts w:ascii="Arial" w:cs="Arial" w:eastAsia="Arial" w:hAnsi="Arial"/>
          <w:sz w:val="20"/>
          <w:szCs w:val="20"/>
          <w:color w:val="auto"/>
        </w:rPr>
        <w:t>” means the compound average annual rate of growth in cumulative EPS.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EPS</w:t>
      </w:r>
      <w:r>
        <w:rPr>
          <w:rFonts w:ascii="Arial" w:cs="Arial" w:eastAsia="Arial" w:hAnsi="Arial"/>
          <w:sz w:val="20"/>
          <w:szCs w:val="20"/>
          <w:color w:val="auto"/>
        </w:rPr>
        <w:t>” means earnings per share calculated in accordance with generally accepted accounting principles with such adjustments as may be determined by the Committee.</w:t>
      </w:r>
    </w:p>
    <w:p>
      <w:pPr>
        <w:spacing w:after="0" w:line="19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Achievement of the Performance Goal is measured based on cumulative EPS at the end of the three-year Measurement Period at the levels set forth in the table below.</w:t>
      </w:r>
    </w:p>
    <w:p>
      <w:pPr>
        <w:spacing w:after="0" w:line="191"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366092"/>
        </w:rPr>
        <w:t>CAGR in EPS for the Measurement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42"/>
        </w:trPr>
        <w:tc>
          <w:tcPr>
            <w:tcW w:w="1580" w:type="dxa"/>
            <w:vAlign w:val="bottom"/>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Less than 3%</w:t>
            </w:r>
          </w:p>
        </w:tc>
        <w:tc>
          <w:tcPr>
            <w:tcW w:w="1700" w:type="dxa"/>
            <w:vAlign w:val="bottom"/>
            <w:tcBorders>
              <w:bottom w:val="single" w:sz="8" w:color="auto"/>
            </w:tcBorders>
          </w:tcPr>
          <w:p>
            <w:pPr>
              <w:jc w:val="center"/>
              <w:ind w:left="1"/>
              <w:spacing w:after="0"/>
              <w:rPr>
                <w:sz w:val="20"/>
                <w:szCs w:val="20"/>
                <w:color w:val="auto"/>
              </w:rPr>
            </w:pPr>
            <w:r>
              <w:rPr>
                <w:rFonts w:ascii="Arial" w:cs="Arial" w:eastAsia="Arial" w:hAnsi="Arial"/>
                <w:sz w:val="20"/>
                <w:szCs w:val="20"/>
                <w:color w:val="auto"/>
                <w:w w:val="96"/>
              </w:rPr>
              <w:t>3%</w:t>
            </w:r>
          </w:p>
        </w:tc>
        <w:tc>
          <w:tcPr>
            <w:tcW w:w="2220" w:type="dxa"/>
            <w:vAlign w:val="bottom"/>
            <w:tcBorders>
              <w:bottom w:val="single" w:sz="8" w:color="auto"/>
            </w:tcBorders>
          </w:tcPr>
          <w:p>
            <w:pPr>
              <w:jc w:val="right"/>
              <w:ind w:right="781"/>
              <w:spacing w:after="0"/>
              <w:rPr>
                <w:sz w:val="20"/>
                <w:szCs w:val="20"/>
                <w:color w:val="auto"/>
              </w:rPr>
            </w:pPr>
            <w:r>
              <w:rPr>
                <w:rFonts w:ascii="Arial" w:cs="Arial" w:eastAsia="Arial" w:hAnsi="Arial"/>
                <w:sz w:val="20"/>
                <w:szCs w:val="20"/>
                <w:color w:val="auto"/>
              </w:rPr>
              <w:t>5%</w:t>
            </w:r>
          </w:p>
        </w:tc>
        <w:tc>
          <w:tcPr>
            <w:tcW w:w="218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color w:val="auto"/>
              </w:rPr>
              <w:t>7%</w:t>
            </w:r>
          </w:p>
        </w:tc>
        <w:tc>
          <w:tcPr>
            <w:tcW w:w="170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99"/>
              </w:rPr>
              <w:t>10% or more</w:t>
            </w:r>
          </w:p>
        </w:tc>
      </w:tr>
      <w:tr>
        <w:trPr>
          <w:trHeight w:val="238"/>
        </w:trPr>
        <w:tc>
          <w:tcPr>
            <w:tcW w:w="15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0% of target</w:t>
            </w:r>
          </w:p>
        </w:tc>
        <w:tc>
          <w:tcPr>
            <w:tcW w:w="1700" w:type="dxa"/>
            <w:vAlign w:val="bottom"/>
          </w:tcPr>
          <w:p>
            <w:pPr>
              <w:jc w:val="center"/>
              <w:ind w:left="21"/>
              <w:spacing w:after="0"/>
              <w:rPr>
                <w:sz w:val="20"/>
                <w:szCs w:val="20"/>
                <w:color w:val="auto"/>
              </w:rPr>
            </w:pPr>
            <w:r>
              <w:rPr>
                <w:rFonts w:ascii="Arial" w:cs="Arial" w:eastAsia="Arial" w:hAnsi="Arial"/>
                <w:sz w:val="20"/>
                <w:szCs w:val="20"/>
                <w:color w:val="auto"/>
                <w:w w:val="99"/>
              </w:rPr>
              <w:t>50% of target</w:t>
            </w:r>
          </w:p>
        </w:tc>
        <w:tc>
          <w:tcPr>
            <w:tcW w:w="2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00" w:type="dxa"/>
            <w:vAlign w:val="bottom"/>
          </w:tcPr>
          <w:p>
            <w:pPr>
              <w:jc w:val="center"/>
              <w:ind w:right="21"/>
              <w:spacing w:after="0"/>
              <w:rPr>
                <w:sz w:val="20"/>
                <w:szCs w:val="20"/>
                <w:color w:val="auto"/>
              </w:rPr>
            </w:pPr>
            <w:r>
              <w:rPr>
                <w:rFonts w:ascii="Arial" w:cs="Arial" w:eastAsia="Arial" w:hAnsi="Arial"/>
                <w:sz w:val="20"/>
                <w:szCs w:val="20"/>
                <w:color w:val="auto"/>
                <w:w w:val="99"/>
              </w:rPr>
              <w:t>200% of target</w:t>
            </w:r>
          </w:p>
        </w:tc>
      </w:tr>
      <w:tr>
        <w:trPr>
          <w:trHeight w:val="237"/>
        </w:trPr>
        <w:tc>
          <w:tcPr>
            <w:tcW w:w="1580" w:type="dxa"/>
            <w:vAlign w:val="bottom"/>
          </w:tcPr>
          <w:p>
            <w:pPr>
              <w:spacing w:after="0"/>
              <w:rPr>
                <w:sz w:val="20"/>
                <w:szCs w:val="20"/>
                <w:color w:val="auto"/>
              </w:rPr>
            </w:pPr>
            <w:r>
              <w:rPr>
                <w:rFonts w:ascii="Arial" w:cs="Arial" w:eastAsia="Arial" w:hAnsi="Arial"/>
                <w:sz w:val="20"/>
                <w:szCs w:val="20"/>
                <w:color w:val="auto"/>
              </w:rPr>
              <w:t>Earned PRSUs</w:t>
            </w:r>
          </w:p>
        </w:tc>
        <w:tc>
          <w:tcPr>
            <w:tcW w:w="1780" w:type="dxa"/>
            <w:vAlign w:val="bottom"/>
          </w:tcPr>
          <w:p>
            <w:pPr>
              <w:jc w:val="center"/>
              <w:spacing w:after="0"/>
              <w:rPr>
                <w:sz w:val="20"/>
                <w:szCs w:val="20"/>
                <w:color w:val="auto"/>
              </w:rPr>
            </w:pPr>
            <w:r>
              <w:rPr>
                <w:rFonts w:ascii="Arial" w:cs="Arial" w:eastAsia="Arial" w:hAnsi="Arial"/>
                <w:sz w:val="20"/>
                <w:szCs w:val="20"/>
                <w:color w:val="auto"/>
                <w:w w:val="97"/>
              </w:rPr>
              <w:t>PRSUs</w:t>
            </w:r>
          </w:p>
        </w:tc>
        <w:tc>
          <w:tcPr>
            <w:tcW w:w="1700" w:type="dxa"/>
            <w:vAlign w:val="bottom"/>
          </w:tcPr>
          <w:p>
            <w:pPr>
              <w:jc w:val="center"/>
              <w:ind w:left="21"/>
              <w:spacing w:after="0"/>
              <w:rPr>
                <w:sz w:val="20"/>
                <w:szCs w:val="20"/>
                <w:color w:val="auto"/>
              </w:rPr>
            </w:pPr>
            <w:r>
              <w:rPr>
                <w:rFonts w:ascii="Arial" w:cs="Arial" w:eastAsia="Arial" w:hAnsi="Arial"/>
                <w:sz w:val="20"/>
                <w:szCs w:val="20"/>
                <w:color w:val="auto"/>
              </w:rPr>
              <w:t>PRSUs</w:t>
            </w:r>
          </w:p>
        </w:tc>
        <w:tc>
          <w:tcPr>
            <w:tcW w:w="4400" w:type="dxa"/>
            <w:vAlign w:val="bottom"/>
            <w:gridSpan w:val="2"/>
          </w:tcPr>
          <w:p>
            <w:pPr>
              <w:jc w:val="right"/>
              <w:ind w:right="61"/>
              <w:spacing w:after="0"/>
              <w:rPr>
                <w:sz w:val="20"/>
                <w:szCs w:val="20"/>
                <w:color w:val="auto"/>
              </w:rPr>
            </w:pPr>
            <w:r>
              <w:rPr>
                <w:rFonts w:ascii="Arial" w:cs="Arial" w:eastAsia="Arial" w:hAnsi="Arial"/>
                <w:sz w:val="20"/>
                <w:szCs w:val="20"/>
                <w:color w:val="auto"/>
              </w:rPr>
              <w:t>100% of target PRSUs 150% of target PRSUs</w:t>
            </w:r>
          </w:p>
        </w:tc>
        <w:tc>
          <w:tcPr>
            <w:tcW w:w="1700" w:type="dxa"/>
            <w:vAlign w:val="bottom"/>
          </w:tcPr>
          <w:p>
            <w:pPr>
              <w:jc w:val="center"/>
              <w:ind w:right="21"/>
              <w:spacing w:after="0"/>
              <w:rPr>
                <w:sz w:val="20"/>
                <w:szCs w:val="20"/>
                <w:color w:val="auto"/>
              </w:rPr>
            </w:pPr>
            <w:r>
              <w:rPr>
                <w:rFonts w:ascii="Arial" w:cs="Arial" w:eastAsia="Arial" w:hAnsi="Arial"/>
                <w:sz w:val="20"/>
                <w:szCs w:val="20"/>
                <w:color w:val="auto"/>
              </w:rPr>
              <w:t>PRSUs</w:t>
            </w:r>
          </w:p>
        </w:tc>
      </w:tr>
    </w:tbl>
    <w:p>
      <w:pPr>
        <w:spacing w:after="0" w:line="236" w:lineRule="exact"/>
        <w:rPr>
          <w:sz w:val="20"/>
          <w:szCs w:val="20"/>
          <w:color w:val="auto"/>
        </w:rPr>
      </w:pPr>
    </w:p>
    <w:p>
      <w:pPr>
        <w:ind w:right="500"/>
        <w:spacing w:after="0" w:line="247" w:lineRule="auto"/>
        <w:rPr>
          <w:sz w:val="20"/>
          <w:szCs w:val="20"/>
          <w:color w:val="auto"/>
        </w:rPr>
      </w:pPr>
      <w:r>
        <w:rPr>
          <w:rFonts w:ascii="Arial" w:cs="Arial" w:eastAsia="Arial" w:hAnsi="Arial"/>
          <w:sz w:val="20"/>
          <w:szCs w:val="20"/>
          <w:color w:val="auto"/>
        </w:rPr>
        <w:t>The Company shall apply linear interpolation if the performance criterion achieved is between the levels specified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6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Exhibit 10.13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STOCK-SETTLED STOCK APPRECIATION RIGHT AGREEMENT</w:t>
      </w:r>
    </w:p>
    <w:p>
      <w:pPr>
        <w:spacing w:after="0" w:line="229" w:lineRule="exact"/>
        <w:rPr>
          <w:sz w:val="20"/>
          <w:szCs w:val="20"/>
          <w:color w:val="auto"/>
        </w:rPr>
      </w:pPr>
    </w:p>
    <w:p>
      <w:pPr>
        <w:jc w:val="both"/>
        <w:ind w:firstLine="656"/>
        <w:spacing w:after="0" w:line="288" w:lineRule="auto"/>
        <w:tabs>
          <w:tab w:leader="none" w:pos="146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Grant of SSARs</w:t>
      </w:r>
      <w:r>
        <w:rPr>
          <w:rFonts w:ascii="Arial" w:cs="Arial" w:eastAsia="Arial" w:hAnsi="Arial"/>
          <w:sz w:val="19"/>
          <w:szCs w:val="19"/>
          <w:color w:val="auto"/>
        </w:rPr>
        <w:t>. World Fuel Services Corporation, a Florida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to [●]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effective as of March 31, 2017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 performance-based stock settled stock appreciation rights (the “</w:t>
      </w:r>
      <w:r>
        <w:rPr>
          <w:rFonts w:ascii="Arial" w:cs="Arial" w:eastAsia="Arial" w:hAnsi="Arial"/>
          <w:sz w:val="19"/>
          <w:szCs w:val="19"/>
          <w:b w:val="1"/>
          <w:bCs w:val="1"/>
          <w:i w:val="1"/>
          <w:iCs w:val="1"/>
          <w:color w:val="auto"/>
        </w:rPr>
        <w:t>SSARs</w:t>
      </w:r>
      <w:r>
        <w:rPr>
          <w:rFonts w:ascii="Arial" w:cs="Arial" w:eastAsia="Arial" w:hAnsi="Arial"/>
          <w:sz w:val="19"/>
          <w:szCs w:val="19"/>
          <w:color w:val="auto"/>
        </w:rPr>
        <w:t>”). The SSARs have been granted under the Company’s 2016 Omnibus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is incorporated herein for all purposes, and the grant of the SSARs shall be subject to the terms, provisions and restrictions set forth in this</w:t>
      </w:r>
    </w:p>
    <w:p>
      <w:pPr>
        <w:spacing w:after="0" w:line="1"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20"/>
          <w:szCs w:val="20"/>
          <w:color w:val="auto"/>
        </w:rPr>
        <w:t>Agreement and the Plan. The SSARs entitle the Participant to convert the SSARs into, and to receive, shares of common stock of the Company, $0.01 par value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aggregate Fair Market Value of which is equal to the product of: (A) the number of SSARs granted pursuant to this Agreement and that become vested pursuant to Section 3 hereof, multiplied by (B) the excess of (i) the Fair Market Value of one share of the Common Stock on the date or dates upon which the Participant converts the vested SSARs to Common Stock, over (ii) the Conversion Price. As a condition to entering into this Agreement, and as a condition to the issuance of any shares of Common Stock (or any other securities of the Company), the Participant agrees to be bound by all of the terms and conditions set forth in this Agreement and in the Plan.</w:t>
      </w:r>
    </w:p>
    <w:p>
      <w:pPr>
        <w:spacing w:after="0" w:line="207" w:lineRule="exact"/>
        <w:rPr>
          <w:rFonts w:ascii="Arial" w:cs="Arial" w:eastAsia="Arial" w:hAnsi="Arial"/>
          <w:sz w:val="19"/>
          <w:szCs w:val="19"/>
          <w:color w:val="auto"/>
        </w:rPr>
      </w:pPr>
    </w:p>
    <w:p>
      <w:pPr>
        <w:jc w:val="both"/>
        <w:ind w:right="20" w:firstLine="656"/>
        <w:spacing w:after="0" w:line="270" w:lineRule="auto"/>
        <w:tabs>
          <w:tab w:leader="none" w:pos="146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 Notwithstanding the foregoing, the definitions of “Cause”, “Disability” and “Good Reason” shall have the meanings set forth in the Employment Arrangement (as defined below).</w:t>
      </w:r>
    </w:p>
    <w:p>
      <w:pPr>
        <w:spacing w:after="0" w:line="170" w:lineRule="exact"/>
        <w:rPr>
          <w:rFonts w:ascii="Arial" w:cs="Arial" w:eastAsia="Arial" w:hAnsi="Arial"/>
          <w:sz w:val="20"/>
          <w:szCs w:val="20"/>
          <w:color w:val="auto"/>
        </w:rPr>
      </w:pPr>
    </w:p>
    <w:p>
      <w:pPr>
        <w:ind w:left="1720" w:hanging="415"/>
        <w:spacing w:after="0"/>
        <w:tabs>
          <w:tab w:leader="none" w:pos="17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of Directors of the Company.</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Conversion Price</w:t>
      </w:r>
      <w:r>
        <w:rPr>
          <w:rFonts w:ascii="Arial" w:cs="Arial" w:eastAsia="Arial" w:hAnsi="Arial"/>
          <w:sz w:val="20"/>
          <w:szCs w:val="20"/>
          <w:i w:val="1"/>
          <w:iCs w:val="1"/>
          <w:color w:val="auto"/>
        </w:rPr>
        <w:t>”</w:t>
      </w:r>
      <w:r>
        <w:rPr>
          <w:rFonts w:ascii="Arial" w:cs="Arial" w:eastAsia="Arial" w:hAnsi="Arial"/>
          <w:sz w:val="20"/>
          <w:szCs w:val="20"/>
          <w:color w:val="auto"/>
        </w:rPr>
        <w:t xml:space="preserve"> means $36.25, subject to adjustments as provided in Section 4 hereof or pursuant to the</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Plan.</w:t>
      </w:r>
    </w:p>
    <w:p>
      <w:pPr>
        <w:spacing w:after="0" w:line="191" w:lineRule="exact"/>
        <w:rPr>
          <w:rFonts w:ascii="Arial" w:cs="Arial" w:eastAsia="Arial" w:hAnsi="Arial"/>
          <w:sz w:val="20"/>
          <w:szCs w:val="20"/>
          <w:color w:val="auto"/>
        </w:rPr>
      </w:pPr>
    </w:p>
    <w:p>
      <w:pPr>
        <w:jc w:val="both"/>
        <w:ind w:firstLine="1305"/>
        <w:spacing w:after="0" w:line="255" w:lineRule="auto"/>
        <w:tabs>
          <w:tab w:leader="none" w:pos="1815"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means the date as soon as reasonably practicable following the date on which the Company’s audited financial statements with respect to fiscal year 2017 are available on which the Committee determines whether the Initial Hurdle and Performance Goal have been achieved.</w:t>
      </w:r>
    </w:p>
    <w:p>
      <w:pPr>
        <w:spacing w:after="0" w:line="171" w:lineRule="exact"/>
        <w:rPr>
          <w:rFonts w:ascii="Arial" w:cs="Arial" w:eastAsia="Arial" w:hAnsi="Arial"/>
          <w:sz w:val="20"/>
          <w:szCs w:val="20"/>
          <w:color w:val="auto"/>
        </w:rPr>
      </w:pPr>
    </w:p>
    <w:p>
      <w:pPr>
        <w:ind w:right="20" w:firstLine="1305"/>
        <w:spacing w:after="0" w:line="272" w:lineRule="auto"/>
        <w:tabs>
          <w:tab w:leader="none" w:pos="1786"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Earned SSARs</w:t>
      </w:r>
      <w:r>
        <w:rPr>
          <w:rFonts w:ascii="Arial" w:cs="Arial" w:eastAsia="Arial" w:hAnsi="Arial"/>
          <w:sz w:val="20"/>
          <w:szCs w:val="20"/>
          <w:color w:val="auto"/>
        </w:rPr>
        <w:t>” means the SSARs that are considered to be earned if the Initial Hurdle and Performance Goal have been achieved, as determined in accordance with Section 3(a) or 3(b) hereof.</w:t>
      </w:r>
    </w:p>
    <w:p>
      <w:pPr>
        <w:spacing w:after="0" w:line="153" w:lineRule="exact"/>
        <w:rPr>
          <w:rFonts w:ascii="Arial" w:cs="Arial" w:eastAsia="Arial" w:hAnsi="Arial"/>
          <w:sz w:val="20"/>
          <w:szCs w:val="20"/>
          <w:color w:val="auto"/>
        </w:rPr>
      </w:pPr>
    </w:p>
    <w:p>
      <w:pPr>
        <w:jc w:val="both"/>
        <w:ind w:firstLine="1305"/>
        <w:spacing w:after="0" w:line="255" w:lineRule="auto"/>
        <w:tabs>
          <w:tab w:leader="none" w:pos="1759"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Arrangement</w:t>
      </w:r>
      <w:r>
        <w:rPr>
          <w:rFonts w:ascii="Arial" w:cs="Arial" w:eastAsia="Arial" w:hAnsi="Arial"/>
          <w:sz w:val="20"/>
          <w:szCs w:val="20"/>
          <w:color w:val="auto"/>
        </w:rPr>
        <w:t>” means any employment agreement or individual severance agreement by and between the Company and the Participant, or severance plan maintained by the Company in which the Participant participates as of the Grant Date, in each case, as in effect on the Grant Date.</w:t>
      </w:r>
    </w:p>
    <w:p>
      <w:pPr>
        <w:spacing w:after="0" w:line="171" w:lineRule="exact"/>
        <w:rPr>
          <w:rFonts w:ascii="Arial" w:cs="Arial" w:eastAsia="Arial" w:hAnsi="Arial"/>
          <w:sz w:val="20"/>
          <w:szCs w:val="20"/>
          <w:color w:val="auto"/>
        </w:rPr>
      </w:pPr>
    </w:p>
    <w:p>
      <w:pPr>
        <w:ind w:left="1680" w:hanging="375"/>
        <w:spacing w:after="0"/>
        <w:tabs>
          <w:tab w:leader="none" w:pos="16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means the fifth anniversary of the Grant Date.</w:t>
      </w:r>
    </w:p>
    <w:p>
      <w:pPr>
        <w:spacing w:after="0" w:line="215" w:lineRule="exact"/>
        <w:rPr>
          <w:rFonts w:ascii="Arial" w:cs="Arial" w:eastAsia="Arial" w:hAnsi="Arial"/>
          <w:sz w:val="20"/>
          <w:szCs w:val="20"/>
          <w:color w:val="auto"/>
        </w:rPr>
      </w:pPr>
    </w:p>
    <w:p>
      <w:pPr>
        <w:jc w:val="both"/>
        <w:ind w:firstLine="1305"/>
        <w:spacing w:after="0" w:line="255" w:lineRule="auto"/>
        <w:tabs>
          <w:tab w:leader="none" w:pos="18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Initial Hurdle</w:t>
      </w:r>
      <w:r>
        <w:rPr>
          <w:rFonts w:ascii="Arial" w:cs="Arial" w:eastAsia="Arial" w:hAnsi="Arial"/>
          <w:sz w:val="20"/>
          <w:szCs w:val="20"/>
          <w:color w:val="auto"/>
        </w:rPr>
        <w:t xml:space="preserve">” means the specific written objective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which is based on the criteria set forth in Section 3.2(b) of the Plan that are timely approved by the Committee pursuant to Section 3.2(b) of the Plan for the Participant for the Performance Period.</w:t>
      </w:r>
    </w:p>
    <w:p>
      <w:pPr>
        <w:spacing w:after="0" w:line="171" w:lineRule="exact"/>
        <w:rPr>
          <w:rFonts w:ascii="Arial" w:cs="Arial" w:eastAsia="Arial" w:hAnsi="Arial"/>
          <w:sz w:val="20"/>
          <w:szCs w:val="20"/>
          <w:color w:val="auto"/>
        </w:rPr>
      </w:pPr>
    </w:p>
    <w:p>
      <w:pPr>
        <w:ind w:left="1720" w:hanging="415"/>
        <w:spacing w:after="0"/>
        <w:tabs>
          <w:tab w:leader="none" w:pos="1720" w:val="left"/>
        </w:tabs>
        <w:numPr>
          <w:ilvl w:val="1"/>
          <w:numId w:val="70"/>
        </w:numPr>
        <w:rPr>
          <w:rFonts w:ascii="Arial" w:cs="Arial" w:eastAsia="Arial" w:hAnsi="Arial"/>
          <w:sz w:val="20"/>
          <w:szCs w:val="20"/>
          <w:color w:val="auto"/>
        </w:rPr>
      </w:pP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one-year period from January 1, 2017 through December 31, 2017.</w:t>
      </w:r>
    </w:p>
    <w:p>
      <w:pPr>
        <w:spacing w:after="0" w:line="215" w:lineRule="exact"/>
        <w:rPr>
          <w:rFonts w:ascii="Arial" w:cs="Arial" w:eastAsia="Arial" w:hAnsi="Arial"/>
          <w:sz w:val="20"/>
          <w:szCs w:val="20"/>
          <w:color w:val="auto"/>
        </w:rPr>
      </w:pPr>
    </w:p>
    <w:p>
      <w:pPr>
        <w:ind w:firstLine="1305"/>
        <w:spacing w:after="0" w:line="272" w:lineRule="auto"/>
        <w:tabs>
          <w:tab w:leader="none" w:pos="1706" w:val="left"/>
        </w:tabs>
        <w:numPr>
          <w:ilvl w:val="1"/>
          <w:numId w:val="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whether any SSARs shall become Earned SSARs.</w:t>
      </w:r>
    </w:p>
    <w:p>
      <w:pPr>
        <w:sectPr>
          <w:pgSz w:w="11900" w:h="16838" w:orient="portrait"/>
          <w:cols w:equalWidth="0" w:num="1">
            <w:col w:w="11420"/>
          </w:cols>
          <w:pgMar w:left="240" w:top="131" w:right="239" w:bottom="1440" w:gutter="0" w:footer="0" w:header="0"/>
        </w:sectPr>
      </w:pPr>
    </w:p>
    <w:bookmarkStart w:id="118" w:name="page119"/>
    <w:bookmarkEnd w:id="118"/>
    <w:p>
      <w:pPr>
        <w:ind w:left="1300"/>
        <w:spacing w:after="0"/>
        <w:tabs>
          <w:tab w:leader="none" w:pos="1780" w:val="left"/>
        </w:tabs>
        <w:rPr>
          <w:sz w:val="20"/>
          <w:szCs w:val="20"/>
          <w:color w:val="auto"/>
        </w:rPr>
      </w:pPr>
      <w:r>
        <w:rPr>
          <w:rFonts w:ascii="Arial" w:cs="Arial" w:eastAsia="Arial" w:hAnsi="Arial"/>
          <w:sz w:val="20"/>
          <w:szCs w:val="20"/>
          <w:color w:val="auto"/>
        </w:rPr>
        <w:t>(j)</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the 2017 fiscal year with respect to which the Initial Hurdle is set by the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Committee.</w:t>
      </w:r>
    </w:p>
    <w:p>
      <w:pPr>
        <w:spacing w:after="0" w:line="191"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(k)</w:t>
      </w:r>
      <w:r>
        <w:rPr>
          <w:sz w:val="20"/>
          <w:szCs w:val="20"/>
          <w:color w:val="auto"/>
        </w:rPr>
        <w:tab/>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date on which the Participant is no longer an employee of the Company or any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229" w:lineRule="exact"/>
        <w:rPr>
          <w:sz w:val="20"/>
          <w:szCs w:val="20"/>
          <w:color w:val="auto"/>
        </w:rPr>
      </w:pPr>
    </w:p>
    <w:p>
      <w:pPr>
        <w:ind w:left="1460" w:hanging="804"/>
        <w:spacing w:after="0"/>
        <w:tabs>
          <w:tab w:leader="none" w:pos="146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 of Common Stock</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5"/>
        <w:spacing w:after="0"/>
        <w:tabs>
          <w:tab w:leader="none" w:pos="1813" w:val="left"/>
        </w:tabs>
        <w:numPr>
          <w:ilvl w:val="1"/>
          <w:numId w:val="71"/>
        </w:numPr>
        <w:rPr>
          <w:rFonts w:ascii="Arial" w:cs="Arial" w:eastAsia="Arial" w:hAnsi="Arial"/>
          <w:sz w:val="20"/>
          <w:szCs w:val="20"/>
          <w:color w:val="auto"/>
        </w:rPr>
      </w:pPr>
      <w:r>
        <w:rPr>
          <w:rFonts w:ascii="Arial" w:cs="Arial" w:eastAsia="Arial" w:hAnsi="Arial"/>
          <w:sz w:val="20"/>
          <w:szCs w:val="20"/>
          <w:color w:val="auto"/>
        </w:rPr>
        <w:t>Subject to the provisions of this Section 3, the Earned SSARs shall be determined by the Committee first based on the achievement of the Initial Hurdle during the Performance Period and second based on the achievement of the Performance Goal during the Measurement Period, in each case, pursuant to Schedule A. If the Initial Hurdle is not satisfied, all of the SSARs will be forfeited immediately, other than as set forth in this Section 3. The Committee retains the sole and plenary discretion to make any adjustment permitted by the Plan or to reduce or eliminate the number of Earned SSARs in accordance with the terms of the Plan for any reason deemed appropriate by the Committee, even if the Initial Hurdle has been attained and without regard to the Employment Arrangement or any other similar agreement between the Company and the Participant.</w:t>
      </w:r>
    </w:p>
    <w:p>
      <w:pPr>
        <w:spacing w:after="0" w:line="213" w:lineRule="exact"/>
        <w:rPr>
          <w:rFonts w:ascii="Arial" w:cs="Arial" w:eastAsia="Arial" w:hAnsi="Arial"/>
          <w:sz w:val="20"/>
          <w:szCs w:val="20"/>
          <w:color w:val="auto"/>
        </w:rPr>
      </w:pPr>
    </w:p>
    <w:p>
      <w:pPr>
        <w:jc w:val="both"/>
        <w:ind w:firstLine="1305"/>
        <w:spacing w:after="0" w:line="241" w:lineRule="auto"/>
        <w:tabs>
          <w:tab w:leader="none" w:pos="1745" w:val="left"/>
        </w:tabs>
        <w:numPr>
          <w:ilvl w:val="1"/>
          <w:numId w:val="71"/>
        </w:numPr>
        <w:rPr>
          <w:rFonts w:ascii="Arial" w:cs="Arial" w:eastAsia="Arial" w:hAnsi="Arial"/>
          <w:sz w:val="20"/>
          <w:szCs w:val="20"/>
          <w:color w:val="auto"/>
        </w:rPr>
      </w:pPr>
      <w:r>
        <w:rPr>
          <w:rFonts w:ascii="Arial" w:cs="Arial" w:eastAsia="Arial" w:hAnsi="Arial"/>
          <w:sz w:val="20"/>
          <w:szCs w:val="20"/>
          <w:color w:val="auto"/>
        </w:rPr>
        <w:t>If the Initial Hurdle is satisfied as certified by the Committee, but the Performance Goal is not satisfied, all the SSARs will be forfeited immediately, other than as set forth in this Section 3 or as otherwise determined by the Committee. If the Initial Hurdle is satisfied as certified by the Committee, and the Committee determines that the Performance Goal has been satisfied, the Earned SSARs shall become vested on the third anniversary of the Grant Date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color w:val="auto"/>
        </w:rPr>
        <w:t>, except as otherwise provided in this Section 3, the Participant’s employment with the Company continues through and until the Vesting Date.</w:t>
      </w:r>
    </w:p>
    <w:p>
      <w:pPr>
        <w:spacing w:after="0" w:line="207" w:lineRule="exact"/>
        <w:rPr>
          <w:rFonts w:ascii="Arial" w:cs="Arial" w:eastAsia="Arial" w:hAnsi="Arial"/>
          <w:sz w:val="20"/>
          <w:szCs w:val="20"/>
          <w:color w:val="auto"/>
        </w:rPr>
      </w:pPr>
    </w:p>
    <w:p>
      <w:pPr>
        <w:ind w:right="20" w:firstLine="1305"/>
        <w:spacing w:after="0" w:line="247" w:lineRule="auto"/>
        <w:tabs>
          <w:tab w:leader="none" w:pos="1815"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vesting of the SSARs, Earned SSARs or Acquirer SSARs (as defined below), as applicable, shall be accelerated if and to the extent provided in this Section 3(c):</w:t>
      </w:r>
    </w:p>
    <w:p>
      <w:pPr>
        <w:spacing w:after="0" w:line="181" w:lineRule="exact"/>
        <w:rPr>
          <w:rFonts w:ascii="Arial" w:cs="Arial" w:eastAsia="Arial" w:hAnsi="Arial"/>
          <w:sz w:val="20"/>
          <w:szCs w:val="20"/>
          <w:color w:val="auto"/>
        </w:rPr>
      </w:pPr>
    </w:p>
    <w:p>
      <w:pPr>
        <w:ind w:left="2340" w:hanging="387"/>
        <w:spacing w:after="0"/>
        <w:tabs>
          <w:tab w:leader="none" w:pos="2340" w:val="left"/>
        </w:tabs>
        <w:numPr>
          <w:ilvl w:val="2"/>
          <w:numId w:val="71"/>
        </w:numPr>
        <w:rPr>
          <w:rFonts w:ascii="Arial" w:cs="Arial" w:eastAsia="Arial" w:hAnsi="Arial"/>
          <w:sz w:val="20"/>
          <w:szCs w:val="20"/>
          <w:color w:val="auto"/>
        </w:rPr>
      </w:pPr>
      <w:r>
        <w:rPr>
          <w:rFonts w:ascii="Arial" w:cs="Arial" w:eastAsia="Arial" w:hAnsi="Arial"/>
          <w:sz w:val="20"/>
          <w:szCs w:val="20"/>
          <w:i w:val="1"/>
          <w:iCs w:val="1"/>
          <w:color w:val="auto"/>
        </w:rPr>
        <w:t xml:space="preserve">Change of Control. </w:t>
      </w:r>
      <w:r>
        <w:rPr>
          <w:rFonts w:ascii="Arial" w:cs="Arial" w:eastAsia="Arial" w:hAnsi="Arial"/>
          <w:sz w:val="20"/>
          <w:szCs w:val="20"/>
          <w:color w:val="auto"/>
        </w:rPr>
        <w:t>(A) Except as otherwise determined by the Company as set forth in Section 3(c)(i)</w:t>
      </w:r>
    </w:p>
    <w:p>
      <w:pPr>
        <w:spacing w:after="0" w:line="19" w:lineRule="exact"/>
        <w:rPr>
          <w:rFonts w:ascii="Arial" w:cs="Arial" w:eastAsia="Arial" w:hAnsi="Arial"/>
          <w:sz w:val="20"/>
          <w:szCs w:val="20"/>
          <w:color w:val="auto"/>
        </w:rPr>
      </w:pPr>
    </w:p>
    <w:p>
      <w:pPr>
        <w:jc w:val="both"/>
        <w:ind w:left="660"/>
        <w:spacing w:after="0" w:line="242" w:lineRule="auto"/>
        <w:rPr>
          <w:rFonts w:ascii="Arial" w:cs="Arial" w:eastAsia="Arial" w:hAnsi="Arial"/>
          <w:sz w:val="20"/>
          <w:szCs w:val="20"/>
          <w:color w:val="auto"/>
        </w:rPr>
      </w:pPr>
      <w:r>
        <w:rPr>
          <w:rFonts w:ascii="Arial" w:cs="Arial" w:eastAsia="Arial" w:hAnsi="Arial"/>
          <w:sz w:val="20"/>
          <w:szCs w:val="20"/>
          <w:color w:val="auto"/>
        </w:rPr>
        <w:t>(B) hereof, in the event that a Change of Control occurs while the Participant is employed by the Company or any Subsidiary, and (x) prior to the Determination Date, the Participant shall immediately become fully vested and nonforfeitable upon the Change of Control in the SSARs assuming the Initial Hurdle and the Performance Goal have been satisfied, or (y) on or following the Determination Date, in the Earned SSARs.</w:t>
      </w:r>
    </w:p>
    <w:p>
      <w:pPr>
        <w:spacing w:after="0" w:line="206" w:lineRule="exact"/>
        <w:rPr>
          <w:rFonts w:ascii="Arial" w:cs="Arial" w:eastAsia="Arial" w:hAnsi="Arial"/>
          <w:sz w:val="20"/>
          <w:szCs w:val="20"/>
          <w:color w:val="auto"/>
        </w:rPr>
      </w:pPr>
    </w:p>
    <w:p>
      <w:pPr>
        <w:jc w:val="both"/>
        <w:ind w:left="1300" w:firstLine="1301"/>
        <w:spacing w:after="0" w:line="253" w:lineRule="auto"/>
        <w:tabs>
          <w:tab w:leader="none" w:pos="3081" w:val="left"/>
        </w:tabs>
        <w:numPr>
          <w:ilvl w:val="3"/>
          <w:numId w:val="71"/>
        </w:numPr>
        <w:rPr>
          <w:rFonts w:ascii="Arial" w:cs="Arial" w:eastAsia="Arial" w:hAnsi="Arial"/>
          <w:sz w:val="19"/>
          <w:szCs w:val="19"/>
          <w:color w:val="auto"/>
        </w:rPr>
      </w:pPr>
      <w:r>
        <w:rPr>
          <w:rFonts w:ascii="Arial" w:cs="Arial" w:eastAsia="Arial" w:hAnsi="Arial"/>
          <w:sz w:val="19"/>
          <w:szCs w:val="19"/>
          <w:color w:val="auto"/>
        </w:rPr>
        <w:t xml:space="preserve">Notwithstanding Section 3(c)(i)(A) hereof, if in the event of a Change of Control the Company determines that the successor company shall assume or substitute the SSARs or Earned SSARs (as applicable) as of the date of the Change of Control, then the vesting of the SSARs or Earned SSARs (as applicable) that are assumed or substituted shall not be so accelerated as a result of such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Change of Control occurs prior to the Determination Date, the SSARs that are so assumed or substituted shall no longer be subject to the Initial Hurdle or the Performance Goal and, instead the SSARs shall convert to service-based stock appreciation rights as of the Change of Control assuming the Initial Hurdle and the Performance Goal have been satisfied. For this purpose, the SSARs or Earned SSARs (as applicable) shall be considered assumed or substituted only if (1) the SSARs or Earned SSARs (as applicable) that are assumed or substituted vest at the time that such SSARs or Earned SSARs (as applicable) would vest pursuant to this Agreement (based solely on continued service) and (2) immediately following the Change of Control, the SSARs or Earned SSARs (as applicable) confer the right to receive for each unvested SSAR or Earned SSAR (as applicable) held immediately prior to the Change of Control, the consideration (whether stock, cash or other securities or property) received by holders of shares of Common Stock in the transaction constituting a Change of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55" w:right="239" w:bottom="1440" w:gutter="0" w:footer="0" w:header="0"/>
        </w:sectPr>
      </w:pPr>
    </w:p>
    <w:bookmarkStart w:id="119" w:name="page120"/>
    <w:bookmarkEnd w:id="119"/>
    <w:p>
      <w:pPr>
        <w:jc w:val="both"/>
        <w:ind w:left="100"/>
        <w:spacing w:after="0" w:line="252" w:lineRule="auto"/>
        <w:rPr>
          <w:sz w:val="20"/>
          <w:szCs w:val="20"/>
          <w:color w:val="auto"/>
        </w:rPr>
      </w:pPr>
      <w:r>
        <w:rPr>
          <w:rFonts w:ascii="Arial" w:cs="Arial" w:eastAsia="Arial" w:hAnsi="Arial"/>
          <w:sz w:val="19"/>
          <w:szCs w:val="19"/>
          <w:color w:val="auto"/>
        </w:rPr>
        <w:t xml:space="preserve">for each share of Common Stock held on the effective date of such transaction (and if holders were offered a choice of consideration, the type of consideration chosen by the holders of a majority of the outstanding shares of Common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 the successor company or its parent or subsidiary, the Company may provide that the consideration to be received upon the vesting of any SSARs or Earned SSARs (as applicable) will be solely common stock of the successor company or its parent or subsidiary substantially equal in fair market value to the per share consideration received by holders of shares of Common Stock in the transaction constituting a Change of Control. The determinations of (1) whether the SSARs or Earned SSARs (as applicable) shall be assumed or substituted in accordance with this Section 3(c)(i)(B) or shall accelerate vesting in accordance with Section 3(c)(i)</w:t>
      </w:r>
    </w:p>
    <w:p>
      <w:pPr>
        <w:spacing w:after="0" w:line="2" w:lineRule="exact"/>
        <w:rPr>
          <w:sz w:val="20"/>
          <w:szCs w:val="20"/>
          <w:color w:val="auto"/>
        </w:rPr>
      </w:pPr>
    </w:p>
    <w:p>
      <w:pPr>
        <w:jc w:val="both"/>
        <w:ind w:left="100" w:firstLine="5"/>
        <w:spacing w:after="0" w:line="241" w:lineRule="auto"/>
        <w:tabs>
          <w:tab w:leader="none" w:pos="463" w:val="left"/>
        </w:tabs>
        <w:numPr>
          <w:ilvl w:val="0"/>
          <w:numId w:val="72"/>
        </w:numPr>
        <w:rPr>
          <w:rFonts w:ascii="Arial" w:cs="Arial" w:eastAsia="Arial" w:hAnsi="Arial"/>
          <w:sz w:val="20"/>
          <w:szCs w:val="20"/>
          <w:color w:val="auto"/>
        </w:rPr>
      </w:pPr>
      <w:r>
        <w:rPr>
          <w:rFonts w:ascii="Arial" w:cs="Arial" w:eastAsia="Arial" w:hAnsi="Arial"/>
          <w:sz w:val="20"/>
          <w:szCs w:val="20"/>
          <w:color w:val="auto"/>
        </w:rPr>
        <w:t>hereof and (2) in the event that this Section 3(c)(i)(B) is applicable, such substantial equality of value of consideration shall be made by the Committee in its sole discretion and its determinations shall be conclusive and binding. The award resulting from the assumption or substitution of the SSARs or Earned SSARs (as applicable) by the successor company shall, except as otherwise provided in this Section 3(c), continue to vest after the Change of Control transaction based solely on the Participant’s continued employment with the successor company and its affiliates through the Vesting Date, and shall be referred to hereafter as the “</w:t>
      </w:r>
      <w:r>
        <w:rPr>
          <w:rFonts w:ascii="Arial" w:cs="Arial" w:eastAsia="Arial" w:hAnsi="Arial"/>
          <w:sz w:val="20"/>
          <w:szCs w:val="20"/>
          <w:b w:val="1"/>
          <w:bCs w:val="1"/>
          <w:i w:val="1"/>
          <w:iCs w:val="1"/>
          <w:color w:val="auto"/>
        </w:rPr>
        <w:t>Acquirer SSARs</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jc w:val="both"/>
        <w:ind w:left="-540" w:firstLine="1293"/>
        <w:spacing w:after="0" w:line="244" w:lineRule="auto"/>
        <w:tabs>
          <w:tab w:leader="none" w:pos="1345" w:val="left"/>
        </w:tabs>
        <w:numPr>
          <w:ilvl w:val="1"/>
          <w:numId w:val="72"/>
        </w:numPr>
        <w:rPr>
          <w:rFonts w:ascii="Arial" w:cs="Arial" w:eastAsia="Arial" w:hAnsi="Arial"/>
          <w:sz w:val="20"/>
          <w:szCs w:val="20"/>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due to the Participant’s death or Disability (A) prior to a Change of Control and prior to the Determination Date, the Participant shall immediately vest on the Termination Date in the number of SSARs pro rated in accordance with Section 3(f) hereof, assuming the Initial Hurdle and Performance Goal have been satisfied, (B) prior to a Change of Control and on or following the Determination Date, the Participant shall immediately vest on the Termination Date in the number of Earned SSARs, if any, pro rated in accordance with Section 3(f) hereof, or (C) on or following a Change of Control, the Participant shall immediately vest on the Termination Date in all outstanding Acquirer SSARs.</w:t>
      </w:r>
    </w:p>
    <w:p>
      <w:pPr>
        <w:spacing w:after="0" w:line="186" w:lineRule="exact"/>
        <w:rPr>
          <w:rFonts w:ascii="Arial" w:cs="Arial" w:eastAsia="Arial" w:hAnsi="Arial"/>
          <w:sz w:val="20"/>
          <w:szCs w:val="20"/>
          <w:color w:val="auto"/>
        </w:rPr>
      </w:pPr>
    </w:p>
    <w:p>
      <w:pPr>
        <w:jc w:val="both"/>
        <w:ind w:left="-540" w:firstLine="1293"/>
        <w:spacing w:after="0" w:line="241" w:lineRule="auto"/>
        <w:tabs>
          <w:tab w:leader="none" w:pos="1200" w:val="left"/>
        </w:tabs>
        <w:numPr>
          <w:ilvl w:val="1"/>
          <w:numId w:val="72"/>
        </w:numPr>
        <w:rPr>
          <w:rFonts w:ascii="Arial" w:cs="Arial" w:eastAsia="Arial" w:hAnsi="Arial"/>
          <w:sz w:val="20"/>
          <w:szCs w:val="20"/>
          <w:color w:val="auto"/>
        </w:rPr>
      </w:pPr>
      <w:r>
        <w:rPr>
          <w:rFonts w:ascii="Arial" w:cs="Arial" w:eastAsia="Arial" w:hAnsi="Arial"/>
          <w:sz w:val="20"/>
          <w:szCs w:val="20"/>
          <w:i w:val="1"/>
          <w:iCs w:val="1"/>
          <w:color w:val="auto"/>
        </w:rPr>
        <w:t>Termination without Cause or for Good Reason</w:t>
      </w:r>
      <w:r>
        <w:rPr>
          <w:rFonts w:ascii="Arial" w:cs="Arial" w:eastAsia="Arial" w:hAnsi="Arial"/>
          <w:sz w:val="20"/>
          <w:szCs w:val="20"/>
          <w:color w:val="auto"/>
        </w:rPr>
        <w:t>. (A) In the event that the Participant’s employment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and its Subsidiaries is terminated by the Company and its Subsidiaries without Cause or, if applicable, by the Participant for Good Reason (1) prior to a Change of Control and prior to the Determination Date, the Participant shall become vested on the Determination Date in the number of SSARs, if any, determined by the Committee following the end of the Measurement Period and Performance Period based on the extent to which the Initial Hurdle and Performance Goal have been achieved and pro rated in accordance with Section 3(f) hereof, (2) prior to a Change of Control and on or following the Determination Date, the Participant shall immediately vest upon the Termination Date in the number of Earned SSARs pro rated in accordance with Section 3(f) hereof or (3) on or following a Change of Control, the Participant shall immediately vest upon the Termination Date in all outstanding Acquirer SSARs. Notwithstanding the foregoing sentence, in the event that a Change of Control occurs prior to the Determination Date but following the date that the Participant’s employment is terminated by the Company and its Subsidiaries without Cause or, if applicable, by the Participant for Good Reason pursuant to Section 3(c)(iii)(A)(1), the number of SSARs shall be determined by the Committee in accordance with Section 3(c)(i) hereof, and the Participant shall immediately vest upon the Change of Control in a pro-rated portion of such SSARs determined in accordance with Section 3(f) hereof.</w:t>
      </w:r>
    </w:p>
    <w:p>
      <w:pPr>
        <w:spacing w:after="0" w:line="217" w:lineRule="exact"/>
        <w:rPr>
          <w:rFonts w:ascii="Arial" w:cs="Arial" w:eastAsia="Arial" w:hAnsi="Arial"/>
          <w:sz w:val="20"/>
          <w:szCs w:val="20"/>
          <w:color w:val="auto"/>
        </w:rPr>
      </w:pPr>
    </w:p>
    <w:p>
      <w:pPr>
        <w:jc w:val="both"/>
        <w:ind w:left="100" w:firstLine="1301"/>
        <w:spacing w:after="0" w:line="242" w:lineRule="auto"/>
        <w:tabs>
          <w:tab w:leader="none" w:pos="1867" w:val="left"/>
        </w:tabs>
        <w:numPr>
          <w:ilvl w:val="2"/>
          <w:numId w:val="72"/>
        </w:numPr>
        <w:rPr>
          <w:rFonts w:ascii="Arial" w:cs="Arial" w:eastAsia="Arial" w:hAnsi="Arial"/>
          <w:sz w:val="20"/>
          <w:szCs w:val="20"/>
          <w:color w:val="auto"/>
        </w:rPr>
      </w:pPr>
      <w:r>
        <w:rPr>
          <w:rFonts w:ascii="Arial" w:cs="Arial" w:eastAsia="Arial" w:hAnsi="Arial"/>
          <w:sz w:val="20"/>
          <w:szCs w:val="20"/>
          <w:color w:val="auto"/>
        </w:rPr>
        <w:t>Notwithstanding the foregoing, the vesting set forth in Section 3(c)(iii)(A) hereof shall not occur and the SSARs or Earned SSARs (as applicable) shall be forfeited if the Participant (1) engages in conduct prior to the Vesting Date that constitutes a breach of the Participant’s covenants under the Employment Arrangement or under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20"/>
          </w:cols>
          <w:pgMar w:left="1440" w:top="379" w:right="239" w:bottom="1440" w:gutter="0" w:footer="0" w:header="0"/>
        </w:sectPr>
      </w:pPr>
    </w:p>
    <w:bookmarkStart w:id="120" w:name="page121"/>
    <w:bookmarkEnd w:id="120"/>
    <w:p>
      <w:pPr>
        <w:jc w:val="both"/>
        <w:ind w:left="1300"/>
        <w:spacing w:after="0" w:line="241" w:lineRule="auto"/>
        <w:rPr>
          <w:sz w:val="20"/>
          <w:szCs w:val="20"/>
          <w:color w:val="auto"/>
        </w:rPr>
      </w:pPr>
      <w:r>
        <w:rPr>
          <w:rFonts w:ascii="Arial" w:cs="Arial" w:eastAsia="Arial" w:hAnsi="Arial"/>
          <w:sz w:val="20"/>
          <w:szCs w:val="20"/>
          <w:color w:val="auto"/>
        </w:rPr>
        <w:t xml:space="preserve">this Agreement with respect to unfair competition, non-competition, non-solicitation, non-disparagement or cooperation or (2) to the extent a release is contemplated by the Employment Arrangement, fails to execute a full general release of all claims in favor of the Company and its affiliates as contemplated by such Employment Arrangement. </w:t>
      </w:r>
      <w:r>
        <w:rPr>
          <w:rFonts w:ascii="Arial" w:cs="Arial" w:eastAsia="Arial" w:hAnsi="Arial"/>
          <w:sz w:val="20"/>
          <w:szCs w:val="20"/>
          <w:b w:val="1"/>
          <w:bCs w:val="1"/>
          <w:color w:val="auto"/>
        </w:rPr>
        <w:t>Nothing in this Section 3 or this Agreement shall be deemed to limit or modify the non-competition, confidentiality or non-solicitation restrictions to which the Participant is already subject, which restrictions shall continue to be separately enforceable in accordance with their terms.</w:t>
      </w:r>
    </w:p>
    <w:p>
      <w:pPr>
        <w:spacing w:after="0" w:line="188" w:lineRule="exact"/>
        <w:rPr>
          <w:sz w:val="20"/>
          <w:szCs w:val="20"/>
          <w:color w:val="auto"/>
        </w:rPr>
      </w:pPr>
    </w:p>
    <w:p>
      <w:pPr>
        <w:jc w:val="both"/>
        <w:ind w:firstLine="1305"/>
        <w:spacing w:after="0" w:line="249" w:lineRule="auto"/>
        <w:tabs>
          <w:tab w:leader="none" w:pos="1759" w:val="left"/>
        </w:tabs>
        <w:numPr>
          <w:ilvl w:val="1"/>
          <w:numId w:val="73"/>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prior to the Vesting Date for any reason other than the Participant’s death or Disability, by the Company and its Subsidiaries without Cause or by the Participant for Good Reason, the Participant shall immediately forfeit all the SSARs, Earned SSARs or Acquirer SSARs (as applicable) on the Termination Date.</w:t>
      </w:r>
    </w:p>
    <w:p>
      <w:pPr>
        <w:spacing w:after="0" w:line="180" w:lineRule="exact"/>
        <w:rPr>
          <w:rFonts w:ascii="Arial" w:cs="Arial" w:eastAsia="Arial" w:hAnsi="Arial"/>
          <w:sz w:val="20"/>
          <w:szCs w:val="20"/>
          <w:color w:val="auto"/>
        </w:rPr>
      </w:pPr>
    </w:p>
    <w:p>
      <w:pPr>
        <w:jc w:val="both"/>
        <w:ind w:firstLine="1305"/>
        <w:spacing w:after="0" w:line="249" w:lineRule="auto"/>
        <w:tabs>
          <w:tab w:leader="none" w:pos="1853" w:val="left"/>
        </w:tabs>
        <w:numPr>
          <w:ilvl w:val="1"/>
          <w:numId w:val="73"/>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0" w:lineRule="exact"/>
        <w:rPr>
          <w:rFonts w:ascii="Arial" w:cs="Arial" w:eastAsia="Arial" w:hAnsi="Arial"/>
          <w:sz w:val="20"/>
          <w:szCs w:val="20"/>
          <w:color w:val="auto"/>
        </w:rPr>
      </w:pPr>
    </w:p>
    <w:p>
      <w:pPr>
        <w:jc w:val="both"/>
        <w:ind w:firstLine="1305"/>
        <w:spacing w:after="0" w:line="262" w:lineRule="auto"/>
        <w:tabs>
          <w:tab w:leader="none" w:pos="1690" w:val="left"/>
        </w:tabs>
        <w:numPr>
          <w:ilvl w:val="1"/>
          <w:numId w:val="73"/>
        </w:numPr>
        <w:rPr>
          <w:rFonts w:ascii="Arial" w:cs="Arial" w:eastAsia="Arial" w:hAnsi="Arial"/>
          <w:sz w:val="19"/>
          <w:szCs w:val="19"/>
          <w:color w:val="auto"/>
        </w:rPr>
      </w:pPr>
      <w:r>
        <w:rPr>
          <w:rFonts w:ascii="Arial" w:cs="Arial" w:eastAsia="Arial" w:hAnsi="Arial"/>
          <w:sz w:val="19"/>
          <w:szCs w:val="19"/>
          <w:i w:val="1"/>
          <w:iCs w:val="1"/>
          <w:color w:val="auto"/>
        </w:rPr>
        <w:t>Pro-Ration of SSARs</w:t>
      </w:r>
      <w:r>
        <w:rPr>
          <w:rFonts w:ascii="Arial" w:cs="Arial" w:eastAsia="Arial" w:hAnsi="Arial"/>
          <w:sz w:val="19"/>
          <w:szCs w:val="19"/>
          <w:color w:val="auto"/>
        </w:rPr>
        <w:t>. For purposes of clauses (c)(ii) and (c)(iii), the pro-rated portion of the SSARs or Earned</w:t>
      </w:r>
      <w:r>
        <w:rPr>
          <w:rFonts w:ascii="Arial" w:cs="Arial" w:eastAsia="Arial" w:hAnsi="Arial"/>
          <w:sz w:val="19"/>
          <w:szCs w:val="19"/>
          <w:i w:val="1"/>
          <w:iCs w:val="1"/>
          <w:color w:val="auto"/>
        </w:rPr>
        <w:t xml:space="preserve"> </w:t>
      </w:r>
      <w:r>
        <w:rPr>
          <w:rFonts w:ascii="Arial" w:cs="Arial" w:eastAsia="Arial" w:hAnsi="Arial"/>
          <w:sz w:val="19"/>
          <w:szCs w:val="19"/>
          <w:color w:val="auto"/>
        </w:rPr>
        <w:t>SSARs (as applicable) shall be calculated by multiplying, as applicable, the number of SSARs granted pursuant to this Agreement or the number of Earned SSARs, if the Committee determines that the Initial Hurdle and Performance Goal have been achieved, by a fraction, the numerator of which shall be the number of days that have elapsed between the Grant Date and the Termination Date and the denominator of which shall be 1096, and the remaining portion of such SSARs, if any, shall be forfeited.</w:t>
      </w:r>
    </w:p>
    <w:p>
      <w:pPr>
        <w:spacing w:after="0" w:line="191" w:lineRule="exact"/>
        <w:rPr>
          <w:rFonts w:ascii="Arial" w:cs="Arial" w:eastAsia="Arial" w:hAnsi="Arial"/>
          <w:sz w:val="19"/>
          <w:szCs w:val="19"/>
          <w:color w:val="auto"/>
        </w:rPr>
      </w:pPr>
    </w:p>
    <w:p>
      <w:pPr>
        <w:jc w:val="both"/>
        <w:ind w:firstLine="1305"/>
        <w:spacing w:after="0" w:line="243" w:lineRule="auto"/>
        <w:tabs>
          <w:tab w:leader="none" w:pos="1826"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provisions in the Employment Arrangements or any similar agreement between the Participant and the Company or any Subsidiary.</w:t>
      </w:r>
    </w:p>
    <w:p>
      <w:pPr>
        <w:spacing w:after="0" w:line="219" w:lineRule="exact"/>
        <w:rPr>
          <w:rFonts w:ascii="Arial" w:cs="Arial" w:eastAsia="Arial" w:hAnsi="Arial"/>
          <w:sz w:val="20"/>
          <w:szCs w:val="20"/>
          <w:color w:val="auto"/>
        </w:rPr>
      </w:pPr>
    </w:p>
    <w:p>
      <w:pPr>
        <w:jc w:val="both"/>
        <w:ind w:firstLine="656"/>
        <w:spacing w:after="0" w:line="269" w:lineRule="auto"/>
        <w:tabs>
          <w:tab w:leader="none" w:pos="1462"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SSARs or Earned SSARs (as applicable) and/or the Conversion Price are subject to adjustment by the Committee in the event of any increase or decrease in the number of issued shares of Common Stock resulting from a subdivision or consolidation of the Common Stock or the payment of a stock dividend on Common Stock, or any other increase or decrease in the number of shares of Common Stock effected without receipt or payment of consideration by the Company.</w:t>
      </w:r>
    </w:p>
    <w:p>
      <w:pPr>
        <w:spacing w:after="0" w:line="210" w:lineRule="exact"/>
        <w:rPr>
          <w:rFonts w:ascii="Arial" w:cs="Arial" w:eastAsia="Arial" w:hAnsi="Arial"/>
          <w:sz w:val="20"/>
          <w:szCs w:val="20"/>
          <w:color w:val="auto"/>
        </w:rPr>
      </w:pPr>
    </w:p>
    <w:p>
      <w:pPr>
        <w:jc w:val="both"/>
        <w:ind w:firstLine="656"/>
        <w:spacing w:after="0" w:line="267" w:lineRule="auto"/>
        <w:tabs>
          <w:tab w:leader="none" w:pos="1462"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Substitution of SSARs</w:t>
      </w:r>
      <w:r>
        <w:rPr>
          <w:rFonts w:ascii="Arial" w:cs="Arial" w:eastAsia="Arial" w:hAnsi="Arial"/>
          <w:sz w:val="20"/>
          <w:szCs w:val="20"/>
          <w:color w:val="auto"/>
        </w:rPr>
        <w:t>. The Committee shall have the authority to substitute, without receiving the Participant’s permission, options to purchase Common Stock for the SSARs or Earned SSARs (as applicable) in the event that the Committee</w:t>
      </w:r>
    </w:p>
    <w:p>
      <w:pPr>
        <w:spacing w:after="0" w:line="1" w:lineRule="exact"/>
        <w:rPr>
          <w:rFonts w:ascii="Arial" w:cs="Arial" w:eastAsia="Arial" w:hAnsi="Arial"/>
          <w:sz w:val="20"/>
          <w:szCs w:val="20"/>
          <w:color w:val="auto"/>
        </w:rPr>
      </w:pPr>
    </w:p>
    <w:p>
      <w:pPr>
        <w:jc w:val="both"/>
        <w:spacing w:after="0" w:line="267" w:lineRule="auto"/>
        <w:rPr>
          <w:rFonts w:ascii="Arial" w:cs="Arial" w:eastAsia="Arial" w:hAnsi="Arial"/>
          <w:sz w:val="20"/>
          <w:szCs w:val="20"/>
          <w:color w:val="auto"/>
        </w:rPr>
      </w:pPr>
      <w:r>
        <w:rPr>
          <w:rFonts w:ascii="Arial" w:cs="Arial" w:eastAsia="Arial" w:hAnsi="Arial"/>
          <w:sz w:val="20"/>
          <w:szCs w:val="20"/>
          <w:color w:val="auto"/>
        </w:rPr>
        <w:t xml:space="preserve">determines, in its sole discretion, that such substitution is necessary or desirable based on legal, tax and/or accounting requirements applicable to the Company or the Participant;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 the vesting and expiration terms of any such substituted option shall be the same as set forth in this Agreement, (ii) the exercise price of any such substituted option shall be equal to the Conversion Price (as may be adjusted in accordance with Section 4 hereof), and (iii) the exercisability and</w:t>
      </w:r>
    </w:p>
    <w:p>
      <w:pPr>
        <w:spacing w:after="0" w:line="2" w:lineRule="exact"/>
        <w:rPr>
          <w:rFonts w:ascii="Arial" w:cs="Arial" w:eastAsia="Arial" w:hAnsi="Arial"/>
          <w:sz w:val="20"/>
          <w:szCs w:val="20"/>
          <w:color w:val="auto"/>
        </w:rPr>
      </w:pPr>
    </w:p>
    <w:p>
      <w:pPr>
        <w:jc w:val="both"/>
        <w:spacing w:after="0" w:line="269" w:lineRule="auto"/>
        <w:rPr>
          <w:rFonts w:ascii="Arial" w:cs="Arial" w:eastAsia="Arial" w:hAnsi="Arial"/>
          <w:sz w:val="20"/>
          <w:szCs w:val="20"/>
          <w:color w:val="auto"/>
        </w:rPr>
      </w:pPr>
      <w:r>
        <w:rPr>
          <w:rFonts w:ascii="Arial" w:cs="Arial" w:eastAsia="Arial" w:hAnsi="Arial"/>
          <w:sz w:val="20"/>
          <w:szCs w:val="20"/>
          <w:color w:val="auto"/>
        </w:rPr>
        <w:t xml:space="preserve">transferability of any such substituted option shall be consistent with the Plan and this Agreement and in compliance with applicable law; and </w:t>
      </w:r>
      <w:r>
        <w:rPr>
          <w:rFonts w:ascii="Arial" w:cs="Arial" w:eastAsia="Arial" w:hAnsi="Arial"/>
          <w:sz w:val="20"/>
          <w:szCs w:val="20"/>
          <w:i w:val="1"/>
          <w:iCs w:val="1"/>
          <w:color w:val="auto"/>
        </w:rPr>
        <w:t>provided further, that</w:t>
      </w:r>
      <w:r>
        <w:rPr>
          <w:rFonts w:ascii="Arial" w:cs="Arial" w:eastAsia="Arial" w:hAnsi="Arial"/>
          <w:sz w:val="20"/>
          <w:szCs w:val="20"/>
          <w:color w:val="auto"/>
        </w:rPr>
        <w:t xml:space="preserve"> the Committee also shall have the ability to revert, without receiving the Participant’s permission, any unvested substituted options to purchase Common Stock back to equivalent SSARs or Earned SSARs (as applicable), in the event that the Committee determines, in its sole discretion, that such reversion is necessary or desirable based on legal, tax and/or accounting requirements applicable to the Company or the Participant.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379" w:right="239" w:bottom="1440" w:gutter="0" w:footer="0" w:header="0"/>
        </w:sectPr>
      </w:pPr>
    </w:p>
    <w:bookmarkStart w:id="121" w:name="page122"/>
    <w:bookmarkEnd w:id="121"/>
    <w:p>
      <w:pPr>
        <w:ind w:left="1460" w:hanging="804"/>
        <w:spacing w:after="0"/>
        <w:tabs>
          <w:tab w:leader="none" w:pos="146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Termination of SSARs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1305"/>
        <w:spacing w:after="0" w:line="247" w:lineRule="auto"/>
        <w:tabs>
          <w:tab w:leader="none" w:pos="1799" w:val="left"/>
        </w:tabs>
        <w:numPr>
          <w:ilvl w:val="1"/>
          <w:numId w:val="75"/>
        </w:numPr>
        <w:rPr>
          <w:rFonts w:ascii="Arial" w:cs="Arial" w:eastAsia="Arial" w:hAnsi="Arial"/>
          <w:sz w:val="20"/>
          <w:szCs w:val="20"/>
          <w:color w:val="auto"/>
        </w:rPr>
      </w:pPr>
      <w:r>
        <w:rPr>
          <w:rFonts w:ascii="Arial" w:cs="Arial" w:eastAsia="Arial" w:hAnsi="Arial"/>
          <w:sz w:val="20"/>
          <w:szCs w:val="20"/>
          <w:color w:val="auto"/>
        </w:rPr>
        <w:t>Any SSARs, Earned SSARs or Acquirer SSARs (as applicable) that have not previously been exercised or forfeited shall immediately terminate on the Expiration Date and be of no further force or effect.</w:t>
      </w:r>
    </w:p>
    <w:p>
      <w:pPr>
        <w:spacing w:after="0" w:line="201" w:lineRule="exact"/>
        <w:rPr>
          <w:rFonts w:ascii="Arial" w:cs="Arial" w:eastAsia="Arial" w:hAnsi="Arial"/>
          <w:sz w:val="20"/>
          <w:szCs w:val="20"/>
          <w:color w:val="auto"/>
        </w:rPr>
      </w:pPr>
    </w:p>
    <w:p>
      <w:pPr>
        <w:jc w:val="both"/>
        <w:ind w:firstLine="1305"/>
        <w:spacing w:after="0"/>
        <w:tabs>
          <w:tab w:leader="none" w:pos="1853"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or any Subsidiary is terminated by the Company or a Subsidiary for Cause or, if applicable, by the Participant without Good Reason, (i) the Participant immediately shall forfeit all rights to convert any SSARs, Earned SSARs or Acquirer SSARs (as applicable) (or exercise any substituted options), which have not vested prior to the Termination Date, and (ii) the Participant’s SSARs, Earned SSARs or Acquirer SSARs (as applicable) (and any substituted options) which vested prior to the Termination Date shall continue to be convertible into Common Stock (or exercisable if substituted options) until the earlier of: (x) three (3) months after the Termination Date, or (y) the Expiration Date. Any vested SSARs, Earned SSARs or Acquirer SSARs (as applicable) (or substituted options) that are not converted or exercised during the period set forth in the preceding sentence shall immediately terminate and be of no further force or effect as of the end of that period.</w:t>
      </w:r>
    </w:p>
    <w:p>
      <w:pPr>
        <w:spacing w:after="0" w:line="212" w:lineRule="exact"/>
        <w:rPr>
          <w:rFonts w:ascii="Arial" w:cs="Arial" w:eastAsia="Arial" w:hAnsi="Arial"/>
          <w:sz w:val="20"/>
          <w:szCs w:val="20"/>
          <w:color w:val="auto"/>
        </w:rPr>
      </w:pPr>
    </w:p>
    <w:p>
      <w:pPr>
        <w:jc w:val="both"/>
        <w:ind w:firstLine="1305"/>
        <w:spacing w:after="0"/>
        <w:tabs>
          <w:tab w:leader="none" w:pos="1788"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for any reason other than by the Company or a Subsidiary for Cause or, if applicable, by the Participant without Good Reason, the SSARs, Earned SSARs or Acquirer SSARs (as applicable) (or any substituted options), if any, that then are or subsequently become vested shall be convertible into Common Stock (or exercisable if substituted options) until the earlier of: (x) one (1) year after the Termination Date, or (y) the Expiration Date. Any vested SSARs, Earned SSARs or Acquirer SSARs (as applicable) (or substituted options) which are not converted or exercised during the period set forth in the preceding sentence automatically shall immediately terminate and be of no further force or effect as of the end of that period. Any vested SSARs, Earned SSARs or Acquirer SSARs (as applicable) (or substituted options) that are not converted or exercised during the period set forth in the preceding sentence automatically shall immediately terminate and be of no further force or effect as of the end of that period.</w:t>
      </w:r>
    </w:p>
    <w:p>
      <w:pPr>
        <w:spacing w:after="0" w:line="226" w:lineRule="exact"/>
        <w:rPr>
          <w:rFonts w:ascii="Arial" w:cs="Arial" w:eastAsia="Arial" w:hAnsi="Arial"/>
          <w:sz w:val="20"/>
          <w:szCs w:val="20"/>
          <w:color w:val="auto"/>
        </w:rPr>
      </w:pPr>
    </w:p>
    <w:p>
      <w:pPr>
        <w:jc w:val="both"/>
        <w:ind w:firstLine="656"/>
        <w:spacing w:after="0" w:line="288" w:lineRule="auto"/>
        <w:tabs>
          <w:tab w:leader="none" w:pos="146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Persons Eligible to Convert SSARs</w:t>
      </w:r>
      <w:r>
        <w:rPr>
          <w:rFonts w:ascii="Arial" w:cs="Arial" w:eastAsia="Arial" w:hAnsi="Arial"/>
          <w:sz w:val="19"/>
          <w:szCs w:val="19"/>
          <w:color w:val="auto"/>
        </w:rPr>
        <w:t>. The vested SSARs, Earned SSARs or Acquirer SSARs (as applicable) shall be convertible into Common Stock during the Participant’s lifetime by the Participant or upon the death of the Participant by a transferee to whom the vested SSARs, Earned SSARs or Acquirer SSARs (as applicable) or the right to convert the vested SSARs, Earned SSARs or Acquirer SSARs (as applicable) into Common Stock has been transferred pursuant to Section 8 below.</w:t>
      </w:r>
    </w:p>
    <w:p>
      <w:pPr>
        <w:spacing w:after="0" w:line="193" w:lineRule="exact"/>
        <w:rPr>
          <w:rFonts w:ascii="Arial" w:cs="Arial" w:eastAsia="Arial" w:hAnsi="Arial"/>
          <w:sz w:val="19"/>
          <w:szCs w:val="19"/>
          <w:color w:val="auto"/>
        </w:rPr>
      </w:pPr>
    </w:p>
    <w:p>
      <w:pPr>
        <w:jc w:val="both"/>
        <w:ind w:firstLine="656"/>
        <w:spacing w:after="0" w:line="268" w:lineRule="auto"/>
        <w:tabs>
          <w:tab w:leader="none" w:pos="1462"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The Participant may designate, by written notice to the Company’s Secretary, a beneficiary or beneficiaries to whom any vested but unconverted portion of the SSARs, Earned SSARs or Acquirer SSARs (as applicable) shall be transferred upon the death of the Participant. In the absence of such designation, such vested but unconverted portion will be transferred to the Participant’s estate. No such transfer of the vested SSARs, Earned SSARs or Acquirer SSARs (as applicable), or the right to convert the vested SSARs, Earned SSARs or Acquirer SSARs (as applicable)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213" w:lineRule="exact"/>
        <w:rPr>
          <w:rFonts w:ascii="Arial" w:cs="Arial" w:eastAsia="Arial" w:hAnsi="Arial"/>
          <w:sz w:val="20"/>
          <w:szCs w:val="20"/>
          <w:color w:val="auto"/>
        </w:rPr>
      </w:pPr>
    </w:p>
    <w:p>
      <w:pPr>
        <w:jc w:val="both"/>
        <w:ind w:firstLine="656"/>
        <w:spacing w:after="0" w:line="271" w:lineRule="auto"/>
        <w:tabs>
          <w:tab w:leader="none" w:pos="1462"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Conversion of SSARs</w:t>
      </w:r>
      <w:r>
        <w:rPr>
          <w:rFonts w:ascii="Arial" w:cs="Arial" w:eastAsia="Arial" w:hAnsi="Arial"/>
          <w:sz w:val="20"/>
          <w:szCs w:val="20"/>
          <w:color w:val="auto"/>
        </w:rPr>
        <w:t>. Subject to Section 21 hereof, the SSARs, Earned SSARs or Acquirer SSARs (as applicable) may be converted into shares of Common Stock, in whole or in part, by the person then entitled to do so as to any vested portion by giving written notice of conversion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93" w:right="239" w:bottom="1440" w:gutter="0" w:footer="0" w:header="0"/>
        </w:sectPr>
      </w:pPr>
    </w:p>
    <w:bookmarkStart w:id="122" w:name="page123"/>
    <w:bookmarkEnd w:id="122"/>
    <w:p>
      <w:pPr>
        <w:jc w:val="both"/>
        <w:spacing w:after="0" w:line="285" w:lineRule="auto"/>
        <w:rPr>
          <w:sz w:val="20"/>
          <w:szCs w:val="20"/>
          <w:color w:val="auto"/>
        </w:rPr>
      </w:pPr>
      <w:r>
        <w:rPr>
          <w:rFonts w:ascii="Arial" w:cs="Arial" w:eastAsia="Arial" w:hAnsi="Arial"/>
          <w:sz w:val="19"/>
          <w:szCs w:val="19"/>
          <w:color w:val="auto"/>
        </w:rPr>
        <w:t>the attention of the Company’s Secretary and specifying the number of full shares of Common Stock with respect to which the vested SSARs, Earned SSARs or Acquirer SSARs (as applicable) are being converted. No partial conversion of the vested SSARs, Earned SSARs or Acquirer SSARs (as applicable) may be for less than ten (10) shares or multiples thereof. No fractional shares of Common Stock shall be issued by the Company in connection with the conversion of the vested SSARs, Earned SSARs or Acquirer SSARs (as applicable). In lieu of issuing fractional shares, the Company shall pay the Participant cash in an amount equal to the Fair Market Value of any fractional shares that the Participant may be entitled to receive upon the conversion hereof.</w:t>
      </w:r>
    </w:p>
    <w:p>
      <w:pPr>
        <w:spacing w:after="0" w:line="199" w:lineRule="exact"/>
        <w:rPr>
          <w:sz w:val="20"/>
          <w:szCs w:val="20"/>
          <w:color w:val="auto"/>
        </w:rPr>
      </w:pPr>
    </w:p>
    <w:p>
      <w:pPr>
        <w:jc w:val="both"/>
        <w:ind w:firstLine="656"/>
        <w:spacing w:after="0" w:line="269"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 Rights of Stockholder</w:t>
      </w:r>
      <w:r>
        <w:rPr>
          <w:rFonts w:ascii="Arial" w:cs="Arial" w:eastAsia="Arial" w:hAnsi="Arial"/>
          <w:sz w:val="20"/>
          <w:szCs w:val="20"/>
          <w:color w:val="auto"/>
        </w:rPr>
        <w:t>. Neither the Participant (nor any beneficiary or transferee) shall be or have any of the rights or privileges of a stockholder of the Company in respect of any of the shares of Common Stock issuable upon the conversion of the vested SSARs, Earned SSARs or Acquirer SSARs (as applicable), unless and until the shares of Common Stock are issued to the Participant. Except as expressly provided in Section 4 above or in the Plan, no adjustment to the SSARs, Earned SSARs or Acquirer SSARs (as applicable) shall be made for dividends or other rights for which the record date occurs prior to the date the certificates representing such shares of Common Stock are issued.</w:t>
      </w:r>
    </w:p>
    <w:p>
      <w:pPr>
        <w:spacing w:after="0" w:line="209"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Employment Arrangement, the Participant’s employment with the Company and any Subsidiary is on an at-will basis only. Accordingly, subject to the terms of the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07" w:lineRule="exact"/>
        <w:rPr>
          <w:rFonts w:ascii="Arial" w:cs="Arial" w:eastAsia="Arial" w:hAnsi="Arial"/>
          <w:sz w:val="20"/>
          <w:szCs w:val="20"/>
          <w:color w:val="auto"/>
        </w:rPr>
      </w:pPr>
    </w:p>
    <w:p>
      <w:pPr>
        <w:ind w:firstLine="656"/>
        <w:spacing w:after="0" w:line="275"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Except as provided in Section 8 above or as otherwise permitted by the Plan, none of the SSARs, Earned SSARs or Acquirer SSARs (as applicable) may be transferred, directly or indirectly.</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656"/>
        <w:spacing w:after="0" w:line="275"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Maximum Term of SSARs</w:t>
      </w:r>
      <w:r>
        <w:rPr>
          <w:rFonts w:ascii="Arial" w:cs="Arial" w:eastAsia="Arial" w:hAnsi="Arial"/>
          <w:sz w:val="20"/>
          <w:szCs w:val="20"/>
          <w:color w:val="auto"/>
        </w:rPr>
        <w:t>. Notwithstanding any other provision of this Agreement, none of the SSARs, Earned SSARs or Acquirer SSARs (as applicable) are convertible into Common Stock after the Expiration Date.</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Subject to the limitation on the transferability of the SSARs, Earned SSARs or Acquirer SSARs (as applicable) contained herein, this Agreement shall be binding upon and inure to the benefit of the heirs, legatees, legal representatives, successors and assigns of the parties hereto.</w:t>
      </w:r>
    </w:p>
    <w:p>
      <w:pPr>
        <w:spacing w:after="0" w:line="206" w:lineRule="exact"/>
        <w:rPr>
          <w:rFonts w:ascii="Arial" w:cs="Arial" w:eastAsia="Arial" w:hAnsi="Arial"/>
          <w:sz w:val="20"/>
          <w:szCs w:val="20"/>
          <w:color w:val="auto"/>
        </w:rPr>
      </w:pPr>
    </w:p>
    <w:p>
      <w:pPr>
        <w:jc w:val="both"/>
        <w:ind w:right="20" w:firstLine="656"/>
        <w:spacing w:after="0" w:line="302" w:lineRule="auto"/>
        <w:tabs>
          <w:tab w:leader="none" w:pos="1572"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79" w:lineRule="exact"/>
        <w:rPr>
          <w:rFonts w:ascii="Arial" w:cs="Arial" w:eastAsia="Arial" w:hAnsi="Arial"/>
          <w:sz w:val="19"/>
          <w:szCs w:val="19"/>
          <w:color w:val="auto"/>
        </w:rPr>
      </w:pPr>
    </w:p>
    <w:p>
      <w:pPr>
        <w:jc w:val="both"/>
        <w:ind w:firstLine="656"/>
        <w:spacing w:after="0" w:line="270" w:lineRule="auto"/>
        <w:tabs>
          <w:tab w:leader="none" w:pos="1572"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93" w:right="239" w:bottom="1440" w:gutter="0" w:footer="0" w:header="0"/>
        </w:sectPr>
      </w:pPr>
    </w:p>
    <w:bookmarkStart w:id="123" w:name="page124"/>
    <w:bookmarkEnd w:id="123"/>
    <w:p>
      <w:pPr>
        <w:jc w:val="both"/>
        <w:spacing w:after="0" w:line="269" w:lineRule="auto"/>
        <w:rPr>
          <w:sz w:val="20"/>
          <w:szCs w:val="20"/>
          <w:color w:val="auto"/>
        </w:rPr>
      </w:pPr>
      <w:r>
        <w:rPr>
          <w:rFonts w:ascii="Arial" w:cs="Arial" w:eastAsia="Arial" w:hAnsi="Arial"/>
          <w:sz w:val="20"/>
          <w:szCs w:val="20"/>
          <w:color w:val="auto"/>
        </w:rPr>
        <w:t>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0" w:lineRule="exact"/>
        <w:rPr>
          <w:sz w:val="20"/>
          <w:szCs w:val="20"/>
          <w:color w:val="auto"/>
        </w:rPr>
      </w:pPr>
    </w:p>
    <w:p>
      <w:pPr>
        <w:jc w:val="both"/>
        <w:ind w:firstLine="656"/>
        <w:spacing w:after="0" w:line="269"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09" w:lineRule="exact"/>
        <w:rPr>
          <w:rFonts w:ascii="Arial" w:cs="Arial" w:eastAsia="Arial" w:hAnsi="Arial"/>
          <w:sz w:val="20"/>
          <w:szCs w:val="20"/>
          <w:color w:val="auto"/>
        </w:rPr>
      </w:pPr>
    </w:p>
    <w:p>
      <w:pPr>
        <w:ind w:right="20" w:firstLine="656"/>
        <w:spacing w:after="0" w:line="275"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2" w:lineRule="exact"/>
        <w:rPr>
          <w:rFonts w:ascii="Arial" w:cs="Arial" w:eastAsia="Arial" w:hAnsi="Arial"/>
          <w:sz w:val="20"/>
          <w:szCs w:val="20"/>
          <w:color w:val="auto"/>
        </w:rPr>
      </w:pPr>
    </w:p>
    <w:p>
      <w:pPr>
        <w:jc w:val="both"/>
        <w:ind w:firstLine="656"/>
        <w:spacing w:after="0" w:line="271"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656"/>
        <w:spacing w:after="0" w:line="268"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Taxes; Exercise Price</w:t>
      </w:r>
      <w:r>
        <w:rPr>
          <w:rFonts w:ascii="Arial" w:cs="Arial" w:eastAsia="Arial" w:hAnsi="Arial"/>
          <w:sz w:val="20"/>
          <w:szCs w:val="20"/>
          <w:color w:val="auto"/>
        </w:rPr>
        <w:t xml:space="preserve">. Prior to converting any vested SSARs, Earned SSARs or Acquirer SSARs (as applicable) or exercising any vested substituted options, the Participant shall pay to the Company an amount determined by the Company to be sufficient to satisfy any applicable federal, state, local and foreign withholding or other taxes and, in the case of substituted options, the applicable exercise price. The Company or Participant may, at his or her option, permit the Participant or other person converting the vested SSARs, Earned SSARs or Acquirer SSARs (as applicable) or exercising the vested options to satisfy his or her obligations by surrendering to the Company a portion of the shares of Common Stock that the Participant or such person would otherwise be entitled to receive upon such conversion or exercise;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elects to satisfy his or her obligations by surrendering a portion of such shares, such election shall be binding on the Company. Any acquisition of shares of Common Stock by the Company as contemplated hereby is expressly approved by the Committee as part of the approval of the SSARs. Until such time as the Participant has satisfied the requirements of this Section 21, the Company shall have no obligation to effect a conversion of SSARs, Earned SSARs or Acquirer SSARs (as applicable) or exercise of substituted options hereunder.</w:t>
      </w:r>
    </w:p>
    <w:p>
      <w:pPr>
        <w:spacing w:after="0" w:line="213"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of Common Stock under the 1933 Act. The Participant acknowledges receipt of the Prospectus prepared by the Company in connection with the Registration Statement. Prior to conversion of the vested SSARs or Earned SSARs (as applicable) into shares of Common Stock, or exercise of any substituted option, the Participant shall execute and deliver to the Company such representations in writing as may be requested by the Company in order for it to comply with the applicable requirements of federal and state securities law.</w:t>
      </w:r>
    </w:p>
    <w:p>
      <w:pPr>
        <w:spacing w:after="0" w:line="207"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and the Plan constitute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92" w:right="239" w:bottom="1440" w:gutter="0" w:footer="0" w:header="0"/>
        </w:sectPr>
      </w:pPr>
    </w:p>
    <w:bookmarkStart w:id="124" w:name="page125"/>
    <w:bookmarkEnd w:id="124"/>
    <w:p>
      <w:pPr>
        <w:jc w:val="both"/>
        <w:spacing w:after="0" w:line="269" w:lineRule="auto"/>
        <w:rPr>
          <w:sz w:val="20"/>
          <w:szCs w:val="20"/>
          <w:color w:val="auto"/>
        </w:rPr>
      </w:pPr>
      <w:r>
        <w:rPr>
          <w:rFonts w:ascii="Arial" w:cs="Arial" w:eastAsia="Arial" w:hAnsi="Arial"/>
          <w:sz w:val="20"/>
          <w:szCs w:val="20"/>
          <w:color w:val="auto"/>
        </w:rPr>
        <w:t>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the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0" w:lineRule="exact"/>
        <w:rPr>
          <w:sz w:val="20"/>
          <w:szCs w:val="20"/>
          <w:color w:val="auto"/>
        </w:rPr>
      </w:pPr>
    </w:p>
    <w:p>
      <w:pPr>
        <w:ind w:left="1580" w:hanging="924"/>
        <w:spacing w:after="0"/>
        <w:tabs>
          <w:tab w:leader="none" w:pos="158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Section 409A</w:t>
      </w:r>
    </w:p>
    <w:p>
      <w:pPr>
        <w:spacing w:after="0" w:line="229" w:lineRule="exact"/>
        <w:rPr>
          <w:rFonts w:ascii="Arial" w:cs="Arial" w:eastAsia="Arial" w:hAnsi="Arial"/>
          <w:sz w:val="20"/>
          <w:szCs w:val="20"/>
          <w:color w:val="auto"/>
        </w:rPr>
      </w:pPr>
    </w:p>
    <w:p>
      <w:pPr>
        <w:jc w:val="both"/>
        <w:ind w:firstLine="1305"/>
        <w:spacing w:after="0"/>
        <w:tabs>
          <w:tab w:leader="none" w:pos="1759" w:val="left"/>
        </w:tabs>
        <w:numPr>
          <w:ilvl w:val="1"/>
          <w:numId w:val="78"/>
        </w:numPr>
        <w:rPr>
          <w:rFonts w:ascii="Arial" w:cs="Arial" w:eastAsia="Arial" w:hAnsi="Arial"/>
          <w:sz w:val="20"/>
          <w:szCs w:val="20"/>
          <w:color w:val="auto"/>
        </w:rPr>
      </w:pPr>
      <w:r>
        <w:rPr>
          <w:rFonts w:ascii="Arial" w:cs="Arial" w:eastAsia="Arial" w:hAnsi="Arial"/>
          <w:sz w:val="20"/>
          <w:szCs w:val="20"/>
          <w:color w:val="auto"/>
        </w:rPr>
        <w:t>It is intended that the SSARs (including, for all purposes of this Section 24, the Earned SSARs and Acquirer SSARs) awarded pursuant to this Agreement be exempt from Section 409A of the Code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because it is believed that (i) the compensation payable under each SSAR cannot be greater than the excess of the Fair Market Value of a share of Common Stock on the date the SSAR is exercised over the Conversion Price specified on the Grant Date, (ii) except as would not adversely affect the ability of the SSARs to be exempt from Section 409A, the Conversion Price for each SSAR can never be less than the Fair Market Value of a share of Common Stock on the Grant Date, and (iii) each SSAR does not include any feature for the deferral of compensation other than the deferral of recognition of income until the exercise of the SSAR. The provisions of this Agreement shall be interpreted in a manner consistent with this intention, and the provisions of this Agreement may not be amended, adjusted, assumed or substituted for, converted or otherwise modified without the Participant’s prior written consent if and to the extent that the Company believes that such amendment, adjustment, assumption or substitution, conversion or modification would cause the award to violate the requirements of Section 409A. In the event that either the Company or the Participant believes, at any time, that any benefit or right under this Agreement is subject to Section 409A, and does not comply with the requirements of Section 409A, it shall promptly advise the other and the Company and the Participant shall negotiate reasonably and in good faith to amend the terms of such benefits and rights, if such an amendment may be made in a commercially reasonable manner, such that they comply with Section 409A with the most limited possible economic affect on the Participant and on the Company.</w:t>
      </w:r>
    </w:p>
    <w:p>
      <w:pPr>
        <w:spacing w:after="0" w:line="209" w:lineRule="exact"/>
        <w:rPr>
          <w:rFonts w:ascii="Arial" w:cs="Arial" w:eastAsia="Arial" w:hAnsi="Arial"/>
          <w:sz w:val="20"/>
          <w:szCs w:val="20"/>
          <w:color w:val="auto"/>
        </w:rPr>
      </w:pPr>
    </w:p>
    <w:p>
      <w:pPr>
        <w:jc w:val="both"/>
        <w:ind w:firstLine="1305"/>
        <w:spacing w:after="0"/>
        <w:tabs>
          <w:tab w:leader="none" w:pos="1813" w:val="left"/>
        </w:tabs>
        <w:numPr>
          <w:ilvl w:val="1"/>
          <w:numId w:val="78"/>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the SSARs awarded pursuant to this Agreement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26"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half (50%) of the shares of Common Stock acquired by Participant hereunder (net of the number of shares of Common Stock which would need to be sold to satisfy any applicable taxes owed upon conversion), for a period of three (3) years after issuance of such shares of Common Stock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Common Stock acquired by the Participant hereunder.</w:t>
      </w:r>
    </w:p>
    <w:p>
      <w:pPr>
        <w:spacing w:after="0" w:line="207" w:lineRule="exact"/>
        <w:rPr>
          <w:rFonts w:ascii="Arial" w:cs="Arial" w:eastAsia="Arial" w:hAnsi="Arial"/>
          <w:sz w:val="20"/>
          <w:szCs w:val="20"/>
          <w:color w:val="auto"/>
        </w:rPr>
      </w:pPr>
    </w:p>
    <w:p>
      <w:pPr>
        <w:jc w:val="both"/>
        <w:ind w:firstLine="656"/>
        <w:spacing w:after="0" w:line="269" w:lineRule="auto"/>
        <w:tabs>
          <w:tab w:leader="none" w:pos="157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 Notwithstanding the foregoing, such policy shall not apply following a Change of Control to any Common Stock acquired by the Participant hereunder.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92" w:right="2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9019"/>
          </w:cols>
          <w:pgMar w:left="1440" w:top="589"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589"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ectPr>
          <w:pgSz w:w="11900" w:h="16838" w:orient="portrait"/>
          <w:cols w:equalWidth="0" w:num="1">
            <w:col w:w="9559"/>
          </w:cols>
          <w:pgMar w:left="900" w:top="571" w:right="1440" w:bottom="1440" w:gutter="0" w:footer="0" w:header="0"/>
        </w:sectPr>
      </w:pPr>
    </w:p>
    <w:p>
      <w:pPr>
        <w:spacing w:after="0" w:line="227" w:lineRule="exact"/>
        <w:rPr>
          <w:sz w:val="20"/>
          <w:szCs w:val="20"/>
          <w:color w:val="auto"/>
        </w:rPr>
      </w:pPr>
    </w:p>
    <w:p>
      <w:pPr>
        <w:ind w:left="1860"/>
        <w:spacing w:after="0"/>
        <w:rPr>
          <w:sz w:val="20"/>
          <w:szCs w:val="20"/>
          <w:color w:val="auto"/>
        </w:rPr>
      </w:pPr>
      <w:r>
        <w:rPr>
          <w:rFonts w:ascii="Arial" w:cs="Arial" w:eastAsia="Arial" w:hAnsi="Arial"/>
          <w:sz w:val="20"/>
          <w:szCs w:val="20"/>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-22860</wp:posOffset>
            </wp:positionV>
            <wp:extent cx="9779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Ira M. Birns</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Executive Vice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6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-22860</wp:posOffset>
            </wp:positionV>
            <wp:extent cx="838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J. Kasbar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559"/>
          </w:cols>
          <w:pgMar w:left="900" w:top="571" w:right="1440"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Initial Hurdle and Performance Goal</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Company’s consolidated gross profit for the 2017 fiscal year must be equal to or greater than 75% of the Company’s consolidated gross profit for the 2016 fiscal year (the “</w:t>
      </w:r>
      <w:r>
        <w:rPr>
          <w:rFonts w:ascii="Arial" w:cs="Arial" w:eastAsia="Arial" w:hAnsi="Arial"/>
          <w:sz w:val="20"/>
          <w:szCs w:val="20"/>
          <w:b w:val="1"/>
          <w:bCs w:val="1"/>
          <w:i w:val="1"/>
          <w:iCs w:val="1"/>
          <w:color w:val="auto"/>
        </w:rPr>
        <w:t>Initial Hurdle</w:t>
      </w:r>
      <w:r>
        <w:rPr>
          <w:rFonts w:ascii="Arial" w:cs="Arial" w:eastAsia="Arial" w:hAnsi="Arial"/>
          <w:sz w:val="20"/>
          <w:szCs w:val="20"/>
          <w:color w:val="auto"/>
        </w:rPr>
        <w:t>”).</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Once the Initial Hurdle is satisfied, and subject to the terms and conditions set forth in this Agreement (of which this Schedule constitutes a part), the Committee will determine whether the SSARs will convert to Earned SSARs based on the achievement of the Performance Goal during the Measurement Period.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Measurement Period is the one-year period that begins on January 1, 2017 and ends on December 31, 2017.</w:t>
      </w:r>
    </w:p>
    <w:p>
      <w:pPr>
        <w:spacing w:after="0" w:line="20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Whether SSARs shall become Earned SSARs shall be determined based on whether the Company’s earnings per share (“</w:t>
      </w:r>
      <w:r>
        <w:rPr>
          <w:rFonts w:ascii="Arial" w:cs="Arial" w:eastAsia="Arial" w:hAnsi="Arial"/>
          <w:sz w:val="20"/>
          <w:szCs w:val="20"/>
          <w:b w:val="1"/>
          <w:bCs w:val="1"/>
          <w:i w:val="1"/>
          <w:iCs w:val="1"/>
          <w:color w:val="auto"/>
        </w:rPr>
        <w:t>EPS</w:t>
      </w:r>
      <w:r>
        <w:rPr>
          <w:rFonts w:ascii="Arial" w:cs="Arial" w:eastAsia="Arial" w:hAnsi="Arial"/>
          <w:sz w:val="20"/>
          <w:szCs w:val="20"/>
          <w:color w:val="auto"/>
        </w:rPr>
        <w:t>”) equals or is greater than $2.46 based on cumulative EPS at the end of the one-year Measurement Period (the “</w:t>
      </w:r>
      <w:r>
        <w:rPr>
          <w:rFonts w:ascii="Arial" w:cs="Arial" w:eastAsia="Arial" w:hAnsi="Arial"/>
          <w:sz w:val="20"/>
          <w:szCs w:val="20"/>
          <w:b w:val="1"/>
          <w:bCs w:val="1"/>
          <w:i w:val="1"/>
          <w:iCs w:val="1"/>
          <w:color w:val="auto"/>
        </w:rPr>
        <w:t>Performance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Goal</w:t>
      </w:r>
      <w:r>
        <w:rPr>
          <w:rFonts w:ascii="Arial" w:cs="Arial" w:eastAsia="Arial" w:hAnsi="Arial"/>
          <w:sz w:val="20"/>
          <w:szCs w:val="20"/>
          <w:color w:val="auto"/>
        </w:rPr>
        <w:t>”), calculated in accordance with generally accepted accounting principles with such adjustments as may be determined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Committee.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0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color w:val="auto"/>
        </w:rPr>
        <w:t>Exhibit 10.14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1"/>
          <w:szCs w:val="11"/>
          <w:b w:val="1"/>
          <w:bCs w:val="1"/>
          <w:color w:val="FFFFFF"/>
        </w:rPr>
        <w:t>Nobel Paul RSU 03 15 10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AGREEMENT</w:t>
      </w:r>
    </w:p>
    <w:p>
      <w:pPr>
        <w:spacing w:after="0" w:line="266" w:lineRule="exact"/>
        <w:rPr>
          <w:sz w:val="20"/>
          <w:szCs w:val="20"/>
          <w:color w:val="auto"/>
        </w:rPr>
      </w:pPr>
    </w:p>
    <w:p>
      <w:pPr>
        <w:jc w:val="both"/>
        <w:ind w:firstLine="1305"/>
        <w:spacing w:after="0" w:line="281" w:lineRule="auto"/>
        <w:tabs>
          <w:tab w:leader="none" w:pos="2161" w:val="left"/>
        </w:tabs>
        <w:numPr>
          <w:ilvl w:val="0"/>
          <w:numId w:val="79"/>
        </w:numPr>
        <w:rPr>
          <w:rFonts w:ascii="Arial" w:cs="Arial" w:eastAsia="Arial" w:hAnsi="Arial"/>
          <w:sz w:val="22"/>
          <w:szCs w:val="22"/>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the Board of Directors of World Fuel Services Corporation, a Florida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awarded to </w:t>
      </w:r>
      <w:r>
        <w:rPr>
          <w:rFonts w:ascii="Arial" w:cs="Arial" w:eastAsia="Arial" w:hAnsi="Arial"/>
          <w:sz w:val="18"/>
          <w:szCs w:val="18"/>
          <w:i w:val="1"/>
          <w:iCs w:val="1"/>
          <w:color w:val="auto"/>
        </w:rPr>
        <w:t>Michael J. Kasbar</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effective as of ___________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__________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corresponding to the same number of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w:t>
      </w:r>
    </w:p>
    <w:p>
      <w:pPr>
        <w:spacing w:after="0" w:line="2" w:lineRule="exact"/>
        <w:rPr>
          <w:rFonts w:ascii="Arial" w:cs="Arial" w:eastAsia="Arial" w:hAnsi="Arial"/>
          <w:sz w:val="22"/>
          <w:szCs w:val="22"/>
          <w:color w:val="auto"/>
        </w:rPr>
      </w:pPr>
    </w:p>
    <w:p>
      <w:pPr>
        <w:jc w:val="both"/>
        <w:spacing w:after="0" w:line="302" w:lineRule="auto"/>
        <w:rPr>
          <w:rFonts w:ascii="Arial" w:cs="Arial" w:eastAsia="Arial" w:hAnsi="Arial"/>
          <w:sz w:val="22"/>
          <w:szCs w:val="22"/>
          <w:color w:val="auto"/>
        </w:rPr>
      </w:pPr>
      <w:r>
        <w:rPr>
          <w:rFonts w:ascii="Arial" w:cs="Arial" w:eastAsia="Arial" w:hAnsi="Arial"/>
          <w:sz w:val="18"/>
          <w:szCs w:val="18"/>
          <w:color w:val="auto"/>
        </w:rPr>
        <w:t>common stock, par value US$0.01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The RSUs have been granted under the Company’s 2006 Omnibus Plan, as amended and restated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 Notwithstanding any provision of the Employment Agreement (as defined in Section 2(a) below), the provisions of this Agreement relating to the vesting and settlement of the RSUs in connection with expiration of the Employment Agreement, the Participant’s termination of employment or a Change of Control shall be governed by the relevant terms of this Agreement, and such terms of this Agreement shall supersede the applicable terms of the Employment Agreement.</w:t>
      </w:r>
    </w:p>
    <w:p>
      <w:pPr>
        <w:spacing w:after="0" w:line="220" w:lineRule="exact"/>
        <w:rPr>
          <w:rFonts w:ascii="Arial" w:cs="Arial" w:eastAsia="Arial" w:hAnsi="Arial"/>
          <w:sz w:val="22"/>
          <w:szCs w:val="22"/>
          <w:color w:val="auto"/>
        </w:rPr>
      </w:pPr>
    </w:p>
    <w:p>
      <w:pPr>
        <w:jc w:val="both"/>
        <w:ind w:firstLine="1305"/>
        <w:spacing w:after="0" w:line="284" w:lineRule="auto"/>
        <w:tabs>
          <w:tab w:leader="none" w:pos="1774" w:val="left"/>
        </w:tabs>
        <w:numPr>
          <w:ilvl w:val="0"/>
          <w:numId w:val="79"/>
        </w:numPr>
        <w:rPr>
          <w:rFonts w:ascii="Arial" w:cs="Arial" w:eastAsia="Arial" w:hAnsi="Arial"/>
          <w:sz w:val="22"/>
          <w:szCs w:val="22"/>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and phrases used in this Agreement shall have the meaning set forth below. Capitalized terms used herein and not defined in this Agreement, shall have the meaning set forth in the Plan. Notwithstanding the foregoing, except as otherwise required by Section 409A (as defined below), the terms “Cause”, “Disability”, “Good Reason” and “Change of Control”, as used herein, shall have the meanings assigned to such terms under the Employment Agreement and shall, in each case, be interpreted in the same manner and within the same meaning as under the Employment Agreement.</w:t>
      </w:r>
    </w:p>
    <w:p>
      <w:pPr>
        <w:spacing w:after="0" w:line="212" w:lineRule="exact"/>
        <w:rPr>
          <w:sz w:val="20"/>
          <w:szCs w:val="20"/>
          <w:color w:val="auto"/>
        </w:rPr>
      </w:pPr>
    </w:p>
    <w:p>
      <w:pPr>
        <w:ind w:firstLine="1305"/>
        <w:spacing w:after="0" w:line="281" w:lineRule="auto"/>
        <w:tabs>
          <w:tab w:leader="none" w:pos="1919"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the employment agreement, dated March 14, 2008, as amended, by and between the Company and the Participant.</w:t>
      </w:r>
    </w:p>
    <w:p>
      <w:pPr>
        <w:spacing w:after="0" w:line="190" w:lineRule="exact"/>
        <w:rPr>
          <w:rFonts w:ascii="Arial" w:cs="Arial" w:eastAsia="Arial" w:hAnsi="Arial"/>
          <w:sz w:val="22"/>
          <w:szCs w:val="22"/>
          <w:color w:val="auto"/>
        </w:rPr>
      </w:pPr>
    </w:p>
    <w:p>
      <w:pPr>
        <w:ind w:left="1800" w:hanging="495"/>
        <w:spacing w:after="0"/>
        <w:tabs>
          <w:tab w:leader="none" w:pos="1800"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Code and the Treasury Regulations thereunder.</w:t>
      </w:r>
    </w:p>
    <w:p>
      <w:pPr>
        <w:spacing w:after="0" w:line="247" w:lineRule="exact"/>
        <w:rPr>
          <w:rFonts w:ascii="Arial" w:cs="Arial" w:eastAsia="Arial" w:hAnsi="Arial"/>
          <w:sz w:val="22"/>
          <w:szCs w:val="22"/>
          <w:color w:val="auto"/>
        </w:rPr>
      </w:pPr>
    </w:p>
    <w:p>
      <w:pPr>
        <w:ind w:firstLine="1305"/>
        <w:spacing w:after="0" w:line="281" w:lineRule="auto"/>
        <w:tabs>
          <w:tab w:leader="none" w:pos="1784"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CIC</w:t>
      </w:r>
      <w:r>
        <w:rPr>
          <w:rFonts w:ascii="Arial" w:cs="Arial" w:eastAsia="Arial" w:hAnsi="Arial"/>
          <w:sz w:val="18"/>
          <w:szCs w:val="18"/>
          <w:color w:val="auto"/>
        </w:rPr>
        <w:t>” means a Change of Control that satisfies the requirements of Section 409A(a)(2)(A)(v) of the Code and the Treasury Regulations thereunder.</w:t>
      </w:r>
    </w:p>
    <w:p>
      <w:pPr>
        <w:spacing w:after="0" w:line="190" w:lineRule="exact"/>
        <w:rPr>
          <w:rFonts w:ascii="Arial" w:cs="Arial" w:eastAsia="Arial" w:hAnsi="Arial"/>
          <w:sz w:val="22"/>
          <w:szCs w:val="22"/>
          <w:color w:val="auto"/>
        </w:rPr>
      </w:pPr>
    </w:p>
    <w:p>
      <w:pPr>
        <w:ind w:left="1800" w:hanging="495"/>
        <w:spacing w:after="0"/>
        <w:tabs>
          <w:tab w:leader="none" w:pos="1800"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Disability</w:t>
      </w:r>
      <w:r>
        <w:rPr>
          <w:rFonts w:ascii="Arial" w:cs="Arial" w:eastAsia="Arial" w:hAnsi="Arial"/>
          <w:sz w:val="18"/>
          <w:szCs w:val="18"/>
          <w:color w:val="auto"/>
        </w:rPr>
        <w:t>” means a “disability” within the meaning of Section 409A.</w:t>
      </w:r>
    </w:p>
    <w:p>
      <w:pPr>
        <w:spacing w:after="0" w:line="247" w:lineRule="exact"/>
        <w:rPr>
          <w:rFonts w:ascii="Arial" w:cs="Arial" w:eastAsia="Arial" w:hAnsi="Arial"/>
          <w:sz w:val="22"/>
          <w:szCs w:val="22"/>
          <w:color w:val="auto"/>
        </w:rPr>
      </w:pPr>
    </w:p>
    <w:p>
      <w:pPr>
        <w:ind w:firstLine="1305"/>
        <w:spacing w:after="0" w:line="281" w:lineRule="auto"/>
        <w:tabs>
          <w:tab w:leader="none" w:pos="1770"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termination of employment with the Company and its Subsidiaries that constitutes a “separation from service” within the meaning of Section 409A.</w:t>
      </w:r>
    </w:p>
    <w:p>
      <w:pPr>
        <w:spacing w:after="0" w:line="190" w:lineRule="exact"/>
        <w:rPr>
          <w:rFonts w:ascii="Arial" w:cs="Arial" w:eastAsia="Arial" w:hAnsi="Arial"/>
          <w:sz w:val="22"/>
          <w:szCs w:val="22"/>
          <w:color w:val="auto"/>
        </w:rPr>
      </w:pPr>
    </w:p>
    <w:p>
      <w:pPr>
        <w:ind w:left="1940" w:hanging="635"/>
        <w:spacing w:after="0"/>
        <w:tabs>
          <w:tab w:leader="none" w:pos="1940" w:val="left"/>
        </w:tabs>
        <w:numPr>
          <w:ilvl w:val="0"/>
          <w:numId w:val="80"/>
        </w:numPr>
        <w:rPr>
          <w:rFonts w:ascii="Arial" w:cs="Arial" w:eastAsia="Arial" w:hAnsi="Arial"/>
          <w:sz w:val="22"/>
          <w:szCs w:val="22"/>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on which the Participant is no longer an employee of the Company or any</w:t>
      </w:r>
    </w:p>
    <w:p>
      <w:pPr>
        <w:spacing w:after="0" w:line="3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Subsidiary.</w:t>
      </w:r>
    </w:p>
    <w:p>
      <w:pPr>
        <w:spacing w:after="0" w:line="263" w:lineRule="exact"/>
        <w:rPr>
          <w:sz w:val="20"/>
          <w:szCs w:val="20"/>
          <w:color w:val="auto"/>
        </w:rPr>
      </w:pPr>
    </w:p>
    <w:p>
      <w:pPr>
        <w:jc w:val="both"/>
        <w:ind w:firstLine="1305"/>
        <w:spacing w:after="0" w:line="289" w:lineRule="auto"/>
        <w:tabs>
          <w:tab w:leader="none" w:pos="1841" w:val="left"/>
        </w:tabs>
        <w:numPr>
          <w:ilvl w:val="0"/>
          <w:numId w:val="81"/>
        </w:numPr>
        <w:rPr>
          <w:rFonts w:ascii="Arial" w:cs="Arial" w:eastAsia="Arial" w:hAnsi="Arial"/>
          <w:sz w:val="22"/>
          <w:szCs w:val="22"/>
          <w:color w:val="auto"/>
        </w:rPr>
      </w:pPr>
      <w:r>
        <w:rPr>
          <w:rFonts w:ascii="Arial" w:cs="Arial" w:eastAsia="Arial" w:hAnsi="Arial"/>
          <w:sz w:val="18"/>
          <w:szCs w:val="18"/>
          <w:u w:val="single" w:color="auto"/>
          <w:color w:val="auto"/>
        </w:rPr>
        <w:t>Vesting and Forfeiture of Shares</w:t>
      </w:r>
      <w:r>
        <w:rPr>
          <w:rFonts w:ascii="Arial" w:cs="Arial" w:eastAsia="Arial" w:hAnsi="Arial"/>
          <w:sz w:val="18"/>
          <w:szCs w:val="18"/>
          <w:color w:val="auto"/>
        </w:rPr>
        <w:t xml:space="preserve">. </w:t>
      </w:r>
      <w:r>
        <w:rPr>
          <w:rFonts w:ascii="Arial" w:cs="Arial" w:eastAsia="Arial" w:hAnsi="Arial"/>
          <w:sz w:val="19"/>
          <w:szCs w:val="19"/>
          <w:color w:val="auto"/>
        </w:rPr>
        <w:t>(%2)</w:t>
      </w:r>
      <w:r>
        <w:rPr>
          <w:rFonts w:ascii="Arial" w:cs="Arial" w:eastAsia="Arial" w:hAnsi="Arial"/>
          <w:sz w:val="18"/>
          <w:szCs w:val="18"/>
          <w:color w:val="auto"/>
        </w:rPr>
        <w:t>Subject to the provisions of this Section 3, if the Participant is continuously employed by the Company or any Subsidiary from the Grant Date through and until the dates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set forth in the vesting schedule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then the RSUs shall become vested as set forth in the Vesting Schedule on the applicable Vesting Date. Except as otherwise provided in this Section 3, there shall be no proportionate or partial vesting of the RSUs prior to the applicable Vesting Date.</w:t>
      </w:r>
    </w:p>
    <w:p>
      <w:pPr>
        <w:spacing w:after="0" w:line="191" w:lineRule="exact"/>
        <w:rPr>
          <w:sz w:val="20"/>
          <w:szCs w:val="20"/>
          <w:color w:val="auto"/>
        </w:rPr>
      </w:pPr>
    </w:p>
    <w:p>
      <w:pPr>
        <w:ind w:left="1780" w:hanging="475"/>
        <w:spacing w:after="0"/>
        <w:tabs>
          <w:tab w:leader="none" w:pos="1780" w:val="left"/>
        </w:tabs>
        <w:numPr>
          <w:ilvl w:val="0"/>
          <w:numId w:val="82"/>
        </w:numPr>
        <w:rPr>
          <w:rFonts w:ascii="Arial" w:cs="Arial" w:eastAsia="Arial" w:hAnsi="Arial"/>
          <w:sz w:val="22"/>
          <w:szCs w:val="22"/>
          <w:color w:val="auto"/>
        </w:rPr>
      </w:pPr>
      <w:r>
        <w:rPr>
          <w:rFonts w:ascii="Arial" w:cs="Arial" w:eastAsia="Arial" w:hAnsi="Arial"/>
          <w:sz w:val="18"/>
          <w:szCs w:val="18"/>
          <w:color w:val="auto"/>
        </w:rPr>
        <w:t>The vesting of the RSUs shall be accelerated if and to the extent provided in this Section 3(b):</w:t>
      </w:r>
    </w:p>
    <w:p>
      <w:pPr>
        <w:sectPr>
          <w:pgSz w:w="11900" w:h="16838" w:orient="portrait"/>
          <w:cols w:equalWidth="0" w:num="1">
            <w:col w:w="11420"/>
          </w:cols>
          <w:pgMar w:left="240" w:top="29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1293"/>
        <w:spacing w:after="0" w:line="276" w:lineRule="auto"/>
        <w:tabs>
          <w:tab w:leader="none" w:pos="1761" w:val="left"/>
        </w:tabs>
        <w:numPr>
          <w:ilvl w:val="0"/>
          <w:numId w:val="83"/>
        </w:numPr>
        <w:rPr>
          <w:rFonts w:ascii="Arial" w:cs="Arial" w:eastAsia="Arial" w:hAnsi="Arial"/>
          <w:sz w:val="22"/>
          <w:szCs w:val="22"/>
          <w:color w:val="auto"/>
        </w:rPr>
      </w:pPr>
      <w:r>
        <w:rPr>
          <w:rFonts w:ascii="Arial" w:cs="Arial" w:eastAsia="Arial" w:hAnsi="Arial"/>
          <w:sz w:val="20"/>
          <w:szCs w:val="20"/>
          <w:color w:val="auto"/>
        </w:rPr>
        <w:t>(%3)</w:t>
      </w:r>
      <w:r>
        <w:rPr>
          <w:rFonts w:ascii="Arial" w:cs="Arial" w:eastAsia="Arial" w:hAnsi="Arial"/>
          <w:sz w:val="18"/>
          <w:szCs w:val="18"/>
          <w:color w:val="auto"/>
        </w:rPr>
        <w:t>Except as otherwise determined by the Committee as set forth in Section 3(b)(i)(B) hereof, the RSUs shall</w:t>
      </w:r>
      <w:r>
        <w:rPr>
          <w:rFonts w:ascii="Arial" w:cs="Arial" w:eastAsia="Arial" w:hAnsi="Arial"/>
          <w:sz w:val="20"/>
          <w:szCs w:val="20"/>
          <w:color w:val="auto"/>
        </w:rPr>
        <w:t xml:space="preserve"> </w:t>
      </w:r>
      <w:r>
        <w:rPr>
          <w:rFonts w:ascii="Arial" w:cs="Arial" w:eastAsia="Arial" w:hAnsi="Arial"/>
          <w:sz w:val="18"/>
          <w:szCs w:val="18"/>
          <w:color w:val="auto"/>
        </w:rPr>
        <w:t>become fully vested and nonforfeitable in the event that a Change of Control occurs while the Participant is employed by the Company or any Subsidiary. The vested RSUs shall be converted, as of the effective date of the Change of Control, into a fully vested fixed cash amount equal to the product of (x) fair market value (as determined by the Committee in its discretion) of the per Share consideration</w:t>
      </w:r>
    </w:p>
    <w:p>
      <w:pPr>
        <w:spacing w:after="0" w:line="11" w:lineRule="exact"/>
        <w:rPr>
          <w:rFonts w:ascii="Arial" w:cs="Arial" w:eastAsia="Arial" w:hAnsi="Arial"/>
          <w:sz w:val="22"/>
          <w:szCs w:val="22"/>
          <w:color w:val="auto"/>
        </w:rPr>
      </w:pPr>
    </w:p>
    <w:p>
      <w:pPr>
        <w:jc w:val="both"/>
        <w:spacing w:after="0" w:line="300" w:lineRule="auto"/>
        <w:rPr>
          <w:rFonts w:ascii="Arial" w:cs="Arial" w:eastAsia="Arial" w:hAnsi="Arial"/>
          <w:sz w:val="22"/>
          <w:szCs w:val="22"/>
          <w:color w:val="auto"/>
        </w:rPr>
      </w:pPr>
      <w:r>
        <w:rPr>
          <w:rFonts w:ascii="Arial" w:cs="Arial" w:eastAsia="Arial" w:hAnsi="Arial"/>
          <w:sz w:val="18"/>
          <w:szCs w:val="18"/>
          <w:color w:val="auto"/>
        </w:rPr>
        <w:t>received by holders of Shares in the transaction constituting the Change of Control and (y) the number of Shares subject to the RSUs (the “</w:t>
      </w:r>
      <w:r>
        <w:rPr>
          <w:rFonts w:ascii="Arial" w:cs="Arial" w:eastAsia="Arial" w:hAnsi="Arial"/>
          <w:sz w:val="18"/>
          <w:szCs w:val="18"/>
          <w:b w:val="1"/>
          <w:bCs w:val="1"/>
          <w:i w:val="1"/>
          <w:iCs w:val="1"/>
          <w:color w:val="auto"/>
        </w:rPr>
        <w:t>CIC Cash-Out Amount</w:t>
      </w:r>
      <w:r>
        <w:rPr>
          <w:rFonts w:ascii="Arial" w:cs="Arial" w:eastAsia="Arial" w:hAnsi="Arial"/>
          <w:sz w:val="18"/>
          <w:szCs w:val="18"/>
          <w:color w:val="auto"/>
        </w:rPr>
        <w:t>”). The CIC Cash-Out Amount shall be credited with interest at the 10-year U.S. Treasury Securities rate or, if greater as of the effective date of the Change of Control, the prime rate as published in the Wall Street Journal, during the period commencing upon consummation of the Change of Control and ending on the date that the CIC Cash-Out Amount is paid to the Participant in accordance with Section 5(b)(i) hereof.</w:t>
      </w:r>
    </w:p>
    <w:p>
      <w:pPr>
        <w:spacing w:after="0" w:line="219" w:lineRule="exact"/>
        <w:rPr>
          <w:sz w:val="20"/>
          <w:szCs w:val="20"/>
          <w:color w:val="auto"/>
        </w:rPr>
      </w:pPr>
    </w:p>
    <w:p>
      <w:pPr>
        <w:jc w:val="both"/>
        <w:ind w:left="640" w:firstLine="653"/>
        <w:spacing w:after="0" w:line="293" w:lineRule="auto"/>
        <w:tabs>
          <w:tab w:leader="none" w:pos="1836" w:val="left"/>
        </w:tabs>
        <w:numPr>
          <w:ilvl w:val="0"/>
          <w:numId w:val="84"/>
        </w:numPr>
        <w:rPr>
          <w:rFonts w:ascii="Arial" w:cs="Arial" w:eastAsia="Arial" w:hAnsi="Arial"/>
          <w:sz w:val="22"/>
          <w:szCs w:val="22"/>
          <w:color w:val="auto"/>
        </w:rPr>
      </w:pPr>
      <w:r>
        <w:rPr>
          <w:rFonts w:ascii="Arial" w:cs="Arial" w:eastAsia="Arial" w:hAnsi="Arial"/>
          <w:sz w:val="18"/>
          <w:szCs w:val="18"/>
          <w:color w:val="auto"/>
        </w:rPr>
        <w:t xml:space="preserve">Notwithstanding Section 3(b)(i)(A) hereof, if in the event of a Change of Control the Committee determines that the successor company shall assume or substitute the RSUs as of the date of the Change of Control, then the vesting of the RSUs that are assumed or substituted shall not be so accelerated as a result of such Change of Control. For this purpose, the RSUs shall be considered assumed or substituted only if (1) the RSUs that are assumed or substituted vest at the times that such RSUs would vest pursuant to this Agreement, (2) the economic terms of the RSUs that are assumed or substituted are substantially comparable to the economic terms of the RSUs prior to the Change of Control and (3) immediately following the Change of Control, the RSUs confer the right to receive for each unvested 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transaction constituting a Change of Control is not solely common stock of the successor company or its parent or subsidiary, the Committee may provide that the consideration to be received upon the vesting of any RSU will be solely common stock of the successor company or its parent or subsidiary substantially equal in fair market value (on a per share basis) to the per share consideration received by holders of Shares in the transaction constituting a Change of Control. The determinations of (1) whether the RSUs shall be assumed or substituted in accordance with this Section 3(b)(i)(B) or shall convert into the CIC Cash-Out Amount in accordance with Section 3(b)(i)(A) hereof and (2) in the event that this Section 3(b)(i)(B) is applicable, such substantial equality of value of consideration shall be made by the Committee in its sole discretion and such determinations shall be conclusive and binding. The award resulting from the</w:t>
      </w:r>
    </w:p>
    <w:p>
      <w:pPr>
        <w:spacing w:after="0" w:line="14" w:lineRule="exact"/>
        <w:rPr>
          <w:rFonts w:ascii="Arial" w:cs="Arial" w:eastAsia="Arial" w:hAnsi="Arial"/>
          <w:sz w:val="22"/>
          <w:szCs w:val="22"/>
          <w:color w:val="auto"/>
        </w:rPr>
      </w:pPr>
    </w:p>
    <w:p>
      <w:pPr>
        <w:ind w:left="640"/>
        <w:spacing w:after="0" w:line="309" w:lineRule="auto"/>
        <w:rPr>
          <w:rFonts w:ascii="Arial" w:cs="Arial" w:eastAsia="Arial" w:hAnsi="Arial"/>
          <w:sz w:val="22"/>
          <w:szCs w:val="22"/>
          <w:color w:val="auto"/>
        </w:rPr>
      </w:pPr>
      <w:r>
        <w:rPr>
          <w:rFonts w:ascii="Arial" w:cs="Arial" w:eastAsia="Arial" w:hAnsi="Arial"/>
          <w:sz w:val="18"/>
          <w:szCs w:val="18"/>
          <w:color w:val="auto"/>
        </w:rPr>
        <w:t>assumption or substitution of the RSUs by the successor company shall continue to vest after the Change of Control transaction in accordance with the Vesting Schedule, and shall be referred to hereafter as the “</w:t>
      </w:r>
      <w:r>
        <w:rPr>
          <w:rFonts w:ascii="Arial" w:cs="Arial" w:eastAsia="Arial" w:hAnsi="Arial"/>
          <w:sz w:val="18"/>
          <w:szCs w:val="18"/>
          <w:b w:val="1"/>
          <w:bCs w:val="1"/>
          <w:i w:val="1"/>
          <w:iCs w:val="1"/>
          <w:color w:val="auto"/>
        </w:rPr>
        <w:t>Acquirer RSUs</w:t>
      </w:r>
      <w:r>
        <w:rPr>
          <w:rFonts w:ascii="Arial" w:cs="Arial" w:eastAsia="Arial" w:hAnsi="Arial"/>
          <w:sz w:val="18"/>
          <w:szCs w:val="18"/>
          <w:color w:val="auto"/>
        </w:rPr>
        <w:t>”.</w:t>
      </w:r>
    </w:p>
    <w:p>
      <w:pPr>
        <w:spacing w:after="0" w:line="210" w:lineRule="exact"/>
        <w:rPr>
          <w:sz w:val="20"/>
          <w:szCs w:val="20"/>
          <w:color w:val="auto"/>
        </w:rPr>
      </w:pPr>
    </w:p>
    <w:p>
      <w:pPr>
        <w:jc w:val="both"/>
        <w:ind w:firstLine="1293"/>
        <w:spacing w:after="0" w:line="280" w:lineRule="auto"/>
        <w:tabs>
          <w:tab w:leader="none" w:pos="1835" w:val="left"/>
        </w:tabs>
        <w:numPr>
          <w:ilvl w:val="0"/>
          <w:numId w:val="85"/>
        </w:numPr>
        <w:rPr>
          <w:rFonts w:ascii="Arial" w:cs="Arial" w:eastAsia="Arial" w:hAnsi="Arial"/>
          <w:sz w:val="22"/>
          <w:szCs w:val="22"/>
          <w:color w:val="auto"/>
        </w:rPr>
      </w:pPr>
      <w:r>
        <w:rPr>
          <w:rFonts w:ascii="Arial" w:cs="Arial" w:eastAsia="Arial" w:hAnsi="Arial"/>
          <w:sz w:val="18"/>
          <w:szCs w:val="18"/>
          <w:color w:val="auto"/>
        </w:rPr>
        <w:t>In the event that the Participant’s employment with the Company and its Subsidiaries is terminated prior to the Vesting Date due to the Participant’s death or Disability, the Participant shall immediately become fully vested upon the Termination Date in all outstanding RSUs (or, if applicable, Acquirer RSUs) to the extent unvested as of the Termination Date. The Participant shall not forfeit any CIC Cash-Out Amount as a result of any such termination.</w:t>
      </w:r>
    </w:p>
    <w:p>
      <w:pPr>
        <w:spacing w:after="0" w:line="200" w:lineRule="exact"/>
        <w:rPr>
          <w:rFonts w:ascii="Arial" w:cs="Arial" w:eastAsia="Arial" w:hAnsi="Arial"/>
          <w:sz w:val="22"/>
          <w:szCs w:val="22"/>
          <w:color w:val="auto"/>
        </w:rPr>
      </w:pPr>
    </w:p>
    <w:p>
      <w:pPr>
        <w:ind w:left="1880" w:hanging="587"/>
        <w:spacing w:after="0"/>
        <w:tabs>
          <w:tab w:leader="none" w:pos="1880" w:val="left"/>
        </w:tabs>
        <w:numPr>
          <w:ilvl w:val="0"/>
          <w:numId w:val="85"/>
        </w:numPr>
        <w:rPr>
          <w:rFonts w:ascii="Arial" w:cs="Arial" w:eastAsia="Arial" w:hAnsi="Arial"/>
          <w:sz w:val="22"/>
          <w:szCs w:val="22"/>
          <w:color w:val="auto"/>
        </w:rPr>
      </w:pPr>
      <w:r>
        <w:rPr>
          <w:rFonts w:ascii="Arial" w:cs="Arial" w:eastAsia="Arial" w:hAnsi="Arial"/>
          <w:sz w:val="18"/>
          <w:szCs w:val="18"/>
          <w:color w:val="auto"/>
        </w:rPr>
        <w:t>In the event that (A) the Participant’s employment with the Company and its Subsidiaries is terminated prior to</w:t>
      </w:r>
    </w:p>
    <w:p>
      <w:pPr>
        <w:spacing w:after="0" w:line="39" w:lineRule="exact"/>
        <w:rPr>
          <w:rFonts w:ascii="Arial" w:cs="Arial" w:eastAsia="Arial" w:hAnsi="Arial"/>
          <w:sz w:val="22"/>
          <w:szCs w:val="22"/>
          <w:color w:val="auto"/>
        </w:rPr>
      </w:pPr>
    </w:p>
    <w:p>
      <w:pPr>
        <w:jc w:val="both"/>
        <w:spacing w:after="0" w:line="297" w:lineRule="auto"/>
        <w:rPr>
          <w:rFonts w:ascii="Arial" w:cs="Arial" w:eastAsia="Arial" w:hAnsi="Arial"/>
          <w:sz w:val="22"/>
          <w:szCs w:val="22"/>
          <w:color w:val="auto"/>
        </w:rPr>
      </w:pPr>
      <w:r>
        <w:rPr>
          <w:rFonts w:ascii="Arial" w:cs="Arial" w:eastAsia="Arial" w:hAnsi="Arial"/>
          <w:sz w:val="18"/>
          <w:szCs w:val="18"/>
          <w:color w:val="auto"/>
        </w:rPr>
        <w:t>the Vesting Date by (1) the Company and its Subsidiaries without Cause or (2) the Participant for Good Reason or (B) the term of the Employment Agreement expires (each event described in clauses (A) and (B), a “</w:t>
      </w:r>
      <w:r>
        <w:rPr>
          <w:rFonts w:ascii="Arial" w:cs="Arial" w:eastAsia="Arial" w:hAnsi="Arial"/>
          <w:sz w:val="18"/>
          <w:szCs w:val="18"/>
          <w:b w:val="1"/>
          <w:bCs w:val="1"/>
          <w:i w:val="1"/>
          <w:iCs w:val="1"/>
          <w:color w:val="auto"/>
        </w:rPr>
        <w:t>Specified Event</w:t>
      </w:r>
      <w:r>
        <w:rPr>
          <w:rFonts w:ascii="Arial" w:cs="Arial" w:eastAsia="Arial" w:hAnsi="Arial"/>
          <w:sz w:val="18"/>
          <w:szCs w:val="18"/>
          <w:color w:val="auto"/>
        </w:rPr>
        <w:t>”), the Participant shall be eligible to</w:t>
      </w:r>
    </w:p>
    <w:p>
      <w:pPr>
        <w:jc w:val="both"/>
        <w:ind w:right="20"/>
        <w:spacing w:after="0" w:line="303" w:lineRule="auto"/>
        <w:rPr>
          <w:rFonts w:ascii="Arial" w:cs="Arial" w:eastAsia="Arial" w:hAnsi="Arial"/>
          <w:sz w:val="22"/>
          <w:szCs w:val="22"/>
          <w:color w:val="auto"/>
        </w:rPr>
      </w:pPr>
      <w:r>
        <w:rPr>
          <w:rFonts w:ascii="Arial" w:cs="Arial" w:eastAsia="Arial" w:hAnsi="Arial"/>
          <w:sz w:val="18"/>
          <w:szCs w:val="18"/>
          <w:color w:val="auto"/>
        </w:rPr>
        <w:t>continue vesting, in accordance with the Vesting Schedule, in the RSUs (or, if the applicable, Acquirer RSUs) outstanding on the Termination Date (the “</w:t>
      </w:r>
      <w:r>
        <w:rPr>
          <w:rFonts w:ascii="Arial" w:cs="Arial" w:eastAsia="Arial" w:hAnsi="Arial"/>
          <w:sz w:val="18"/>
          <w:szCs w:val="18"/>
          <w:b w:val="1"/>
          <w:bCs w:val="1"/>
          <w:i w:val="1"/>
          <w:iCs w:val="1"/>
          <w:color w:val="auto"/>
        </w:rPr>
        <w:t>Specified RSUs</w:t>
      </w:r>
      <w:r>
        <w:rPr>
          <w:rFonts w:ascii="Arial" w:cs="Arial" w:eastAsia="Arial" w:hAnsi="Arial"/>
          <w:sz w:val="18"/>
          <w:szCs w:val="18"/>
          <w:color w:val="auto"/>
        </w:rPr>
        <w:t>”). The Specified RSUs will vest on the earlier of (a) the applicable Vesting Date immediately following the Specified Event</w:t>
      </w:r>
    </w:p>
    <w:p>
      <w:pPr>
        <w:sectPr>
          <w:pgSz w:w="11900" w:h="16838" w:orient="portrait"/>
          <w:cols w:equalWidth="0" w:num="1">
            <w:col w:w="10760"/>
          </w:cols>
          <w:pgMar w:left="900" w:top="14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660"/>
        <w:spacing w:after="0" w:line="251" w:lineRule="auto"/>
        <w:rPr>
          <w:sz w:val="20"/>
          <w:szCs w:val="20"/>
          <w:color w:val="auto"/>
        </w:rPr>
      </w:pPr>
      <w:r>
        <w:rPr>
          <w:rFonts w:ascii="Arial" w:cs="Arial" w:eastAsia="Arial" w:hAnsi="Arial"/>
          <w:sz w:val="18"/>
          <w:szCs w:val="18"/>
          <w:color w:val="auto"/>
        </w:rPr>
        <w:t>and (b) the second anniversary of the Termination Date (the period from the Termination Date until the second anniversary thereof,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as otherwise set forth in Section 6(f) of the Employment Agreement (relating to the applicability of the noncompetition covenant following a Change of Control) such vesting shall not occur and the Specified RSUs shall (to the extent unvested) be forfeited in the event that the Participant (x) engages in conduct during the Restricted Period that constitutes a breach of the Participant’s obligations under Sections 6 (Covenant Against Unfair Competition), 8 (Non-Disparagement) and 9 (Cooperation), other than an insubstantial and inadvertent failure not occurring in bad faith and which is remedied by the Participant within five (5) days after receipt thereof given by the Company or (y) a failure to comply with the Participant’s obligations under clause (ii) of Section 5.7 of the Employment Agreement (relating to the Participant’s obligation to provide consulting services to the Company after Termination Date);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any Specified RSUs (or, if applicable, Acquirer RSUs), that are not vested on the last day of the Restricted Period shall vest on such date. The Participant shall not forfeit any CIC Cash-Out Amount as a result of any such termination. </w:t>
      </w:r>
      <w:r>
        <w:rPr>
          <w:rFonts w:ascii="Arial" w:cs="Arial" w:eastAsia="Arial" w:hAnsi="Arial"/>
          <w:sz w:val="18"/>
          <w:szCs w:val="18"/>
          <w:b w:val="1"/>
          <w:bCs w:val="1"/>
          <w:color w:val="auto"/>
        </w:rPr>
        <w:t>Nothing in this Section 3 or this Agreement shall be deemed to limit or modify the non-competition,</w:t>
      </w: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confidentiality or non-solicitation restrictions that the Participant is already subject to, which restrictions shall continue to be separately enforceable in accordance with their terms.</w:t>
      </w:r>
    </w:p>
    <w:p>
      <w:pPr>
        <w:spacing w:after="0" w:line="252" w:lineRule="exact"/>
        <w:rPr>
          <w:sz w:val="20"/>
          <w:szCs w:val="20"/>
          <w:color w:val="auto"/>
        </w:rPr>
      </w:pPr>
    </w:p>
    <w:p>
      <w:pPr>
        <w:jc w:val="both"/>
        <w:ind w:firstLine="1305"/>
        <w:spacing w:after="0" w:line="287" w:lineRule="auto"/>
        <w:tabs>
          <w:tab w:leader="none" w:pos="1783" w:val="left"/>
        </w:tabs>
        <w:numPr>
          <w:ilvl w:val="0"/>
          <w:numId w:val="86"/>
        </w:numPr>
        <w:rPr>
          <w:rFonts w:ascii="Arial" w:cs="Arial" w:eastAsia="Arial" w:hAnsi="Arial"/>
          <w:sz w:val="22"/>
          <w:szCs w:val="22"/>
          <w:color w:val="auto"/>
        </w:rPr>
      </w:pPr>
      <w:r>
        <w:rPr>
          <w:rFonts w:ascii="Arial" w:cs="Arial" w:eastAsia="Arial" w:hAnsi="Arial"/>
          <w:sz w:val="18"/>
          <w:szCs w:val="18"/>
          <w:color w:val="auto"/>
        </w:rPr>
        <w:t>In the event that the Participant’s employment with the Company and its Subsidiaries is terminated prior to the applicable Vesting Date for any reason other than the Participant’s death or Disability or pursuant to or following a Specified Event, then the Participant shall immediately forfeit all of the unvested RSUs (and, if applicable, all unvested Acquirer RSUs) on the Termination Date. Termination of employment with the Company to accept immediate re-employment with a Subsidiary, or vice-versa, or termination of employment with a Subsidiary to accept immediate re-employment with a different Subsidiary, shall not be deemed termination of employment for purposes of this Section 3. The Participant shall not forfeit any CIC Cash-Out Amount as a result of any such terminations.</w:t>
      </w:r>
    </w:p>
    <w:p>
      <w:pPr>
        <w:spacing w:after="0" w:line="229" w:lineRule="exact"/>
        <w:rPr>
          <w:sz w:val="20"/>
          <w:szCs w:val="20"/>
          <w:color w:val="auto"/>
        </w:rPr>
      </w:pPr>
    </w:p>
    <w:p>
      <w:pPr>
        <w:jc w:val="both"/>
        <w:ind w:firstLine="1305"/>
        <w:spacing w:after="0" w:line="280" w:lineRule="auto"/>
        <w:tabs>
          <w:tab w:leader="none" w:pos="1693" w:val="left"/>
        </w:tabs>
        <w:numPr>
          <w:ilvl w:val="0"/>
          <w:numId w:val="87"/>
        </w:numPr>
        <w:rPr>
          <w:rFonts w:ascii="Arial" w:cs="Arial" w:eastAsia="Arial" w:hAnsi="Arial"/>
          <w:sz w:val="22"/>
          <w:szCs w:val="22"/>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The number of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0" w:lineRule="exact"/>
        <w:rPr>
          <w:rFonts w:ascii="Arial" w:cs="Arial" w:eastAsia="Arial" w:hAnsi="Arial"/>
          <w:sz w:val="22"/>
          <w:szCs w:val="22"/>
          <w:color w:val="auto"/>
        </w:rPr>
      </w:pPr>
    </w:p>
    <w:p>
      <w:pPr>
        <w:ind w:left="1700" w:hanging="395"/>
        <w:spacing w:after="0"/>
        <w:tabs>
          <w:tab w:leader="none" w:pos="1700" w:val="left"/>
        </w:tabs>
        <w:numPr>
          <w:ilvl w:val="0"/>
          <w:numId w:val="87"/>
        </w:numPr>
        <w:rPr>
          <w:rFonts w:ascii="Arial" w:cs="Arial" w:eastAsia="Arial" w:hAnsi="Arial"/>
          <w:sz w:val="22"/>
          <w:szCs w:val="22"/>
          <w:color w:val="auto"/>
        </w:rPr>
      </w:pPr>
      <w:r>
        <w:rPr>
          <w:rFonts w:ascii="Arial" w:cs="Arial" w:eastAsia="Arial" w:hAnsi="Arial"/>
          <w:sz w:val="18"/>
          <w:szCs w:val="18"/>
          <w:u w:val="single" w:color="auto"/>
          <w:color w:val="auto"/>
        </w:rPr>
        <w:t>Settlement of Awards</w:t>
      </w:r>
      <w:r>
        <w:rPr>
          <w:rFonts w:ascii="Arial" w:cs="Arial" w:eastAsia="Arial" w:hAnsi="Arial"/>
          <w:sz w:val="18"/>
          <w:szCs w:val="18"/>
          <w:color w:val="auto"/>
        </w:rPr>
        <w:t>.</w:t>
      </w:r>
    </w:p>
    <w:p>
      <w:pPr>
        <w:spacing w:after="0" w:line="269" w:lineRule="exact"/>
        <w:rPr>
          <w:sz w:val="20"/>
          <w:szCs w:val="20"/>
          <w:color w:val="auto"/>
        </w:rPr>
      </w:pPr>
    </w:p>
    <w:p>
      <w:pPr>
        <w:jc w:val="both"/>
        <w:ind w:firstLine="1305"/>
        <w:spacing w:after="0" w:line="307" w:lineRule="auto"/>
        <w:tabs>
          <w:tab w:leader="none" w:pos="1878" w:val="left"/>
        </w:tabs>
        <w:numPr>
          <w:ilvl w:val="0"/>
          <w:numId w:val="88"/>
        </w:numPr>
        <w:rPr>
          <w:rFonts w:ascii="Arial" w:cs="Arial" w:eastAsia="Arial" w:hAnsi="Arial"/>
          <w:sz w:val="21"/>
          <w:szCs w:val="21"/>
          <w:color w:val="auto"/>
        </w:rPr>
      </w:pPr>
      <w:r>
        <w:rPr>
          <w:rFonts w:ascii="Arial" w:cs="Arial" w:eastAsia="Arial" w:hAnsi="Arial"/>
          <w:sz w:val="17"/>
          <w:szCs w:val="17"/>
          <w:u w:val="single" w:color="auto"/>
          <w:color w:val="auto"/>
        </w:rPr>
        <w:t>Pre-Change of Control</w:t>
      </w:r>
      <w:r>
        <w:rPr>
          <w:rFonts w:ascii="Arial" w:cs="Arial" w:eastAsia="Arial" w:hAnsi="Arial"/>
          <w:sz w:val="17"/>
          <w:szCs w:val="17"/>
          <w:color w:val="auto"/>
        </w:rPr>
        <w:t xml:space="preserve">. The Company shall deliver the Shares corresponding to the vested RSUs to the Participant within 30 days following the applicable Vesting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in the event of (i) Participant’s termination of employment due to death or Disability that constitutes a Section 409A Disability, the Company shall deliver the Shares with respect to all RSUs outstanding on the Termination Date within 30 days following the Termination Date or (ii) a Participant’s termination of employment due to a Disability that does not constitute a Section 409A Disability (but that constitutes a Separation from Service), or pursuant to a Separation from Service that constitutes or follows a Specified Event, the Company shall deliver the Shares with respect to the RSUs outstanding on the Termination Date (to the extent such RSUs become vested) within 30 days following the earlier of (x) the applicable Vesting Date and (y) the last day of the Restricted Period.</w:t>
      </w:r>
    </w:p>
    <w:p>
      <w:pPr>
        <w:spacing w:after="0" w:line="216" w:lineRule="exact"/>
        <w:rPr>
          <w:rFonts w:ascii="Arial" w:cs="Arial" w:eastAsia="Arial" w:hAnsi="Arial"/>
          <w:sz w:val="21"/>
          <w:szCs w:val="21"/>
          <w:color w:val="auto"/>
        </w:rPr>
      </w:pPr>
    </w:p>
    <w:p>
      <w:pPr>
        <w:ind w:right="20" w:firstLine="1305"/>
        <w:spacing w:after="0" w:line="255" w:lineRule="auto"/>
        <w:tabs>
          <w:tab w:leader="none" w:pos="2053" w:val="left"/>
        </w:tabs>
        <w:numPr>
          <w:ilvl w:val="0"/>
          <w:numId w:val="88"/>
        </w:numPr>
        <w:rPr>
          <w:rFonts w:ascii="Arial" w:cs="Arial" w:eastAsia="Arial" w:hAnsi="Arial"/>
          <w:sz w:val="22"/>
          <w:szCs w:val="22"/>
          <w:color w:val="auto"/>
        </w:rPr>
      </w:pPr>
      <w:r>
        <w:rPr>
          <w:rFonts w:ascii="Arial" w:cs="Arial" w:eastAsia="Arial" w:hAnsi="Arial"/>
          <w:sz w:val="18"/>
          <w:szCs w:val="18"/>
          <w:u w:val="single" w:color="auto"/>
          <w:color w:val="auto"/>
        </w:rPr>
        <w:t>Post-Change of Control</w:t>
      </w:r>
      <w:r>
        <w:rPr>
          <w:rFonts w:ascii="Arial" w:cs="Arial" w:eastAsia="Arial" w:hAnsi="Arial"/>
          <w:sz w:val="18"/>
          <w:szCs w:val="18"/>
          <w:color w:val="auto"/>
        </w:rPr>
        <w:t>. The Company shall not deliver to the Participant the Shares or other consideration corresponding to the RSUs upon the occurrence of a Change of Control. Instead, settlement after a Change of Control shall occur as follows:</w:t>
      </w:r>
    </w:p>
    <w:p>
      <w:pPr>
        <w:spacing w:after="0" w:line="254" w:lineRule="exact"/>
        <w:rPr>
          <w:rFonts w:ascii="Arial" w:cs="Arial" w:eastAsia="Arial" w:hAnsi="Arial"/>
          <w:sz w:val="22"/>
          <w:szCs w:val="22"/>
          <w:color w:val="auto"/>
        </w:rPr>
      </w:pPr>
    </w:p>
    <w:p>
      <w:pPr>
        <w:jc w:val="both"/>
        <w:ind w:left="660" w:firstLine="1293"/>
        <w:spacing w:after="0" w:line="272" w:lineRule="auto"/>
        <w:tabs>
          <w:tab w:leader="none" w:pos="2408" w:val="left"/>
        </w:tabs>
        <w:numPr>
          <w:ilvl w:val="1"/>
          <w:numId w:val="88"/>
        </w:numPr>
        <w:rPr>
          <w:rFonts w:ascii="Arial" w:cs="Arial" w:eastAsia="Arial" w:hAnsi="Arial"/>
          <w:sz w:val="22"/>
          <w:szCs w:val="22"/>
          <w:color w:val="auto"/>
        </w:rPr>
      </w:pPr>
      <w:r>
        <w:rPr>
          <w:rFonts w:ascii="Arial" w:cs="Arial" w:eastAsia="Arial" w:hAnsi="Arial"/>
          <w:sz w:val="18"/>
          <w:szCs w:val="18"/>
          <w:color w:val="auto"/>
        </w:rPr>
        <w:t xml:space="preserve">The Company shall deliver to the Participant the CIC Cash-Out Amount (plus interest credited thereon) within 30 days following the Vesting Date applicable to the RSUs to which the CIC Cash-Out Amount relates,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the Participant’s termination of employment due to death or a Section 409A Disability or the Participant’s Separation from Service</w:t>
      </w:r>
    </w:p>
    <w:p>
      <w:pPr>
        <w:sectPr>
          <w:pgSz w:w="11900" w:h="16838" w:orient="portrait"/>
          <w:cols w:equalWidth="0" w:num="1">
            <w:col w:w="11420"/>
          </w:cols>
          <w:pgMar w:left="240" w:top="14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any reason, in each case, prior to the applicable Vesting Date, the CIC Cash-Out Amount will be paid as follows:</w:t>
      </w:r>
    </w:p>
    <w:p>
      <w:pPr>
        <w:spacing w:after="0" w:line="266" w:lineRule="exact"/>
        <w:rPr>
          <w:sz w:val="20"/>
          <w:szCs w:val="20"/>
          <w:color w:val="auto"/>
        </w:rPr>
      </w:pPr>
    </w:p>
    <w:p>
      <w:pPr>
        <w:jc w:val="both"/>
        <w:ind w:left="1300" w:firstLine="653"/>
        <w:spacing w:after="0" w:line="284" w:lineRule="auto"/>
        <w:tabs>
          <w:tab w:leader="none" w:pos="2590" w:val="left"/>
        </w:tabs>
        <w:numPr>
          <w:ilvl w:val="0"/>
          <w:numId w:val="89"/>
        </w:numPr>
        <w:rPr>
          <w:rFonts w:ascii="Arial" w:cs="Arial" w:eastAsia="Arial" w:hAnsi="Arial"/>
          <w:sz w:val="22"/>
          <w:szCs w:val="22"/>
          <w:color w:val="auto"/>
        </w:rPr>
      </w:pPr>
      <w:r>
        <w:rPr>
          <w:rFonts w:ascii="Arial" w:cs="Arial" w:eastAsia="Arial" w:hAnsi="Arial"/>
          <w:sz w:val="18"/>
          <w:szCs w:val="18"/>
          <w:color w:val="auto"/>
        </w:rPr>
        <w:t>In the event that the Participant’s employment terminates (1) due to the Participant’s death, (2) due to the Participant’s Disability that constitutes a Section 409A Disability or (3) during the two-year period following a Change of Control that constitutes a Section 409A CIC, due to the Participant’s Separation from Service for any reason, the Company shall pay the entire unpaid portion of the CIC Cash-Out Amount (plus interest credited thereon), within 30 days following the Termination Date; or</w:t>
      </w:r>
    </w:p>
    <w:p>
      <w:pPr>
        <w:spacing w:after="0" w:line="233" w:lineRule="exact"/>
        <w:rPr>
          <w:rFonts w:ascii="Arial" w:cs="Arial" w:eastAsia="Arial" w:hAnsi="Arial"/>
          <w:sz w:val="22"/>
          <w:szCs w:val="22"/>
          <w:color w:val="auto"/>
        </w:rPr>
      </w:pPr>
    </w:p>
    <w:p>
      <w:pPr>
        <w:jc w:val="both"/>
        <w:ind w:left="1300" w:firstLine="653"/>
        <w:spacing w:after="0" w:line="285" w:lineRule="auto"/>
        <w:tabs>
          <w:tab w:leader="none" w:pos="2470" w:val="left"/>
        </w:tabs>
        <w:numPr>
          <w:ilvl w:val="0"/>
          <w:numId w:val="89"/>
        </w:numPr>
        <w:rPr>
          <w:rFonts w:ascii="Arial" w:cs="Arial" w:eastAsia="Arial" w:hAnsi="Arial"/>
          <w:sz w:val="22"/>
          <w:szCs w:val="22"/>
          <w:color w:val="auto"/>
        </w:rPr>
      </w:pPr>
      <w:r>
        <w:rPr>
          <w:rFonts w:ascii="Arial" w:cs="Arial" w:eastAsia="Arial" w:hAnsi="Arial"/>
          <w:sz w:val="18"/>
          <w:szCs w:val="18"/>
          <w:color w:val="auto"/>
        </w:rPr>
        <w:t>In the event that the Participant experiences a Separation from Service for any reason (1) following a Change of Control that does not constitute a Section 409A CIC or (2) at any time following the second anniversary of a Section 409A CIC</w:t>
      </w:r>
      <w:r>
        <w:rPr>
          <w:rFonts w:ascii="Arial" w:cs="Arial" w:eastAsia="Arial" w:hAnsi="Arial"/>
          <w:sz w:val="14"/>
          <w:szCs w:val="14"/>
          <w:color w:val="auto"/>
        </w:rPr>
        <w:t>,</w:t>
      </w:r>
      <w:r>
        <w:rPr>
          <w:rFonts w:ascii="Arial" w:cs="Arial" w:eastAsia="Arial" w:hAnsi="Arial"/>
          <w:sz w:val="18"/>
          <w:szCs w:val="18"/>
          <w:color w:val="auto"/>
        </w:rPr>
        <w:t xml:space="preserve"> the Company shall pay the entire unpaid portion of the CIC Cash-Out Amount (plus interest credited thereon) within 30 days following the earlier of (x) the applicable Vesting Date and (y) the last day of the Restricted Period.</w:t>
      </w:r>
    </w:p>
    <w:p>
      <w:pPr>
        <w:spacing w:after="0" w:line="232" w:lineRule="exact"/>
        <w:rPr>
          <w:sz w:val="20"/>
          <w:szCs w:val="20"/>
          <w:color w:val="auto"/>
        </w:rPr>
      </w:pPr>
    </w:p>
    <w:p>
      <w:pPr>
        <w:jc w:val="both"/>
        <w:ind w:left="660" w:firstLine="1293"/>
        <w:spacing w:after="0" w:line="280" w:lineRule="auto"/>
        <w:tabs>
          <w:tab w:leader="none" w:pos="2603" w:val="left"/>
        </w:tabs>
        <w:numPr>
          <w:ilvl w:val="0"/>
          <w:numId w:val="90"/>
        </w:numPr>
        <w:rPr>
          <w:rFonts w:ascii="Arial" w:cs="Arial" w:eastAsia="Arial" w:hAnsi="Arial"/>
          <w:sz w:val="22"/>
          <w:szCs w:val="22"/>
          <w:color w:val="auto"/>
        </w:rPr>
      </w:pPr>
      <w:r>
        <w:rPr>
          <w:rFonts w:ascii="Arial" w:cs="Arial" w:eastAsia="Arial" w:hAnsi="Arial"/>
          <w:sz w:val="18"/>
          <w:szCs w:val="18"/>
          <w:color w:val="auto"/>
        </w:rPr>
        <w:t xml:space="preserve">The Company shall deliver the shares (or cash or other property) corresponding to Acquirer RSUs to the Participant within 30 days following the applicable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of the Participant’s termination of employment prior to the applicable Vesting Date, the shares (or cash or other property) corresponding to the Acquirer RSUs shall be delivered as follows:</w:t>
      </w:r>
    </w:p>
    <w:p>
      <w:pPr>
        <w:spacing w:after="0" w:line="236" w:lineRule="exact"/>
        <w:rPr>
          <w:sz w:val="20"/>
          <w:szCs w:val="20"/>
          <w:color w:val="auto"/>
        </w:rPr>
      </w:pPr>
    </w:p>
    <w:p>
      <w:pPr>
        <w:jc w:val="both"/>
        <w:ind w:left="1300" w:firstLine="653"/>
        <w:spacing w:after="0" w:line="287" w:lineRule="auto"/>
        <w:tabs>
          <w:tab w:leader="none" w:pos="2590" w:val="left"/>
        </w:tabs>
        <w:numPr>
          <w:ilvl w:val="1"/>
          <w:numId w:val="91"/>
        </w:numPr>
        <w:rPr>
          <w:rFonts w:ascii="Arial" w:cs="Arial" w:eastAsia="Arial" w:hAnsi="Arial"/>
          <w:sz w:val="22"/>
          <w:szCs w:val="22"/>
          <w:color w:val="auto"/>
        </w:rPr>
      </w:pPr>
      <w:r>
        <w:rPr>
          <w:rFonts w:ascii="Arial" w:cs="Arial" w:eastAsia="Arial" w:hAnsi="Arial"/>
          <w:sz w:val="18"/>
          <w:szCs w:val="18"/>
          <w:color w:val="auto"/>
        </w:rPr>
        <w:t>In the event that the Participant’s employment terminates (1) due to the Participant’s death, (2) due to the Participant’s Disability that constitutes a Section 409A Disability or (3) during the two-year period following a Change of Control that constitutes a Section 409A CIC, due to a Disability that does not constitute a Section 409A Disability (but that constitutes a Separation from Service) or pursuant to a Separation from Service that constitutes or follows a Specified Event, the Company shall deliver the shares (or cash or other property) attributable to the Acquirer RSUs within 30 days following the Termination Date;</w:t>
      </w:r>
    </w:p>
    <w:p>
      <w:pPr>
        <w:spacing w:after="0" w:line="229" w:lineRule="exact"/>
        <w:rPr>
          <w:rFonts w:ascii="Arial" w:cs="Arial" w:eastAsia="Arial" w:hAnsi="Arial"/>
          <w:sz w:val="22"/>
          <w:szCs w:val="22"/>
          <w:color w:val="auto"/>
        </w:rPr>
      </w:pPr>
    </w:p>
    <w:p>
      <w:pPr>
        <w:jc w:val="both"/>
        <w:ind w:left="1300" w:firstLine="653"/>
        <w:spacing w:after="0" w:line="287" w:lineRule="auto"/>
        <w:tabs>
          <w:tab w:leader="none" w:pos="2470" w:val="left"/>
        </w:tabs>
        <w:numPr>
          <w:ilvl w:val="1"/>
          <w:numId w:val="91"/>
        </w:numPr>
        <w:rPr>
          <w:rFonts w:ascii="Arial" w:cs="Arial" w:eastAsia="Arial" w:hAnsi="Arial"/>
          <w:sz w:val="22"/>
          <w:szCs w:val="22"/>
          <w:color w:val="auto"/>
        </w:rPr>
      </w:pPr>
      <w:r>
        <w:rPr>
          <w:rFonts w:ascii="Arial" w:cs="Arial" w:eastAsia="Arial" w:hAnsi="Arial"/>
          <w:sz w:val="18"/>
          <w:szCs w:val="18"/>
          <w:color w:val="auto"/>
        </w:rPr>
        <w:t>In the event that the Participant’s employment is terminated due to a Disability that does not constitute a Section 409A Disability (but that constitutes a Separation from Service) or pursuant to a Separation from Service that constitutes or follows a Specified Event (1) following a Change of Control that does not constitute a Section 409A CIC or (2) at any time following the second anniversary of a Section 409A CIC, the Company shall deliver the shares (or cash or other property) with respect to the Acquirer RSUs outstanding on the Termination Date (to the extent such Acquirer RSUs become vested) within 30 days following the earlier of (x) the applicable Vesting Date and (y) the last day of the Restricted Period; or</w:t>
      </w:r>
    </w:p>
    <w:p>
      <w:pPr>
        <w:spacing w:after="0" w:line="229" w:lineRule="exact"/>
        <w:rPr>
          <w:rFonts w:ascii="Arial" w:cs="Arial" w:eastAsia="Arial" w:hAnsi="Arial"/>
          <w:sz w:val="22"/>
          <w:szCs w:val="22"/>
          <w:color w:val="auto"/>
        </w:rPr>
      </w:pPr>
    </w:p>
    <w:p>
      <w:pPr>
        <w:jc w:val="both"/>
        <w:ind w:left="1300" w:firstLine="653"/>
        <w:spacing w:after="0" w:line="280" w:lineRule="auto"/>
        <w:tabs>
          <w:tab w:leader="none" w:pos="2605" w:val="left"/>
        </w:tabs>
        <w:numPr>
          <w:ilvl w:val="1"/>
          <w:numId w:val="91"/>
        </w:numPr>
        <w:rPr>
          <w:rFonts w:ascii="Arial" w:cs="Arial" w:eastAsia="Arial" w:hAnsi="Arial"/>
          <w:sz w:val="22"/>
          <w:szCs w:val="22"/>
          <w:color w:val="auto"/>
        </w:rPr>
      </w:pPr>
      <w:r>
        <w:rPr>
          <w:rFonts w:ascii="Arial" w:cs="Arial" w:eastAsia="Arial" w:hAnsi="Arial"/>
          <w:sz w:val="18"/>
          <w:szCs w:val="18"/>
          <w:color w:val="auto"/>
        </w:rPr>
        <w:t>In the event that (1) the Participant’s employment terminates due to a Disability that does not constitute a Section 409A Disability and does not constitute a Separation from Service or (2) a Specified Event occurs and the Participant does not experience a Separation from Service upon or thereafter, the Company shall deliver the shares (or cash or other property) attributable to the Acquirer RSUs within 30 days following the applicable Vesting Date.</w:t>
      </w:r>
    </w:p>
    <w:p>
      <w:pPr>
        <w:spacing w:after="0" w:line="236" w:lineRule="exact"/>
        <w:rPr>
          <w:rFonts w:ascii="Arial" w:cs="Arial" w:eastAsia="Arial" w:hAnsi="Arial"/>
          <w:sz w:val="22"/>
          <w:szCs w:val="22"/>
          <w:color w:val="auto"/>
        </w:rPr>
      </w:pPr>
    </w:p>
    <w:p>
      <w:pPr>
        <w:jc w:val="both"/>
        <w:ind w:firstLine="1305"/>
        <w:spacing w:after="0" w:line="280" w:lineRule="auto"/>
        <w:tabs>
          <w:tab w:leader="none" w:pos="1905" w:val="left"/>
        </w:tabs>
        <w:numPr>
          <w:ilvl w:val="0"/>
          <w:numId w:val="92"/>
        </w:numPr>
        <w:rPr>
          <w:rFonts w:ascii="Arial" w:cs="Arial" w:eastAsia="Arial" w:hAnsi="Arial"/>
          <w:sz w:val="22"/>
          <w:szCs w:val="22"/>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By written notice to the Company’s Secretary, the Participant may designate a beneficiary or beneficiaries to whom any vested RSUs (or, if applicable, the CIC Cash-Out Amount or Acquirer RSUs) and the Participant’s Cash Account (as defined below) shall be transferred upon the death of the Participant. In the absence of such designation, or if no designated beneficiary survives the Participant, such vested RSUs (or, if applicable, the CIC Cash-Out Amount or Acquirer RSUs) and the</w:t>
      </w:r>
    </w:p>
    <w:p>
      <w:pPr>
        <w:sectPr>
          <w:pgSz w:w="11900" w:h="16838" w:orient="portrait"/>
          <w:cols w:equalWidth="0" w:num="1">
            <w:col w:w="11420"/>
          </w:cols>
          <w:pgMar w:left="240" w:top="140" w:right="239" w:bottom="1440" w:gutter="0" w:footer="0" w:header="0"/>
        </w:sectPr>
      </w:pPr>
    </w:p>
    <w:bookmarkStart w:id="132" w:name="page133"/>
    <w:bookmarkEnd w:id="132"/>
    <w:p>
      <w:pPr>
        <w:ind w:left="1132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Participant’s Cash Account shall be transferred to the legal representative of the Participant’s estate. No such transfer of the RSUs (or, if applicable, the CIC Cash-Out Amount or Acquirer RSUs), or the right to convert the Shares corresponding to such RSUs (or, if applicable, shares corresponding to Acquirer RSUs) or the conversion of any portion thereof into Common Stock (or, if applicable, Acquirer shares), shall be effective to bind the Company unless the Committee shall have been furnished with (i) written notice thereof, (ii) a copy of the will and/or such evidence as the Committee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48" w:lineRule="exact"/>
        <w:rPr>
          <w:sz w:val="20"/>
          <w:szCs w:val="20"/>
          <w:color w:val="auto"/>
        </w:rPr>
      </w:pPr>
    </w:p>
    <w:p>
      <w:pPr>
        <w:jc w:val="both"/>
        <w:ind w:firstLine="1305"/>
        <w:spacing w:after="0" w:line="272" w:lineRule="auto"/>
        <w:tabs>
          <w:tab w:leader="none" w:pos="1783" w:val="left"/>
        </w:tabs>
        <w:numPr>
          <w:ilvl w:val="0"/>
          <w:numId w:val="93"/>
        </w:numPr>
        <w:rPr>
          <w:rFonts w:ascii="Arial" w:cs="Arial" w:eastAsia="Arial" w:hAnsi="Arial"/>
          <w:sz w:val="22"/>
          <w:szCs w:val="22"/>
          <w:color w:val="auto"/>
        </w:rPr>
      </w:pPr>
      <w:r>
        <w:rPr>
          <w:rFonts w:ascii="Arial" w:cs="Arial" w:eastAsia="Arial" w:hAnsi="Arial"/>
          <w:sz w:val="18"/>
          <w:szCs w:val="18"/>
          <w:u w:val="single" w:color="auto"/>
          <w:color w:val="auto"/>
        </w:rPr>
        <w:t>Settlement Conditioned Upon Satisfaction of Tax Obligations</w:t>
      </w:r>
      <w:r>
        <w:rPr>
          <w:rFonts w:ascii="Arial" w:cs="Arial" w:eastAsia="Arial" w:hAnsi="Arial"/>
          <w:sz w:val="18"/>
          <w:szCs w:val="18"/>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7" w:lineRule="exact"/>
        <w:rPr>
          <w:sz w:val="20"/>
          <w:szCs w:val="20"/>
          <w:color w:val="auto"/>
        </w:rPr>
      </w:pPr>
    </w:p>
    <w:p>
      <w:pPr>
        <w:ind w:left="1700" w:hanging="395"/>
        <w:spacing w:after="0"/>
        <w:tabs>
          <w:tab w:leader="none" w:pos="1700" w:val="left"/>
        </w:tabs>
        <w:numPr>
          <w:ilvl w:val="0"/>
          <w:numId w:val="94"/>
        </w:numPr>
        <w:rPr>
          <w:rFonts w:ascii="Arial" w:cs="Arial" w:eastAsia="Arial" w:hAnsi="Arial"/>
          <w:sz w:val="22"/>
          <w:szCs w:val="22"/>
          <w:color w:val="auto"/>
        </w:rPr>
      </w:pPr>
      <w:r>
        <w:rPr>
          <w:rFonts w:ascii="Arial" w:cs="Arial" w:eastAsia="Arial" w:hAnsi="Arial"/>
          <w:sz w:val="18"/>
          <w:szCs w:val="18"/>
          <w:u w:val="single" w:color="auto"/>
          <w:color w:val="auto"/>
        </w:rPr>
        <w:t>Rights with Respect to Shares Represented by RSUs</w:t>
      </w:r>
      <w:r>
        <w:rPr>
          <w:rFonts w:ascii="Arial" w:cs="Arial" w:eastAsia="Arial" w:hAnsi="Arial"/>
          <w:sz w:val="18"/>
          <w:szCs w:val="18"/>
          <w:color w:val="auto"/>
        </w:rPr>
        <w:t>.</w:t>
      </w:r>
    </w:p>
    <w:p>
      <w:pPr>
        <w:spacing w:after="0" w:line="269" w:lineRule="exact"/>
        <w:rPr>
          <w:sz w:val="20"/>
          <w:szCs w:val="20"/>
          <w:color w:val="auto"/>
        </w:rPr>
      </w:pPr>
    </w:p>
    <w:p>
      <w:pPr>
        <w:jc w:val="both"/>
        <w:ind w:firstLine="1305"/>
        <w:spacing w:after="0" w:line="284" w:lineRule="auto"/>
        <w:tabs>
          <w:tab w:leader="none" w:pos="1838" w:val="left"/>
        </w:tabs>
        <w:numPr>
          <w:ilvl w:val="0"/>
          <w:numId w:val="95"/>
        </w:numPr>
        <w:rPr>
          <w:rFonts w:ascii="Arial" w:cs="Arial" w:eastAsia="Arial" w:hAnsi="Arial"/>
          <w:sz w:val="22"/>
          <w:szCs w:val="22"/>
          <w:color w:val="auto"/>
        </w:rPr>
      </w:pPr>
      <w:r>
        <w:rPr>
          <w:rFonts w:ascii="Arial" w:cs="Arial" w:eastAsia="Arial" w:hAnsi="Arial"/>
          <w:sz w:val="18"/>
          <w:szCs w:val="18"/>
          <w:u w:val="single" w:color="auto"/>
          <w:color w:val="auto"/>
        </w:rPr>
        <w:t>No Rights as Shareholder until Delivery</w:t>
      </w:r>
      <w:r>
        <w:rPr>
          <w:rFonts w:ascii="Arial" w:cs="Arial" w:eastAsia="Arial" w:hAnsi="Arial"/>
          <w:sz w:val="18"/>
          <w:szCs w:val="18"/>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197" w:lineRule="exact"/>
        <w:rPr>
          <w:rFonts w:ascii="Arial" w:cs="Arial" w:eastAsia="Arial" w:hAnsi="Arial"/>
          <w:sz w:val="22"/>
          <w:szCs w:val="22"/>
          <w:color w:val="auto"/>
        </w:rPr>
      </w:pPr>
    </w:p>
    <w:p>
      <w:pPr>
        <w:ind w:left="1800" w:hanging="495"/>
        <w:spacing w:after="0"/>
        <w:tabs>
          <w:tab w:leader="none" w:pos="1800" w:val="left"/>
        </w:tabs>
        <w:numPr>
          <w:ilvl w:val="0"/>
          <w:numId w:val="95"/>
        </w:numPr>
        <w:rPr>
          <w:rFonts w:ascii="Arial" w:cs="Arial" w:eastAsia="Arial" w:hAnsi="Arial"/>
          <w:sz w:val="22"/>
          <w:szCs w:val="22"/>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69" w:lineRule="exact"/>
        <w:rPr>
          <w:rFonts w:ascii="Arial" w:cs="Arial" w:eastAsia="Arial" w:hAnsi="Arial"/>
          <w:sz w:val="22"/>
          <w:szCs w:val="22"/>
          <w:color w:val="auto"/>
        </w:rPr>
      </w:pPr>
    </w:p>
    <w:p>
      <w:pPr>
        <w:jc w:val="both"/>
        <w:ind w:left="660" w:firstLine="1293"/>
        <w:spacing w:after="0" w:line="291" w:lineRule="auto"/>
        <w:tabs>
          <w:tab w:leader="none" w:pos="2462" w:val="left"/>
        </w:tabs>
        <w:numPr>
          <w:ilvl w:val="1"/>
          <w:numId w:val="95"/>
        </w:numPr>
        <w:rPr>
          <w:rFonts w:ascii="Arial" w:cs="Arial" w:eastAsia="Arial" w:hAnsi="Arial"/>
          <w:sz w:val="22"/>
          <w:szCs w:val="22"/>
          <w:color w:val="auto"/>
        </w:rPr>
      </w:pPr>
      <w:r>
        <w:rPr>
          <w:rFonts w:ascii="Arial" w:cs="Arial" w:eastAsia="Arial" w:hAnsi="Arial"/>
          <w:sz w:val="18"/>
          <w:szCs w:val="18"/>
          <w:u w:val="single" w:color="auto"/>
          <w:color w:val="auto"/>
        </w:rPr>
        <w:t>Cash Dividends</w:t>
      </w:r>
      <w:r>
        <w:rPr>
          <w:rFonts w:ascii="Arial" w:cs="Arial" w:eastAsia="Arial" w:hAnsi="Arial"/>
          <w:sz w:val="18"/>
          <w:szCs w:val="18"/>
          <w:color w:val="auto"/>
        </w:rPr>
        <w:t>. As of each date on which the Company pays a cash dividend with respect to its Shares, the Company shall credit to a bookkeeping account (the “</w:t>
      </w:r>
      <w:r>
        <w:rPr>
          <w:rFonts w:ascii="Arial" w:cs="Arial" w:eastAsia="Arial" w:hAnsi="Arial"/>
          <w:sz w:val="18"/>
          <w:szCs w:val="18"/>
          <w:b w:val="1"/>
          <w:bCs w:val="1"/>
          <w:i w:val="1"/>
          <w:iCs w:val="1"/>
          <w:color w:val="auto"/>
        </w:rPr>
        <w:t>Cash Account</w:t>
      </w:r>
      <w:r>
        <w:rPr>
          <w:rFonts w:ascii="Arial" w:cs="Arial" w:eastAsia="Arial" w:hAnsi="Arial"/>
          <w:sz w:val="18"/>
          <w:szCs w:val="18"/>
          <w:color w:val="auto"/>
        </w:rPr>
        <w:t>”) for the Participant an amount equal to the cash dividend that would have been payable with respect to the Shares corresponding to the RSUs, excluding any RSUs which have been forfeited, as if those Shares had been issued and outstanding as of the dividend payment date. Upon the vesting of any RSUs hereunder (or, if applicable, Acquirer RSUs), the Participant shall vest in and have the right to receive that portion of the Cash Account which relates to any such vested RSUs (or, if applicable, Acquirer RSUs). The value of the Participant’s Cash Account shall vest and be distributable to the Participant at the same time as the Shares corresponding to the vested RSUs (or, if applicable, the consideration corresponding to Acquirer RSUs) are distributed to the Participant. In the event that RSUs are converted into the CIC Cash-Out Amount pursuant to Section 3(b)(i)(A) hereof, the Cash Account that relates to such RSUs shall be added to the CIC Cash-Out Amount and shall be paid to the Participant in accordance with Section 5(b)(i) hereof.</w:t>
      </w:r>
    </w:p>
    <w:p>
      <w:pPr>
        <w:spacing w:after="0" w:line="230" w:lineRule="exact"/>
        <w:rPr>
          <w:rFonts w:ascii="Arial" w:cs="Arial" w:eastAsia="Arial" w:hAnsi="Arial"/>
          <w:sz w:val="22"/>
          <w:szCs w:val="22"/>
          <w:color w:val="auto"/>
        </w:rPr>
      </w:pPr>
    </w:p>
    <w:p>
      <w:pPr>
        <w:jc w:val="both"/>
        <w:ind w:left="660" w:firstLine="1293"/>
        <w:spacing w:after="0" w:line="280" w:lineRule="auto"/>
        <w:tabs>
          <w:tab w:leader="none" w:pos="2495" w:val="left"/>
        </w:tabs>
        <w:numPr>
          <w:ilvl w:val="1"/>
          <w:numId w:val="95"/>
        </w:numPr>
        <w:rPr>
          <w:rFonts w:ascii="Arial" w:cs="Arial" w:eastAsia="Arial" w:hAnsi="Arial"/>
          <w:sz w:val="22"/>
          <w:szCs w:val="22"/>
          <w:color w:val="auto"/>
        </w:rPr>
      </w:pPr>
      <w:r>
        <w:rPr>
          <w:rFonts w:ascii="Arial" w:cs="Arial" w:eastAsia="Arial" w:hAnsi="Arial"/>
          <w:sz w:val="18"/>
          <w:szCs w:val="18"/>
          <w:u w:val="single" w:color="auto"/>
          <w:color w:val="auto"/>
        </w:rPr>
        <w:t>Stock Dividends</w:t>
      </w:r>
      <w:r>
        <w:rPr>
          <w:rFonts w:ascii="Arial" w:cs="Arial" w:eastAsia="Arial" w:hAnsi="Arial"/>
          <w:sz w:val="18"/>
          <w:szCs w:val="18"/>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vested, shall be distributed at the same time as the Shares corresponding to the vested RSUs are distributed.</w:t>
      </w:r>
    </w:p>
    <w:p>
      <w:pPr>
        <w:spacing w:after="0" w:line="236" w:lineRule="exact"/>
        <w:rPr>
          <w:sz w:val="20"/>
          <w:szCs w:val="20"/>
          <w:color w:val="auto"/>
        </w:rPr>
      </w:pPr>
    </w:p>
    <w:p>
      <w:pPr>
        <w:ind w:firstLine="1305"/>
        <w:spacing w:after="0" w:line="255" w:lineRule="auto"/>
        <w:tabs>
          <w:tab w:leader="none" w:pos="1706" w:val="left"/>
        </w:tabs>
        <w:numPr>
          <w:ilvl w:val="0"/>
          <w:numId w:val="96"/>
        </w:numPr>
        <w:rPr>
          <w:rFonts w:ascii="Arial" w:cs="Arial" w:eastAsia="Arial" w:hAnsi="Arial"/>
          <w:sz w:val="22"/>
          <w:szCs w:val="22"/>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The Participant may not, directly or indirectly, sell, pledge or otherwise transfer any RSUs or Acquirer RSUs or any rights with respect to the Cash Account or, if applicable, the CIC Cash-Out Amount.</w:t>
      </w:r>
    </w:p>
    <w:p>
      <w:pPr>
        <w:spacing w:after="0" w:line="254" w:lineRule="exact"/>
        <w:rPr>
          <w:rFonts w:ascii="Arial" w:cs="Arial" w:eastAsia="Arial" w:hAnsi="Arial"/>
          <w:sz w:val="22"/>
          <w:szCs w:val="22"/>
          <w:color w:val="auto"/>
        </w:rPr>
      </w:pPr>
    </w:p>
    <w:p>
      <w:pPr>
        <w:ind w:right="20" w:firstLine="1305"/>
        <w:spacing w:after="0" w:line="255" w:lineRule="auto"/>
        <w:tabs>
          <w:tab w:leader="none" w:pos="1733" w:val="left"/>
        </w:tabs>
        <w:numPr>
          <w:ilvl w:val="0"/>
          <w:numId w:val="96"/>
        </w:numPr>
        <w:rPr>
          <w:rFonts w:ascii="Arial" w:cs="Arial" w:eastAsia="Arial" w:hAnsi="Arial"/>
          <w:sz w:val="22"/>
          <w:szCs w:val="22"/>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Participant acknowledges and agrees that the Company has filed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w:t>
      </w:r>
    </w:p>
    <w:p>
      <w:pPr>
        <w:sectPr>
          <w:pgSz w:w="11900" w:h="16838" w:orient="portrait"/>
          <w:cols w:equalWidth="0" w:num="1">
            <w:col w:w="11420"/>
          </w:cols>
          <w:pgMar w:left="240" w:top="14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Securities Act of 1933, as amended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securities law.</w:t>
      </w:r>
    </w:p>
    <w:p>
      <w:pPr>
        <w:spacing w:after="0" w:line="203" w:lineRule="exact"/>
        <w:rPr>
          <w:sz w:val="20"/>
          <w:szCs w:val="20"/>
          <w:color w:val="auto"/>
        </w:rPr>
      </w:pPr>
    </w:p>
    <w:p>
      <w:pPr>
        <w:ind w:left="1700" w:hanging="395"/>
        <w:spacing w:after="0"/>
        <w:tabs>
          <w:tab w:leader="none" w:pos="1700" w:val="left"/>
        </w:tabs>
        <w:numPr>
          <w:ilvl w:val="0"/>
          <w:numId w:val="97"/>
        </w:numPr>
        <w:rPr>
          <w:rFonts w:ascii="Arial" w:cs="Arial" w:eastAsia="Arial" w:hAnsi="Arial"/>
          <w:sz w:val="22"/>
          <w:szCs w:val="22"/>
          <w:color w:val="auto"/>
        </w:rPr>
      </w:pPr>
      <w:r>
        <w:rPr>
          <w:rFonts w:ascii="Arial" w:cs="Arial" w:eastAsia="Arial" w:hAnsi="Arial"/>
          <w:sz w:val="18"/>
          <w:szCs w:val="18"/>
          <w:u w:val="single" w:color="auto"/>
          <w:color w:val="auto"/>
        </w:rPr>
        <w:t>Taxes; Potential Forfeiture</w:t>
      </w:r>
      <w:r>
        <w:rPr>
          <w:rFonts w:ascii="Arial" w:cs="Arial" w:eastAsia="Arial" w:hAnsi="Arial"/>
          <w:sz w:val="18"/>
          <w:szCs w:val="18"/>
          <w:color w:val="auto"/>
        </w:rPr>
        <w:t>.</w:t>
      </w:r>
    </w:p>
    <w:p>
      <w:pPr>
        <w:spacing w:after="0" w:line="269" w:lineRule="exact"/>
        <w:rPr>
          <w:sz w:val="20"/>
          <w:szCs w:val="20"/>
          <w:color w:val="auto"/>
        </w:rPr>
      </w:pPr>
    </w:p>
    <w:p>
      <w:pPr>
        <w:jc w:val="both"/>
        <w:ind w:firstLine="1305"/>
        <w:spacing w:after="0" w:line="287" w:lineRule="auto"/>
        <w:tabs>
          <w:tab w:leader="none" w:pos="1851" w:val="left"/>
        </w:tabs>
        <w:numPr>
          <w:ilvl w:val="0"/>
          <w:numId w:val="98"/>
        </w:numPr>
        <w:rPr>
          <w:rFonts w:ascii="Arial" w:cs="Arial" w:eastAsia="Arial" w:hAnsi="Arial"/>
          <w:sz w:val="22"/>
          <w:szCs w:val="22"/>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On or prior to the date on which any Shares corresponding to any vested RSUs (or, if applicable, consideration in respect of Acquirer RSUs) are delivered or cash attributable to the Participant’s vested Cash Account or, if applicable, the CIC Cash-Out Amount,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which have vested, uncertificated Shares or any cash attributable to the Participant’s Cash Account or, if applicable, the CIC Cash-Out Amount, shall be delivered or paid to the Participant until the foregoing obligation has been satisfied.</w:t>
      </w:r>
    </w:p>
    <w:p>
      <w:pPr>
        <w:spacing w:after="0" w:line="229" w:lineRule="exact"/>
        <w:rPr>
          <w:rFonts w:ascii="Arial" w:cs="Arial" w:eastAsia="Arial" w:hAnsi="Arial"/>
          <w:sz w:val="22"/>
          <w:szCs w:val="22"/>
          <w:color w:val="auto"/>
        </w:rPr>
      </w:pPr>
    </w:p>
    <w:p>
      <w:pPr>
        <w:jc w:val="both"/>
        <w:ind w:firstLine="1305"/>
        <w:spacing w:after="0" w:line="291" w:lineRule="auto"/>
        <w:tabs>
          <w:tab w:leader="none" w:pos="1796" w:val="left"/>
        </w:tabs>
        <w:numPr>
          <w:ilvl w:val="0"/>
          <w:numId w:val="98"/>
        </w:numPr>
        <w:rPr>
          <w:rFonts w:ascii="Arial" w:cs="Arial" w:eastAsia="Arial" w:hAnsi="Arial"/>
          <w:sz w:val="22"/>
          <w:szCs w:val="22"/>
          <w:color w:val="auto"/>
        </w:rPr>
      </w:pPr>
      <w:r>
        <w:rPr>
          <w:rFonts w:ascii="Arial" w:cs="Arial" w:eastAsia="Arial" w:hAnsi="Arial"/>
          <w:sz w:val="18"/>
          <w:szCs w:val="18"/>
          <w:u w:val="single" w:color="auto"/>
          <w:color w:val="auto"/>
        </w:rPr>
        <w:t>Alternative Payment Methods and Company Rights</w:t>
      </w:r>
      <w:r>
        <w:rPr>
          <w:rFonts w:ascii="Arial" w:cs="Arial" w:eastAsia="Arial" w:hAnsi="Arial"/>
          <w:sz w:val="18"/>
          <w:szCs w:val="18"/>
          <w:color w:val="auto"/>
        </w:rPr>
        <w:t>. The Company may, at its option, permit the Participant to satisfy his or her obligations under this Section 9, by tendering to the Company a portion of the Shares (or, if applicable, consideration in respect of Acquirer RSUs) that otherwise would be delivered to the Participant pursuant to the 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w:t>
      </w:r>
      <w:r>
        <w:rPr>
          <w:rFonts w:ascii="Arial" w:cs="Arial" w:eastAsia="Arial" w:hAnsi="Arial"/>
          <w:sz w:val="18"/>
          <w:szCs w:val="18"/>
          <w:u w:val="single" w:color="auto"/>
          <w:color w:val="auto"/>
        </w:rPr>
        <w:t>e.g.</w:t>
      </w:r>
      <w:r>
        <w:rPr>
          <w:rFonts w:ascii="Arial" w:cs="Arial" w:eastAsia="Arial" w:hAnsi="Arial"/>
          <w:sz w:val="18"/>
          <w:szCs w:val="18"/>
          <w:color w:val="auto"/>
        </w:rPr>
        <w:t>, expense reimbursements), (2) selling all or a portion of the Shares underlying the RSUs (or, if applicable, consideration underlying Acquirer RSUs) in the open market or (3) withholding and canceling all or a portion of the Shares corresponding to the vested RSUs (or, if applicable, consideration corresponding to Acquirer RSUs). Any acquisition of Shares corresponding to RSUs (or, if applicable, consideration corresponding to Acquirer RSUs) by the Company as contemplated hereby is expressly approved by the Committee as part of the approval of this Agreement.</w:t>
      </w:r>
    </w:p>
    <w:p>
      <w:pPr>
        <w:spacing w:after="0" w:line="230" w:lineRule="exact"/>
        <w:rPr>
          <w:rFonts w:ascii="Arial" w:cs="Arial" w:eastAsia="Arial" w:hAnsi="Arial"/>
          <w:sz w:val="22"/>
          <w:szCs w:val="22"/>
          <w:color w:val="auto"/>
        </w:rPr>
      </w:pPr>
    </w:p>
    <w:p>
      <w:pPr>
        <w:jc w:val="both"/>
        <w:ind w:firstLine="1305"/>
        <w:spacing w:after="0" w:line="289" w:lineRule="auto"/>
        <w:tabs>
          <w:tab w:leader="none" w:pos="1797" w:val="left"/>
        </w:tabs>
        <w:numPr>
          <w:ilvl w:val="0"/>
          <w:numId w:val="98"/>
        </w:numPr>
        <w:rPr>
          <w:rFonts w:ascii="Arial" w:cs="Arial" w:eastAsia="Arial" w:hAnsi="Arial"/>
          <w:sz w:val="22"/>
          <w:szCs w:val="22"/>
          <w:color w:val="auto"/>
        </w:rPr>
      </w:pPr>
      <w:r>
        <w:rPr>
          <w:rFonts w:ascii="Arial" w:cs="Arial" w:eastAsia="Arial" w:hAnsi="Arial"/>
          <w:sz w:val="18"/>
          <w:szCs w:val="18"/>
          <w:u w:val="single" w:color="auto"/>
          <w:color w:val="auto"/>
        </w:rPr>
        <w:t>Forfeiture for Failure to Pay Taxes</w:t>
      </w:r>
      <w:r>
        <w:rPr>
          <w:rFonts w:ascii="Arial" w:cs="Arial" w:eastAsia="Arial" w:hAnsi="Arial"/>
          <w:sz w:val="18"/>
          <w:szCs w:val="18"/>
          <w:color w:val="auto"/>
        </w:rPr>
        <w:t>. If and to the extent that (i) the Participant fails to satisfy his or her obligations under this Section 9 and (ii) the Company does not exercise its right to satisfy those obligations under Section 9(b) hereof with respect to any RSUs (or, if applicable, Acquirer RSUs) or any portion of the vested Cash Account or, if applicable, the CIC Cash-Out Amount, within 30 days after the date on which the Shares corresponding to the vested RSUs (or, if applicable, the consideration corresponding to vested Acquirer RSUs) or vested Cash Account or, if applicable, the CIC Cash-Out Amount otherwise would be delivered pursuant to Section 5(a), (b) or (c) hereof or within 30 days after the date on which the vested Cash Account or, if applicable, the CIC Cash-Out Amount, otherwise would be paid pursuant to Sections 5 and 6(b) hereof, as applicable, the Participant immediately forfeits any rights with respect to the portion of the RSUs (or, if applicable, Acquirer RSUs) or vested Cash Account or, if applicable, the CIC Cash-Out Amount to which such failure relates.</w:t>
      </w:r>
    </w:p>
    <w:p>
      <w:pPr>
        <w:spacing w:after="0" w:line="233" w:lineRule="exact"/>
        <w:rPr>
          <w:sz w:val="20"/>
          <w:szCs w:val="20"/>
          <w:color w:val="auto"/>
        </w:rPr>
      </w:pPr>
    </w:p>
    <w:p>
      <w:pPr>
        <w:jc w:val="both"/>
        <w:ind w:firstLine="1305"/>
        <w:spacing w:after="0" w:line="287" w:lineRule="auto"/>
        <w:tabs>
          <w:tab w:leader="none" w:pos="1990" w:val="left"/>
        </w:tabs>
        <w:numPr>
          <w:ilvl w:val="0"/>
          <w:numId w:val="99"/>
        </w:numPr>
        <w:rPr>
          <w:rFonts w:ascii="Arial" w:cs="Arial" w:eastAsia="Arial" w:hAnsi="Arial"/>
          <w:sz w:val="22"/>
          <w:szCs w:val="22"/>
          <w:color w:val="auto"/>
        </w:rPr>
      </w:pPr>
      <w:r>
        <w:rPr>
          <w:rFonts w:ascii="Arial" w:cs="Arial" w:eastAsia="Arial" w:hAnsi="Arial"/>
          <w:sz w:val="18"/>
          <w:szCs w:val="18"/>
          <w:u w:val="single" w:color="auto"/>
          <w:color w:val="auto"/>
        </w:rPr>
        <w:t>No Effect on Employment</w:t>
      </w:r>
      <w:r>
        <w:rPr>
          <w:rFonts w:ascii="Arial" w:cs="Arial" w:eastAsia="Arial" w:hAnsi="Arial"/>
          <w:sz w:val="18"/>
          <w:szCs w:val="18"/>
          <w:color w:val="auto"/>
        </w:rPr>
        <w:t>. Except as otherwise provided in the Participant’s employment agreement, if any, the Participant’s employment with the Company and any Subsidiary is at-will.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ectPr>
          <w:pgSz w:w="11900" w:h="16838" w:orient="portrait"/>
          <w:cols w:equalWidth="0" w:num="1">
            <w:col w:w="11420"/>
          </w:cols>
          <w:pgMar w:left="240" w:top="14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1305"/>
        <w:spacing w:after="0" w:line="284" w:lineRule="auto"/>
        <w:tabs>
          <w:tab w:leader="none" w:pos="1995"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Stock Retention Policy</w:t>
      </w:r>
      <w:r>
        <w:rPr>
          <w:rFonts w:ascii="Arial" w:cs="Arial" w:eastAsia="Arial" w:hAnsi="Arial"/>
          <w:sz w:val="18"/>
          <w:szCs w:val="18"/>
          <w:color w:val="auto"/>
        </w:rPr>
        <w:t>. The Participant understands that the Committee has adopted a policy that requires the Participant to retain ownership of one-half (50%) of the Shares underlying the RSUs acquired by the Participant hereunder (net of the number of Shares which would need to be sold to satisfy any applicable taxes owed upon vesting), for a period of three (3) years after vesting of such RSUs (or until the Participant’s employment with, and services for, the Company and its Subsidiaries terminate, if earlier). The Participant agrees to comply with such policy and any modifications thereof that may be adopted by the Committee from time to time.</w:t>
      </w:r>
    </w:p>
    <w:p>
      <w:pPr>
        <w:spacing w:after="0" w:line="233" w:lineRule="exact"/>
        <w:rPr>
          <w:rFonts w:ascii="Arial" w:cs="Arial" w:eastAsia="Arial" w:hAnsi="Arial"/>
          <w:sz w:val="22"/>
          <w:szCs w:val="22"/>
          <w:color w:val="auto"/>
        </w:rPr>
      </w:pPr>
    </w:p>
    <w:p>
      <w:pPr>
        <w:jc w:val="both"/>
        <w:ind w:firstLine="1305"/>
        <w:spacing w:after="0" w:line="272" w:lineRule="auto"/>
        <w:tabs>
          <w:tab w:leader="none" w:pos="1976"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Stock Ownership Policy</w:t>
      </w:r>
      <w:r>
        <w:rPr>
          <w:rFonts w:ascii="Arial" w:cs="Arial" w:eastAsia="Arial" w:hAnsi="Arial"/>
          <w:sz w:val="18"/>
          <w:szCs w:val="18"/>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w:t>
      </w:r>
    </w:p>
    <w:p>
      <w:pPr>
        <w:spacing w:after="0" w:line="243" w:lineRule="exact"/>
        <w:rPr>
          <w:rFonts w:ascii="Arial" w:cs="Arial" w:eastAsia="Arial" w:hAnsi="Arial"/>
          <w:sz w:val="22"/>
          <w:szCs w:val="22"/>
          <w:color w:val="auto"/>
        </w:rPr>
      </w:pPr>
    </w:p>
    <w:p>
      <w:pPr>
        <w:jc w:val="both"/>
        <w:ind w:firstLine="1305"/>
        <w:spacing w:after="0" w:line="272" w:lineRule="auto"/>
        <w:tabs>
          <w:tab w:leader="none" w:pos="1909"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43" w:lineRule="exact"/>
        <w:rPr>
          <w:rFonts w:ascii="Arial" w:cs="Arial" w:eastAsia="Arial" w:hAnsi="Arial"/>
          <w:sz w:val="22"/>
          <w:szCs w:val="22"/>
          <w:color w:val="auto"/>
        </w:rPr>
      </w:pPr>
    </w:p>
    <w:p>
      <w:pPr>
        <w:ind w:firstLine="1305"/>
        <w:spacing w:after="0" w:line="255" w:lineRule="auto"/>
        <w:tabs>
          <w:tab w:leader="none" w:pos="1976"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This Agreement shall be binding upon and inure to the benefit of the heirs, legatees, legal representatives, successors and assigns of the parties hereto.</w:t>
      </w:r>
    </w:p>
    <w:p>
      <w:pPr>
        <w:spacing w:after="0" w:line="254" w:lineRule="exact"/>
        <w:rPr>
          <w:rFonts w:ascii="Arial" w:cs="Arial" w:eastAsia="Arial" w:hAnsi="Arial"/>
          <w:sz w:val="22"/>
          <w:szCs w:val="22"/>
          <w:color w:val="auto"/>
        </w:rPr>
      </w:pPr>
    </w:p>
    <w:p>
      <w:pPr>
        <w:ind w:right="20" w:firstLine="1305"/>
        <w:spacing w:after="0" w:line="255" w:lineRule="auto"/>
        <w:tabs>
          <w:tab w:leader="none" w:pos="1801"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54" w:lineRule="exact"/>
        <w:rPr>
          <w:rFonts w:ascii="Arial" w:cs="Arial" w:eastAsia="Arial" w:hAnsi="Arial"/>
          <w:sz w:val="22"/>
          <w:szCs w:val="22"/>
          <w:color w:val="auto"/>
        </w:rPr>
      </w:pPr>
    </w:p>
    <w:p>
      <w:pPr>
        <w:jc w:val="both"/>
        <w:ind w:firstLine="1305"/>
        <w:spacing w:after="0" w:line="288" w:lineRule="auto"/>
        <w:tabs>
          <w:tab w:leader="none" w:pos="1841"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Governing Law/Jurisdiction</w:t>
      </w:r>
      <w:r>
        <w:rPr>
          <w:rFonts w:ascii="Arial" w:cs="Arial" w:eastAsia="Arial" w:hAnsi="Arial"/>
          <w:sz w:val="18"/>
          <w:szCs w:val="18"/>
          <w:color w:val="auto"/>
        </w:rPr>
        <w:t>.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31" w:lineRule="exact"/>
        <w:rPr>
          <w:rFonts w:ascii="Arial" w:cs="Arial" w:eastAsia="Arial" w:hAnsi="Arial"/>
          <w:sz w:val="22"/>
          <w:szCs w:val="22"/>
          <w:color w:val="auto"/>
        </w:rPr>
      </w:pPr>
    </w:p>
    <w:p>
      <w:pPr>
        <w:jc w:val="both"/>
        <w:ind w:firstLine="1305"/>
        <w:spacing w:after="0" w:line="284" w:lineRule="auto"/>
        <w:tabs>
          <w:tab w:leader="none" w:pos="1963"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Committee Authority</w:t>
      </w:r>
      <w:r>
        <w:rPr>
          <w:rFonts w:ascii="Arial" w:cs="Arial" w:eastAsia="Arial" w:hAnsi="Arial"/>
          <w:sz w:val="18"/>
          <w:szCs w:val="18"/>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33" w:lineRule="exact"/>
        <w:rPr>
          <w:rFonts w:ascii="Arial" w:cs="Arial" w:eastAsia="Arial" w:hAnsi="Arial"/>
          <w:sz w:val="22"/>
          <w:szCs w:val="22"/>
          <w:color w:val="auto"/>
        </w:rPr>
      </w:pPr>
    </w:p>
    <w:p>
      <w:pPr>
        <w:ind w:firstLine="1305"/>
        <w:spacing w:after="0" w:line="255" w:lineRule="auto"/>
        <w:tabs>
          <w:tab w:leader="none" w:pos="1814"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provided herein are for convenience only and are not to serve as a basis for the interpretation or construction of this Agreement.</w:t>
      </w:r>
    </w:p>
    <w:p>
      <w:pPr>
        <w:spacing w:after="0" w:line="254" w:lineRule="exact"/>
        <w:rPr>
          <w:rFonts w:ascii="Arial" w:cs="Arial" w:eastAsia="Arial" w:hAnsi="Arial"/>
          <w:sz w:val="22"/>
          <w:szCs w:val="22"/>
          <w:color w:val="auto"/>
        </w:rPr>
      </w:pPr>
    </w:p>
    <w:p>
      <w:pPr>
        <w:jc w:val="both"/>
        <w:ind w:firstLine="1305"/>
        <w:spacing w:after="0" w:line="272" w:lineRule="auto"/>
        <w:tabs>
          <w:tab w:leader="none" w:pos="1882"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43" w:lineRule="exact"/>
        <w:rPr>
          <w:rFonts w:ascii="Arial" w:cs="Arial" w:eastAsia="Arial" w:hAnsi="Arial"/>
          <w:sz w:val="22"/>
          <w:szCs w:val="22"/>
          <w:color w:val="auto"/>
        </w:rPr>
      </w:pPr>
    </w:p>
    <w:p>
      <w:pPr>
        <w:jc w:val="both"/>
        <w:ind w:firstLine="1305"/>
        <w:spacing w:after="0" w:line="272" w:lineRule="auto"/>
        <w:tabs>
          <w:tab w:leader="none" w:pos="1976"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w:t>
      </w:r>
    </w:p>
    <w:p>
      <w:pPr>
        <w:sectPr>
          <w:pgSz w:w="11900" w:h="16838" w:orient="portrait"/>
          <w:cols w:equalWidth="0" w:num="1">
            <w:col w:w="11420"/>
          </w:cols>
          <w:pgMar w:left="240" w:top="14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213" w:lineRule="exact"/>
        <w:rPr>
          <w:sz w:val="20"/>
          <w:szCs w:val="20"/>
          <w:color w:val="auto"/>
        </w:rPr>
      </w:pPr>
    </w:p>
    <w:p>
      <w:pPr>
        <w:ind w:left="1800" w:hanging="495"/>
        <w:spacing w:after="0"/>
        <w:tabs>
          <w:tab w:leader="none" w:pos="1800" w:val="left"/>
        </w:tabs>
        <w:numPr>
          <w:ilvl w:val="0"/>
          <w:numId w:val="101"/>
        </w:numPr>
        <w:rPr>
          <w:rFonts w:ascii="Arial" w:cs="Arial" w:eastAsia="Arial" w:hAnsi="Arial"/>
          <w:sz w:val="22"/>
          <w:szCs w:val="22"/>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w:t>
      </w:r>
    </w:p>
    <w:p>
      <w:pPr>
        <w:spacing w:after="0" w:line="269" w:lineRule="exact"/>
        <w:rPr>
          <w:sz w:val="20"/>
          <w:szCs w:val="20"/>
          <w:color w:val="auto"/>
        </w:rPr>
      </w:pPr>
    </w:p>
    <w:p>
      <w:pPr>
        <w:jc w:val="both"/>
        <w:ind w:firstLine="1305"/>
        <w:spacing w:after="0" w:line="287" w:lineRule="auto"/>
        <w:tabs>
          <w:tab w:leader="none" w:pos="1811" w:val="left"/>
        </w:tabs>
        <w:numPr>
          <w:ilvl w:val="0"/>
          <w:numId w:val="102"/>
        </w:numPr>
        <w:rPr>
          <w:rFonts w:ascii="Arial" w:cs="Arial" w:eastAsia="Arial" w:hAnsi="Arial"/>
          <w:sz w:val="22"/>
          <w:szCs w:val="22"/>
          <w:color w:val="auto"/>
        </w:rPr>
      </w:pPr>
      <w:r>
        <w:rPr>
          <w:rFonts w:ascii="Arial" w:cs="Arial" w:eastAsia="Arial" w:hAnsi="Arial"/>
          <w:sz w:val="18"/>
          <w:szCs w:val="18"/>
          <w:color w:val="auto"/>
        </w:rPr>
        <w:t>If and to the extent that the Committee believes that the RSUs (including, if applicable, the Acquirer RSUs) or rights to the Cash Account or, if applicable, the CIC Cash-Out Amount,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applicable requirements of Section 409A.</w:t>
      </w:r>
    </w:p>
    <w:p>
      <w:pPr>
        <w:spacing w:after="0" w:line="193" w:lineRule="exact"/>
        <w:rPr>
          <w:rFonts w:ascii="Arial" w:cs="Arial" w:eastAsia="Arial" w:hAnsi="Arial"/>
          <w:sz w:val="22"/>
          <w:szCs w:val="22"/>
          <w:color w:val="auto"/>
        </w:rPr>
      </w:pPr>
    </w:p>
    <w:p>
      <w:pPr>
        <w:ind w:left="1800" w:hanging="495"/>
        <w:spacing w:after="0"/>
        <w:tabs>
          <w:tab w:leader="none" w:pos="1800" w:val="left"/>
        </w:tabs>
        <w:numPr>
          <w:ilvl w:val="0"/>
          <w:numId w:val="102"/>
        </w:numPr>
        <w:rPr>
          <w:rFonts w:ascii="Arial" w:cs="Arial" w:eastAsia="Arial" w:hAnsi="Arial"/>
          <w:sz w:val="22"/>
          <w:szCs w:val="22"/>
          <w:color w:val="auto"/>
        </w:rPr>
      </w:pPr>
      <w:r>
        <w:rPr>
          <w:rFonts w:ascii="Arial" w:cs="Arial" w:eastAsia="Arial" w:hAnsi="Arial"/>
          <w:sz w:val="18"/>
          <w:szCs w:val="18"/>
          <w:color w:val="auto"/>
        </w:rPr>
        <w:t>If and to the extent required to comply with Section 409A:</w:t>
      </w:r>
    </w:p>
    <w:p>
      <w:pPr>
        <w:spacing w:after="0" w:line="269" w:lineRule="exact"/>
        <w:rPr>
          <w:rFonts w:ascii="Arial" w:cs="Arial" w:eastAsia="Arial" w:hAnsi="Arial"/>
          <w:sz w:val="22"/>
          <w:szCs w:val="22"/>
          <w:color w:val="auto"/>
        </w:rPr>
      </w:pPr>
    </w:p>
    <w:p>
      <w:pPr>
        <w:jc w:val="both"/>
        <w:ind w:left="660" w:firstLine="1293"/>
        <w:spacing w:after="0" w:line="280" w:lineRule="auto"/>
        <w:tabs>
          <w:tab w:leader="none" w:pos="2394" w:val="left"/>
        </w:tabs>
        <w:numPr>
          <w:ilvl w:val="1"/>
          <w:numId w:val="102"/>
        </w:numPr>
        <w:rPr>
          <w:rFonts w:ascii="Arial" w:cs="Arial" w:eastAsia="Arial" w:hAnsi="Arial"/>
          <w:sz w:val="22"/>
          <w:szCs w:val="22"/>
          <w:color w:val="auto"/>
        </w:rPr>
      </w:pPr>
      <w:r>
        <w:rPr>
          <w:rFonts w:ascii="Arial" w:cs="Arial" w:eastAsia="Arial" w:hAnsi="Arial"/>
          <w:sz w:val="18"/>
          <w:szCs w:val="18"/>
          <w:color w:val="auto"/>
        </w:rPr>
        <w:t>Payments or delivery of Shares (or, if applicable, consideration in respect of Acquirer RSUs) or cash in respect of the Participant’s Cash Account or, if applicable, the CIC Cash-Out Amount, under this Agreement may not be made earlier than (u) the Participant’s Separation from Service, (v) the date the Participant incurs a Section 409A Disability, (w) the Participant’s death or (x) a “specified time (or pursuant to a fixed schedule)” specified in this Agreement at the date of the deferral of such compensation;</w:t>
      </w:r>
    </w:p>
    <w:p>
      <w:pPr>
        <w:spacing w:after="0" w:line="236" w:lineRule="exact"/>
        <w:rPr>
          <w:rFonts w:ascii="Arial" w:cs="Arial" w:eastAsia="Arial" w:hAnsi="Arial"/>
          <w:sz w:val="22"/>
          <w:szCs w:val="22"/>
          <w:color w:val="auto"/>
        </w:rPr>
      </w:pPr>
    </w:p>
    <w:p>
      <w:pPr>
        <w:ind w:left="660" w:firstLine="1293"/>
        <w:spacing w:after="0" w:line="255" w:lineRule="auto"/>
        <w:tabs>
          <w:tab w:leader="none" w:pos="2549" w:val="left"/>
        </w:tabs>
        <w:numPr>
          <w:ilvl w:val="1"/>
          <w:numId w:val="102"/>
        </w:numPr>
        <w:rPr>
          <w:rFonts w:ascii="Arial" w:cs="Arial" w:eastAsia="Arial" w:hAnsi="Arial"/>
          <w:sz w:val="22"/>
          <w:szCs w:val="22"/>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54" w:lineRule="exact"/>
        <w:rPr>
          <w:rFonts w:ascii="Arial" w:cs="Arial" w:eastAsia="Arial" w:hAnsi="Arial"/>
          <w:sz w:val="22"/>
          <w:szCs w:val="22"/>
          <w:color w:val="auto"/>
        </w:rPr>
      </w:pPr>
    </w:p>
    <w:p>
      <w:pPr>
        <w:jc w:val="both"/>
        <w:ind w:left="660" w:firstLine="1293"/>
        <w:spacing w:after="0" w:line="272" w:lineRule="auto"/>
        <w:tabs>
          <w:tab w:leader="none" w:pos="2555" w:val="left"/>
        </w:tabs>
        <w:numPr>
          <w:ilvl w:val="1"/>
          <w:numId w:val="102"/>
        </w:numPr>
        <w:rPr>
          <w:rFonts w:ascii="Arial" w:cs="Arial" w:eastAsia="Arial" w:hAnsi="Arial"/>
          <w:sz w:val="22"/>
          <w:szCs w:val="22"/>
          <w:color w:val="auto"/>
        </w:rPr>
      </w:pPr>
      <w:r>
        <w:rPr>
          <w:rFonts w:ascii="Arial" w:cs="Arial" w:eastAsia="Arial" w:hAnsi="Arial"/>
          <w:sz w:val="18"/>
          <w:szCs w:val="18"/>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203" w:lineRule="exact"/>
        <w:rPr>
          <w:sz w:val="20"/>
          <w:szCs w:val="20"/>
          <w:color w:val="auto"/>
        </w:rPr>
      </w:pPr>
    </w:p>
    <w:p>
      <w:pPr>
        <w:jc w:val="both"/>
        <w:ind w:left="1620" w:hanging="323"/>
        <w:spacing w:after="0" w:line="256"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43" w:lineRule="exact"/>
        <w:rPr>
          <w:sz w:val="20"/>
          <w:szCs w:val="20"/>
          <w:color w:val="auto"/>
        </w:rPr>
      </w:pPr>
    </w:p>
    <w:p>
      <w:pPr>
        <w:jc w:val="both"/>
        <w:ind w:firstLine="1305"/>
        <w:spacing w:after="0" w:line="287" w:lineRule="auto"/>
        <w:tabs>
          <w:tab w:leader="none" w:pos="1784" w:val="left"/>
        </w:tabs>
        <w:numPr>
          <w:ilvl w:val="0"/>
          <w:numId w:val="103"/>
        </w:numPr>
        <w:rPr>
          <w:rFonts w:ascii="Arial" w:cs="Arial" w:eastAsia="Arial" w:hAnsi="Arial"/>
          <w:sz w:val="22"/>
          <w:szCs w:val="22"/>
          <w:color w:val="auto"/>
        </w:rPr>
      </w:pPr>
      <w:r>
        <w:rPr>
          <w:rFonts w:ascii="Arial" w:cs="Arial" w:eastAsia="Arial" w:hAnsi="Arial"/>
          <w:sz w:val="18"/>
          <w:szCs w:val="18"/>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29" w:lineRule="exact"/>
        <w:rPr>
          <w:sz w:val="20"/>
          <w:szCs w:val="20"/>
          <w:color w:val="auto"/>
        </w:rPr>
      </w:pPr>
    </w:p>
    <w:p>
      <w:pPr>
        <w:jc w:val="both"/>
        <w:ind w:firstLine="1305"/>
        <w:spacing w:after="0" w:line="272" w:lineRule="auto"/>
        <w:tabs>
          <w:tab w:leader="none" w:pos="1868" w:val="left"/>
        </w:tabs>
        <w:numPr>
          <w:ilvl w:val="0"/>
          <w:numId w:val="104"/>
        </w:numPr>
        <w:rPr>
          <w:rFonts w:ascii="Arial" w:cs="Arial" w:eastAsia="Arial" w:hAnsi="Arial"/>
          <w:sz w:val="22"/>
          <w:szCs w:val="22"/>
          <w:color w:val="auto"/>
        </w:rPr>
      </w:pPr>
      <w:r>
        <w:rPr>
          <w:rFonts w:ascii="Arial" w:cs="Arial" w:eastAsia="Arial" w:hAnsi="Arial"/>
          <w:sz w:val="18"/>
          <w:szCs w:val="18"/>
          <w:u w:val="single" w:color="auto"/>
          <w:color w:val="auto"/>
        </w:rPr>
        <w:t>Unfunded Agreement</w:t>
      </w:r>
      <w:r>
        <w:rPr>
          <w:rFonts w:ascii="Arial" w:cs="Arial" w:eastAsia="Arial" w:hAnsi="Arial"/>
          <w:sz w:val="18"/>
          <w:szCs w:val="18"/>
          <w:color w:val="auto"/>
        </w:rPr>
        <w:t>. The rights of the Participant under this Agreement with respect to the Company’s obligation to distribute Shares corresponding to vested RSUs (or, if applicable, consideration in respect of Acquirer RSUs) and the value of the Participant’s vested Cash Account or, if</w:t>
      </w:r>
    </w:p>
    <w:p>
      <w:pPr>
        <w:sectPr>
          <w:pgSz w:w="11900" w:h="16838" w:orient="portrait"/>
          <w:cols w:equalWidth="0" w:num="1">
            <w:col w:w="11420"/>
          </w:cols>
          <w:pgMar w:left="240" w:top="14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applicable, the CIC Cash-Out Amount, if any, shall be unfunded and shall not be greater than the rights of an unsecured general creditor of the Company.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as of the Grant Date.</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WORLD FUEL SERVICES CORPORATION</w:t>
      </w:r>
    </w:p>
    <w:p>
      <w:pPr>
        <w:spacing w:after="0" w:line="35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-19050</wp:posOffset>
            </wp:positionV>
            <wp:extent cx="889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9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Ira M. Birns</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Executive Vice President and Chief Financial Officer</w:t>
      </w:r>
    </w:p>
    <w:p>
      <w:pPr>
        <w:spacing w:after="0" w:line="2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u w:val="single" w:color="auto"/>
          <w:color w:val="auto"/>
        </w:rPr>
        <w:t>PARTICIPANT</w:t>
      </w:r>
    </w:p>
    <w:p>
      <w:pPr>
        <w:spacing w:after="0" w:line="24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-19050</wp:posOffset>
            </wp:positionV>
            <wp:extent cx="762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62000" cy="8890"/>
                    </a:xfrm>
                    <a:prstGeom prst="rect">
                      <a:avLst/>
                    </a:prstGeom>
                    <a:noFill/>
                  </pic:spPr>
                </pic:pic>
              </a:graphicData>
            </a:graphic>
          </wp:anchor>
        </w:drawing>
      </w:r>
    </w:p>
    <w:p>
      <w:pPr>
        <w:spacing w:after="0" w:line="2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Michael J. Kasbar</w:t>
      </w:r>
    </w:p>
    <w:p>
      <w:pPr>
        <w:sectPr>
          <w:pgSz w:w="11900" w:h="16838" w:orient="portrait"/>
          <w:cols w:equalWidth="0" w:num="1">
            <w:col w:w="11420"/>
          </w:cols>
          <w:pgMar w:left="240" w:top="14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VESTING SCHEDULE</w:t>
      </w:r>
    </w:p>
    <w:p>
      <w:pPr>
        <w:sectPr>
          <w:pgSz w:w="11900" w:h="16838" w:orient="portrait"/>
          <w:cols w:equalWidth="0" w:num="1">
            <w:col w:w="11420"/>
          </w:cols>
          <w:pgMar w:left="240" w:top="14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t>Exhibit 10.17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Nobel Paul RSU 03 15 10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AGREEMENT</w:t>
      </w:r>
    </w:p>
    <w:p>
      <w:pPr>
        <w:spacing w:after="0" w:line="229" w:lineRule="exact"/>
        <w:rPr>
          <w:sz w:val="20"/>
          <w:szCs w:val="20"/>
          <w:color w:val="auto"/>
        </w:rPr>
      </w:pPr>
    </w:p>
    <w:p>
      <w:pPr>
        <w:jc w:val="both"/>
        <w:ind w:right="20" w:firstLine="1305"/>
        <w:spacing w:after="0" w:line="270" w:lineRule="auto"/>
        <w:tabs>
          <w:tab w:leader="none" w:pos="2165"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The Compensation Committee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of the Board of Directors of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has awarded to </w:t>
      </w:r>
      <w:r>
        <w:rPr>
          <w:rFonts w:ascii="Arial" w:cs="Arial" w:eastAsia="Arial" w:hAnsi="Arial"/>
          <w:sz w:val="20"/>
          <w:szCs w:val="20"/>
          <w:i w:val="1"/>
          <w:iCs w:val="1"/>
          <w:color w:val="auto"/>
        </w:rPr>
        <w:t>Ira Birns</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w:t>
      </w:r>
    </w:p>
    <w:p>
      <w:pPr>
        <w:jc w:val="both"/>
        <w:spacing w:after="0" w:line="276" w:lineRule="auto"/>
        <w:rPr>
          <w:rFonts w:ascii="Arial" w:cs="Arial" w:eastAsia="Arial" w:hAnsi="Arial"/>
          <w:sz w:val="20"/>
          <w:szCs w:val="20"/>
          <w:color w:val="auto"/>
        </w:rPr>
      </w:pPr>
      <w:r>
        <w:rPr>
          <w:rFonts w:ascii="Arial" w:cs="Arial" w:eastAsia="Arial" w:hAnsi="Arial"/>
          <w:sz w:val="20"/>
          <w:szCs w:val="20"/>
          <w:u w:val="single" w:color="auto"/>
          <w:color w:val="auto"/>
        </w:rPr>
        <w:t>__________</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__________</w:t>
      </w:r>
      <w:r>
        <w:rPr>
          <w:rFonts w:ascii="Arial" w:cs="Arial" w:eastAsia="Arial" w:hAnsi="Arial"/>
          <w:sz w:val="20"/>
          <w:szCs w:val="20"/>
          <w:color w:val="auto"/>
        </w:rPr>
        <w:t xml:space="preserve">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RSUs have been granted under the Company’s 2006 Omnibus Plan, as amended and restated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215" w:lineRule="exact"/>
        <w:rPr>
          <w:rFonts w:ascii="Arial" w:cs="Arial" w:eastAsia="Arial" w:hAnsi="Arial"/>
          <w:sz w:val="20"/>
          <w:szCs w:val="20"/>
          <w:color w:val="auto"/>
        </w:rPr>
      </w:pPr>
    </w:p>
    <w:p>
      <w:pPr>
        <w:ind w:firstLine="1305"/>
        <w:spacing w:after="0" w:line="251" w:lineRule="auto"/>
        <w:tabs>
          <w:tab w:leader="none" w:pos="1787" w:val="left"/>
        </w:tabs>
        <w:numPr>
          <w:ilvl w:val="0"/>
          <w:numId w:val="105"/>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w:t>
      </w:r>
    </w:p>
    <w:p>
      <w:pPr>
        <w:spacing w:after="0" w:line="214" w:lineRule="exact"/>
        <w:rPr>
          <w:sz w:val="20"/>
          <w:szCs w:val="20"/>
          <w:color w:val="auto"/>
        </w:rPr>
      </w:pPr>
    </w:p>
    <w:p>
      <w:pPr>
        <w:ind w:left="1780" w:hanging="475"/>
        <w:spacing w:after="0"/>
        <w:tabs>
          <w:tab w:leader="none" w:pos="1780" w:val="left"/>
        </w:tabs>
        <w:numPr>
          <w:ilvl w:val="0"/>
          <w:numId w:val="106"/>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w:t>
      </w:r>
    </w:p>
    <w:p>
      <w:pPr>
        <w:spacing w:after="0" w:line="257" w:lineRule="exact"/>
        <w:rPr>
          <w:rFonts w:ascii="Arial" w:cs="Arial" w:eastAsia="Arial" w:hAnsi="Arial"/>
          <w:sz w:val="22"/>
          <w:szCs w:val="22"/>
          <w:color w:val="auto"/>
        </w:rPr>
      </w:pPr>
    </w:p>
    <w:p>
      <w:pPr>
        <w:ind w:left="660" w:firstLine="1293"/>
        <w:spacing w:after="0" w:line="251" w:lineRule="auto"/>
        <w:tabs>
          <w:tab w:leader="none" w:pos="2421" w:val="left"/>
        </w:tabs>
        <w:numPr>
          <w:ilvl w:val="1"/>
          <w:numId w:val="106"/>
        </w:numPr>
        <w:rPr>
          <w:rFonts w:ascii="Arial" w:cs="Arial" w:eastAsia="Arial" w:hAnsi="Arial"/>
          <w:sz w:val="22"/>
          <w:szCs w:val="22"/>
          <w:color w:val="auto"/>
        </w:rPr>
      </w:pPr>
      <w:r>
        <w:rPr>
          <w:rFonts w:ascii="Arial" w:cs="Arial" w:eastAsia="Arial" w:hAnsi="Arial"/>
          <w:sz w:val="20"/>
          <w:szCs w:val="20"/>
          <w:color w:val="auto"/>
        </w:rPr>
        <w:t>the failure by the Participant to perform, in a reasonable manner, his or her duties as assigned by the Company or any Subsidiary;</w:t>
      </w:r>
    </w:p>
    <w:p>
      <w:pPr>
        <w:spacing w:after="0" w:line="237" w:lineRule="exact"/>
        <w:rPr>
          <w:rFonts w:ascii="Arial" w:cs="Arial" w:eastAsia="Arial" w:hAnsi="Arial"/>
          <w:sz w:val="22"/>
          <w:szCs w:val="22"/>
          <w:color w:val="auto"/>
        </w:rPr>
      </w:pPr>
    </w:p>
    <w:p>
      <w:pPr>
        <w:ind w:left="660" w:firstLine="1293"/>
        <w:spacing w:after="0" w:line="251" w:lineRule="auto"/>
        <w:tabs>
          <w:tab w:leader="none" w:pos="2549" w:val="left"/>
        </w:tabs>
        <w:numPr>
          <w:ilvl w:val="1"/>
          <w:numId w:val="106"/>
        </w:numPr>
        <w:rPr>
          <w:rFonts w:ascii="Arial" w:cs="Arial" w:eastAsia="Arial" w:hAnsi="Arial"/>
          <w:sz w:val="22"/>
          <w:szCs w:val="22"/>
          <w:color w:val="auto"/>
        </w:rPr>
      </w:pPr>
      <w:r>
        <w:rPr>
          <w:rFonts w:ascii="Arial" w:cs="Arial" w:eastAsia="Arial" w:hAnsi="Arial"/>
          <w:sz w:val="20"/>
          <w:szCs w:val="20"/>
          <w:color w:val="auto"/>
        </w:rPr>
        <w:t>any violation or breach by the Participant of his or her employment agreement, consulting or other similar agreement with the Company or any Subsidiary, if any;</w:t>
      </w:r>
    </w:p>
    <w:p>
      <w:pPr>
        <w:spacing w:after="0" w:line="237" w:lineRule="exact"/>
        <w:rPr>
          <w:rFonts w:ascii="Arial" w:cs="Arial" w:eastAsia="Arial" w:hAnsi="Arial"/>
          <w:sz w:val="22"/>
          <w:szCs w:val="22"/>
          <w:color w:val="auto"/>
        </w:rPr>
      </w:pPr>
    </w:p>
    <w:p>
      <w:pPr>
        <w:ind w:left="660" w:firstLine="1293"/>
        <w:spacing w:after="0" w:line="251" w:lineRule="auto"/>
        <w:tabs>
          <w:tab w:leader="none" w:pos="2650" w:val="left"/>
        </w:tabs>
        <w:numPr>
          <w:ilvl w:val="1"/>
          <w:numId w:val="106"/>
        </w:numPr>
        <w:rPr>
          <w:rFonts w:ascii="Arial" w:cs="Arial" w:eastAsia="Arial" w:hAnsi="Arial"/>
          <w:sz w:val="22"/>
          <w:szCs w:val="22"/>
          <w:color w:val="auto"/>
        </w:rPr>
      </w:pPr>
      <w:r>
        <w:rPr>
          <w:rFonts w:ascii="Arial" w:cs="Arial" w:eastAsia="Arial" w:hAnsi="Arial"/>
          <w:sz w:val="20"/>
          <w:szCs w:val="20"/>
          <w:color w:val="auto"/>
        </w:rPr>
        <w:t>any violation or breach by the Participant of any non-competition, non-solicitation, non-disclosure and/or other similar agreement with the Company or any Subsidiary;</w:t>
      </w:r>
    </w:p>
    <w:p>
      <w:pPr>
        <w:spacing w:after="0" w:line="237" w:lineRule="exact"/>
        <w:rPr>
          <w:rFonts w:ascii="Arial" w:cs="Arial" w:eastAsia="Arial" w:hAnsi="Arial"/>
          <w:sz w:val="22"/>
          <w:szCs w:val="22"/>
          <w:color w:val="auto"/>
        </w:rPr>
      </w:pPr>
    </w:p>
    <w:p>
      <w:pPr>
        <w:ind w:left="660" w:firstLine="1293"/>
        <w:spacing w:after="0" w:line="251" w:lineRule="auto"/>
        <w:tabs>
          <w:tab w:leader="none" w:pos="2516" w:val="left"/>
        </w:tabs>
        <w:numPr>
          <w:ilvl w:val="1"/>
          <w:numId w:val="106"/>
        </w:numPr>
        <w:rPr>
          <w:rFonts w:ascii="Arial" w:cs="Arial" w:eastAsia="Arial" w:hAnsi="Arial"/>
          <w:sz w:val="22"/>
          <w:szCs w:val="22"/>
          <w:color w:val="auto"/>
        </w:rPr>
      </w:pPr>
      <w:r>
        <w:rPr>
          <w:rFonts w:ascii="Arial" w:cs="Arial" w:eastAsia="Arial" w:hAnsi="Arial"/>
          <w:sz w:val="20"/>
          <w:szCs w:val="20"/>
          <w:color w:val="auto"/>
        </w:rPr>
        <w:t>any violation or breach by the Participant of the Company’s Code of Corporate Conduct and Ethics or any other Company policy;</w:t>
      </w:r>
    </w:p>
    <w:p>
      <w:pPr>
        <w:spacing w:after="0" w:line="221" w:lineRule="exact"/>
        <w:rPr>
          <w:rFonts w:ascii="Arial" w:cs="Arial" w:eastAsia="Arial" w:hAnsi="Arial"/>
          <w:sz w:val="22"/>
          <w:szCs w:val="22"/>
          <w:color w:val="auto"/>
        </w:rPr>
      </w:pPr>
    </w:p>
    <w:p>
      <w:pPr>
        <w:ind w:left="2440" w:hanging="487"/>
        <w:spacing w:after="0"/>
        <w:tabs>
          <w:tab w:leader="none" w:pos="2440" w:val="left"/>
        </w:tabs>
        <w:numPr>
          <w:ilvl w:val="1"/>
          <w:numId w:val="106"/>
        </w:numPr>
        <w:rPr>
          <w:rFonts w:ascii="Arial" w:cs="Arial" w:eastAsia="Arial" w:hAnsi="Arial"/>
          <w:sz w:val="22"/>
          <w:szCs w:val="22"/>
          <w:color w:val="auto"/>
        </w:rPr>
      </w:pPr>
      <w:r>
        <w:rPr>
          <w:rFonts w:ascii="Arial" w:cs="Arial" w:eastAsia="Arial" w:hAnsi="Arial"/>
          <w:sz w:val="20"/>
          <w:szCs w:val="20"/>
          <w:color w:val="auto"/>
        </w:rPr>
        <w:t>any act by the Participant of dishonesty or bad faith with respect to the Company or any Subsidiary;</w:t>
      </w:r>
    </w:p>
    <w:p>
      <w:pPr>
        <w:spacing w:after="0" w:line="233" w:lineRule="exact"/>
        <w:rPr>
          <w:rFonts w:ascii="Arial" w:cs="Arial" w:eastAsia="Arial" w:hAnsi="Arial"/>
          <w:sz w:val="22"/>
          <w:szCs w:val="22"/>
          <w:color w:val="auto"/>
        </w:rPr>
      </w:pPr>
    </w:p>
    <w:p>
      <w:pPr>
        <w:ind w:left="2540" w:hanging="587"/>
        <w:spacing w:after="0"/>
        <w:tabs>
          <w:tab w:leader="none" w:pos="2540" w:val="left"/>
        </w:tabs>
        <w:numPr>
          <w:ilvl w:val="1"/>
          <w:numId w:val="106"/>
        </w:numPr>
        <w:rPr>
          <w:rFonts w:ascii="Arial" w:cs="Arial" w:eastAsia="Arial" w:hAnsi="Arial"/>
          <w:sz w:val="22"/>
          <w:szCs w:val="22"/>
          <w:color w:val="auto"/>
        </w:rPr>
      </w:pPr>
      <w:r>
        <w:rPr>
          <w:rFonts w:ascii="Arial" w:cs="Arial" w:eastAsia="Arial" w:hAnsi="Arial"/>
          <w:sz w:val="20"/>
          <w:szCs w:val="20"/>
          <w:color w:val="auto"/>
        </w:rPr>
        <w:t>use of alcohol, drugs or other similar substances in a manner that adversely affects the Participant’s</w:t>
      </w:r>
    </w:p>
    <w:p>
      <w:pPr>
        <w:spacing w:after="0" w:line="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work performance; or</w:t>
      </w:r>
    </w:p>
    <w:p>
      <w:pPr>
        <w:spacing w:after="0" w:line="256" w:lineRule="exact"/>
        <w:rPr>
          <w:rFonts w:ascii="Arial" w:cs="Arial" w:eastAsia="Arial" w:hAnsi="Arial"/>
          <w:sz w:val="22"/>
          <w:szCs w:val="22"/>
          <w:color w:val="auto"/>
        </w:rPr>
      </w:pPr>
    </w:p>
    <w:p>
      <w:pPr>
        <w:ind w:left="660" w:firstLine="1293"/>
        <w:spacing w:after="0" w:line="251" w:lineRule="auto"/>
        <w:tabs>
          <w:tab w:leader="none" w:pos="2576" w:val="left"/>
        </w:tabs>
        <w:numPr>
          <w:ilvl w:val="1"/>
          <w:numId w:val="106"/>
        </w:numPr>
        <w:rPr>
          <w:rFonts w:ascii="Arial" w:cs="Arial" w:eastAsia="Arial" w:hAnsi="Arial"/>
          <w:sz w:val="22"/>
          <w:szCs w:val="22"/>
          <w:color w:val="auto"/>
        </w:rPr>
      </w:pPr>
      <w:r>
        <w:rPr>
          <w:rFonts w:ascii="Arial" w:cs="Arial" w:eastAsia="Arial" w:hAnsi="Arial"/>
          <w:sz w:val="20"/>
          <w:szCs w:val="20"/>
          <w:color w:val="auto"/>
        </w:rPr>
        <w:t>the commission by the Participant of any act, misdemeanor, or crime reflecting unfavorably upon the Participant or the Company or any Subsidiary.</w:t>
      </w:r>
    </w:p>
    <w:p>
      <w:pPr>
        <w:spacing w:after="0" w:line="211" w:lineRule="exact"/>
        <w:rPr>
          <w:sz w:val="20"/>
          <w:szCs w:val="20"/>
          <w:color w:val="auto"/>
        </w:rPr>
      </w:pPr>
    </w:p>
    <w:p>
      <w:pPr>
        <w:jc w:val="both"/>
        <w:ind w:left="1620" w:hanging="323"/>
        <w:spacing w:after="0" w:line="241" w:lineRule="auto"/>
        <w:rPr>
          <w:sz w:val="20"/>
          <w:szCs w:val="20"/>
          <w:color w:val="auto"/>
        </w:rPr>
      </w:pPr>
      <w:r>
        <w:rPr>
          <w:rFonts w:ascii="Arial" w:cs="Arial" w:eastAsia="Arial" w:hAnsi="Arial"/>
          <w:sz w:val="20"/>
          <w:szCs w:val="20"/>
          <w:color w:val="auto"/>
        </w:rPr>
        <w:t>The good faith determination by the Committee of whether the Participant’s employment or service was terminated for “Cause” shall be final and binding for all purposes hereunder. Notwithstanding the foregoing, the definition of “Cause” shall, following a Change of Control, be modified so that (x) clause (i) shall no longer be applicable, (y) the Participant shall not be terminated for Cause pursuant to clause (ii), (iii) or (iv) unless the applicable violation or breach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[[NYCORP:3270762v13:3208W:03/25/11--11:14 a]]</w:t>
      </w:r>
    </w:p>
    <w:p>
      <w:pPr>
        <w:sectPr>
          <w:pgSz w:w="11900" w:h="16838" w:orient="portrait"/>
          <w:cols w:equalWidth="0" w:num="1">
            <w:col w:w="11420"/>
          </w:cols>
          <w:pgMar w:left="240" w:top="293"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620"/>
        <w:spacing w:after="0" w:line="247" w:lineRule="auto"/>
        <w:rPr>
          <w:sz w:val="20"/>
          <w:szCs w:val="20"/>
          <w:color w:val="auto"/>
        </w:rPr>
      </w:pPr>
      <w:r>
        <w:rPr>
          <w:rFonts w:ascii="Arial" w:cs="Arial" w:eastAsia="Arial" w:hAnsi="Arial"/>
          <w:sz w:val="20"/>
          <w:szCs w:val="20"/>
          <w:color w:val="auto"/>
        </w:rPr>
        <w:t>is material and (z) the Participant shall not be terminated for Cause pursuant to clause (vii) for applicable acts that do not constitute misdemeanors or crimes.</w:t>
      </w:r>
    </w:p>
    <w:p>
      <w:pPr>
        <w:spacing w:after="0" w:line="205" w:lineRule="exact"/>
        <w:rPr>
          <w:sz w:val="20"/>
          <w:szCs w:val="20"/>
          <w:color w:val="auto"/>
        </w:rPr>
      </w:pPr>
    </w:p>
    <w:p>
      <w:pPr>
        <w:jc w:val="both"/>
        <w:ind w:firstLine="1305"/>
        <w:spacing w:after="0" w:line="266" w:lineRule="auto"/>
        <w:tabs>
          <w:tab w:leader="none" w:pos="1891" w:val="left"/>
        </w:tabs>
        <w:numPr>
          <w:ilvl w:val="1"/>
          <w:numId w:val="107"/>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the inability of the Participant, due to illness, accident or any other physical or mental incapacity, to perform his or her employment duties for the Company and its Subsidiaries for an aggregate of one hundred eighty</w:t>
      </w:r>
    </w:p>
    <w:p>
      <w:pPr>
        <w:spacing w:after="0" w:line="1" w:lineRule="exact"/>
        <w:rPr>
          <w:rFonts w:ascii="Arial" w:cs="Arial" w:eastAsia="Arial" w:hAnsi="Arial"/>
          <w:sz w:val="22"/>
          <w:szCs w:val="22"/>
          <w:color w:val="auto"/>
        </w:rPr>
      </w:pPr>
    </w:p>
    <w:p>
      <w:pPr>
        <w:ind w:left="520" w:hanging="512"/>
        <w:spacing w:after="0"/>
        <w:tabs>
          <w:tab w:leader="none" w:pos="5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days within any period of twelve (12) consecutive months.</w:t>
      </w:r>
    </w:p>
    <w:p>
      <w:pPr>
        <w:spacing w:after="0" w:line="232" w:lineRule="exact"/>
        <w:rPr>
          <w:rFonts w:ascii="Arial" w:cs="Arial" w:eastAsia="Arial" w:hAnsi="Arial"/>
          <w:sz w:val="20"/>
          <w:szCs w:val="20"/>
          <w:color w:val="auto"/>
        </w:rPr>
      </w:pPr>
    </w:p>
    <w:p>
      <w:pPr>
        <w:ind w:left="1780" w:hanging="475"/>
        <w:spacing w:after="0"/>
        <w:tabs>
          <w:tab w:leader="none" w:pos="1780" w:val="left"/>
        </w:tabs>
        <w:numPr>
          <w:ilvl w:val="1"/>
          <w:numId w:val="108"/>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within the two (2) year period following a Change of Control:</w:t>
      </w:r>
    </w:p>
    <w:p>
      <w:pPr>
        <w:spacing w:after="0" w:line="257" w:lineRule="exact"/>
        <w:rPr>
          <w:rFonts w:ascii="Arial" w:cs="Arial" w:eastAsia="Arial" w:hAnsi="Arial"/>
          <w:sz w:val="22"/>
          <w:szCs w:val="22"/>
          <w:color w:val="auto"/>
        </w:rPr>
      </w:pPr>
    </w:p>
    <w:p>
      <w:pPr>
        <w:jc w:val="both"/>
        <w:ind w:left="660" w:firstLine="1293"/>
        <w:spacing w:after="0" w:line="263" w:lineRule="auto"/>
        <w:tabs>
          <w:tab w:leader="none" w:pos="2665" w:val="left"/>
        </w:tabs>
        <w:numPr>
          <w:ilvl w:val="2"/>
          <w:numId w:val="108"/>
        </w:numPr>
        <w:rPr>
          <w:rFonts w:ascii="Arial" w:cs="Arial" w:eastAsia="Arial" w:hAnsi="Arial"/>
          <w:sz w:val="22"/>
          <w:szCs w:val="22"/>
          <w:color w:val="auto"/>
        </w:rPr>
      </w:pPr>
      <w:r>
        <w:rPr>
          <w:rFonts w:ascii="Arial" w:cs="Arial" w:eastAsia="Arial" w:hAnsi="Arial"/>
          <w:sz w:val="20"/>
          <w:szCs w:val="20"/>
          <w:color w:val="auto"/>
        </w:rPr>
        <w:t>the assignment to the Participant of any duties inconsistent in any material respect with the Participant’s position (including status, title and reporting requirements), authority, duties or responsibilities, or any other action by the Company that results in a material diminution in such position, authority, duties or responsibilities, excluding for this purpose any action not taken in bad faith and which is remedied by the Company promptly after notice thereof given by the Participant;</w:t>
      </w:r>
    </w:p>
    <w:p>
      <w:pPr>
        <w:spacing w:after="0" w:line="227" w:lineRule="exact"/>
        <w:rPr>
          <w:rFonts w:ascii="Arial" w:cs="Arial" w:eastAsia="Arial" w:hAnsi="Arial"/>
          <w:sz w:val="22"/>
          <w:szCs w:val="22"/>
          <w:color w:val="auto"/>
        </w:rPr>
      </w:pPr>
    </w:p>
    <w:p>
      <w:pPr>
        <w:ind w:left="660" w:firstLine="1293"/>
        <w:spacing w:after="0" w:line="251" w:lineRule="auto"/>
        <w:tabs>
          <w:tab w:leader="none" w:pos="2468" w:val="left"/>
        </w:tabs>
        <w:numPr>
          <w:ilvl w:val="2"/>
          <w:numId w:val="108"/>
        </w:numPr>
        <w:rPr>
          <w:rFonts w:ascii="Arial" w:cs="Arial" w:eastAsia="Arial" w:hAnsi="Arial"/>
          <w:sz w:val="22"/>
          <w:szCs w:val="22"/>
          <w:color w:val="auto"/>
        </w:rPr>
      </w:pPr>
      <w:r>
        <w:rPr>
          <w:rFonts w:ascii="Arial" w:cs="Arial" w:eastAsia="Arial" w:hAnsi="Arial"/>
          <w:sz w:val="20"/>
          <w:szCs w:val="20"/>
          <w:color w:val="auto"/>
        </w:rPr>
        <w:t>any reduction in, or failure to pay, the Participant’s base salary, other than a reduction or failure that is remedied by the Company within 15 days after notice thereof given by the Participant;</w:t>
      </w:r>
    </w:p>
    <w:p>
      <w:pPr>
        <w:spacing w:after="0" w:line="237" w:lineRule="exact"/>
        <w:rPr>
          <w:rFonts w:ascii="Arial" w:cs="Arial" w:eastAsia="Arial" w:hAnsi="Arial"/>
          <w:sz w:val="22"/>
          <w:szCs w:val="22"/>
          <w:color w:val="auto"/>
        </w:rPr>
      </w:pPr>
    </w:p>
    <w:p>
      <w:pPr>
        <w:jc w:val="both"/>
        <w:ind w:left="660" w:firstLine="1293"/>
        <w:spacing w:after="0" w:line="261" w:lineRule="auto"/>
        <w:tabs>
          <w:tab w:leader="none" w:pos="2717" w:val="left"/>
        </w:tabs>
        <w:numPr>
          <w:ilvl w:val="2"/>
          <w:numId w:val="108"/>
        </w:numPr>
        <w:rPr>
          <w:rFonts w:ascii="Arial" w:cs="Arial" w:eastAsia="Arial" w:hAnsi="Arial"/>
          <w:sz w:val="22"/>
          <w:szCs w:val="22"/>
          <w:color w:val="auto"/>
        </w:rPr>
      </w:pPr>
      <w:r>
        <w:rPr>
          <w:rFonts w:ascii="Arial" w:cs="Arial" w:eastAsia="Arial" w:hAnsi="Arial"/>
          <w:sz w:val="20"/>
          <w:szCs w:val="20"/>
          <w:color w:val="auto"/>
        </w:rPr>
        <w:t>any failure by the Company to provide the Participant with bonus and equity opportunities, or employee benefits and perquisites in the aggregate, that are not less than those provided to the Participant in the calendar year immediately preceding the Change in Control, other than a failure not occurring in bad faith and that is remedied by the Company within 15 days after receipt of notice thereof given by the Participant; or</w:t>
      </w:r>
    </w:p>
    <w:p>
      <w:pPr>
        <w:spacing w:after="0" w:line="230" w:lineRule="exact"/>
        <w:rPr>
          <w:rFonts w:ascii="Arial" w:cs="Arial" w:eastAsia="Arial" w:hAnsi="Arial"/>
          <w:sz w:val="22"/>
          <w:szCs w:val="22"/>
          <w:color w:val="auto"/>
        </w:rPr>
      </w:pPr>
    </w:p>
    <w:p>
      <w:pPr>
        <w:jc w:val="both"/>
        <w:ind w:left="660" w:firstLine="1293"/>
        <w:spacing w:after="0" w:line="258" w:lineRule="auto"/>
        <w:tabs>
          <w:tab w:leader="none" w:pos="2503" w:val="left"/>
        </w:tabs>
        <w:numPr>
          <w:ilvl w:val="2"/>
          <w:numId w:val="108"/>
        </w:numPr>
        <w:rPr>
          <w:rFonts w:ascii="Arial" w:cs="Arial" w:eastAsia="Arial" w:hAnsi="Arial"/>
          <w:sz w:val="22"/>
          <w:szCs w:val="22"/>
          <w:color w:val="auto"/>
        </w:rPr>
      </w:pPr>
      <w:r>
        <w:rPr>
          <w:rFonts w:ascii="Arial" w:cs="Arial" w:eastAsia="Arial" w:hAnsi="Arial"/>
          <w:sz w:val="20"/>
          <w:szCs w:val="20"/>
          <w:color w:val="auto"/>
        </w:rPr>
        <w:t>the Company’s requiring the Participant to be based at any office or location outside of Miami-Dade or Broward County, Florida, except for travel reasonably required in the performance of the Participant’s responsibilities, consistent with the Participant’s position.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0"/>
          <w:szCs w:val="20"/>
          <w:color w:val="auto"/>
        </w:rPr>
        <w:t>Notwithstanding anything to the contrary contained herein, the Participant shall not be entitled to terminate employment and be eligible to vest in the portion of the RSUs described in Section 3(b)(iii) of this Agreement as the result of the occurrence of any event of the foregoing events unless, within 90 days following the occurrence of such event, the Participant provides written notice to the Company of the occurrence of such event, which notice sets forth the exact nature of the event and the conduct required to cure such event. The Company will have 30 days from the receipt of such notice (such period, the “</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within which to cure the circumstances giving rise to Good Reason. If, during the Cure Period, such event is remedied, then the Participant shall not be permitted to terminate employment and be eligible to vest in the portion of the RSUs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portion of the RSUs described in Section 3(b)(iii) of this Agreement as a result of such Good Reason.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0" w:hanging="495"/>
        <w:spacing w:after="0"/>
        <w:tabs>
          <w:tab w:leader="none" w:pos="1800" w:val="left"/>
        </w:tabs>
        <w:numPr>
          <w:ilvl w:val="0"/>
          <w:numId w:val="10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Code and the Treasury Regulations thereunder.</w:t>
      </w:r>
    </w:p>
    <w:p>
      <w:pPr>
        <w:spacing w:after="0" w:line="233" w:lineRule="exact"/>
        <w:rPr>
          <w:rFonts w:ascii="Arial" w:cs="Arial" w:eastAsia="Arial" w:hAnsi="Arial"/>
          <w:sz w:val="22"/>
          <w:szCs w:val="22"/>
          <w:color w:val="auto"/>
        </w:rPr>
      </w:pPr>
    </w:p>
    <w:p>
      <w:pPr>
        <w:ind w:firstLine="1305"/>
        <w:spacing w:after="0" w:line="276" w:lineRule="auto"/>
        <w:tabs>
          <w:tab w:leader="none" w:pos="1770" w:val="left"/>
        </w:tabs>
        <w:numPr>
          <w:ilvl w:val="0"/>
          <w:numId w:val="10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 CIC</w:t>
      </w:r>
      <w:r>
        <w:rPr>
          <w:rFonts w:ascii="Arial" w:cs="Arial" w:eastAsia="Arial" w:hAnsi="Arial"/>
          <w:sz w:val="20"/>
          <w:szCs w:val="20"/>
          <w:color w:val="auto"/>
        </w:rPr>
        <w:t>” means a Change of Control that satisfies the requirements of Section 409A(a)(2)(A)(v) of the Code and the Treasury Regulations thereunder.</w:t>
      </w:r>
    </w:p>
    <w:p>
      <w:pPr>
        <w:spacing w:after="0" w:line="187" w:lineRule="exact"/>
        <w:rPr>
          <w:rFonts w:ascii="Arial" w:cs="Arial" w:eastAsia="Arial" w:hAnsi="Arial"/>
          <w:sz w:val="22"/>
          <w:szCs w:val="22"/>
          <w:color w:val="auto"/>
        </w:rPr>
      </w:pPr>
    </w:p>
    <w:p>
      <w:pPr>
        <w:ind w:left="1760" w:hanging="455"/>
        <w:spacing w:after="0"/>
        <w:tabs>
          <w:tab w:leader="none" w:pos="1760" w:val="left"/>
        </w:tabs>
        <w:numPr>
          <w:ilvl w:val="0"/>
          <w:numId w:val="10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 Disability</w:t>
      </w:r>
      <w:r>
        <w:rPr>
          <w:rFonts w:ascii="Arial" w:cs="Arial" w:eastAsia="Arial" w:hAnsi="Arial"/>
          <w:sz w:val="20"/>
          <w:szCs w:val="20"/>
          <w:color w:val="auto"/>
        </w:rPr>
        <w:t>” means a “disability” within the meaning of Section 409A.</w:t>
      </w:r>
    </w:p>
    <w:p>
      <w:pPr>
        <w:spacing w:after="0" w:line="233" w:lineRule="exact"/>
        <w:rPr>
          <w:rFonts w:ascii="Arial" w:cs="Arial" w:eastAsia="Arial" w:hAnsi="Arial"/>
          <w:sz w:val="22"/>
          <w:szCs w:val="22"/>
          <w:color w:val="auto"/>
        </w:rPr>
      </w:pPr>
    </w:p>
    <w:p>
      <w:pPr>
        <w:ind w:firstLine="1305"/>
        <w:spacing w:after="0" w:line="276" w:lineRule="auto"/>
        <w:tabs>
          <w:tab w:leader="none" w:pos="1823" w:val="left"/>
        </w:tabs>
        <w:numPr>
          <w:ilvl w:val="0"/>
          <w:numId w:val="10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means a termination of employment with the Company and its Subsidiaries that constitutes a “separation from service” within the meaning of Section 409A.</w:t>
      </w:r>
    </w:p>
    <w:p>
      <w:pPr>
        <w:spacing w:after="0" w:line="187" w:lineRule="exact"/>
        <w:rPr>
          <w:rFonts w:ascii="Arial" w:cs="Arial" w:eastAsia="Arial" w:hAnsi="Arial"/>
          <w:sz w:val="22"/>
          <w:szCs w:val="22"/>
          <w:color w:val="auto"/>
        </w:rPr>
      </w:pPr>
    </w:p>
    <w:p>
      <w:pPr>
        <w:ind w:left="1860" w:hanging="555"/>
        <w:spacing w:after="0"/>
        <w:tabs>
          <w:tab w:leader="none" w:pos="1860" w:val="left"/>
        </w:tabs>
        <w:numPr>
          <w:ilvl w:val="0"/>
          <w:numId w:val="10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 or</w:t>
      </w:r>
    </w:p>
    <w:p>
      <w:pPr>
        <w:spacing w:after="0" w:line="2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any Subsidiary.</w:t>
      </w:r>
    </w:p>
    <w:p>
      <w:pPr>
        <w:spacing w:after="0" w:line="256" w:lineRule="exact"/>
        <w:rPr>
          <w:sz w:val="20"/>
          <w:szCs w:val="20"/>
          <w:color w:val="auto"/>
        </w:rPr>
      </w:pPr>
    </w:p>
    <w:p>
      <w:pPr>
        <w:jc w:val="both"/>
        <w:ind w:firstLine="1305"/>
        <w:spacing w:after="0" w:line="263" w:lineRule="auto"/>
        <w:tabs>
          <w:tab w:leader="none" w:pos="1922" w:val="left"/>
        </w:tabs>
        <w:numPr>
          <w:ilvl w:val="0"/>
          <w:numId w:val="110"/>
        </w:numPr>
        <w:rPr>
          <w:rFonts w:ascii="Arial" w:cs="Arial" w:eastAsia="Arial" w:hAnsi="Arial"/>
          <w:sz w:val="22"/>
          <w:szCs w:val="22"/>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 (%2)Subject to the provisions of this Section 3, if the Participant is continuously employed by the Company or any Subsidiary from the Grant Date through and until the dates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xml:space="preserve">”) set forth in the vesting schedule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then the RSUs shall become vested as set forth in the Vesting Schedule on the applicable Vesting Date. Except as otherwise provided in this Section 3, there shall be no proportionate or partial vesting of the RSUs prior to the applicable Vesting Date.</w:t>
      </w:r>
    </w:p>
    <w:p>
      <w:pPr>
        <w:spacing w:after="0" w:line="212" w:lineRule="exact"/>
        <w:rPr>
          <w:sz w:val="20"/>
          <w:szCs w:val="20"/>
          <w:color w:val="auto"/>
        </w:rPr>
      </w:pPr>
    </w:p>
    <w:p>
      <w:pPr>
        <w:ind w:left="1780" w:hanging="475"/>
        <w:spacing w:after="0"/>
        <w:tabs>
          <w:tab w:leader="none" w:pos="1780" w:val="left"/>
        </w:tabs>
        <w:numPr>
          <w:ilvl w:val="0"/>
          <w:numId w:val="111"/>
        </w:numPr>
        <w:rPr>
          <w:rFonts w:ascii="Arial" w:cs="Arial" w:eastAsia="Arial" w:hAnsi="Arial"/>
          <w:sz w:val="22"/>
          <w:szCs w:val="22"/>
          <w:color w:val="auto"/>
        </w:rPr>
      </w:pPr>
      <w:r>
        <w:rPr>
          <w:rFonts w:ascii="Arial" w:cs="Arial" w:eastAsia="Arial" w:hAnsi="Arial"/>
          <w:sz w:val="20"/>
          <w:szCs w:val="20"/>
          <w:color w:val="auto"/>
        </w:rPr>
        <w:t>The vesting of the RSUs shall be accelerated if, and to the extent provided, in this Section 3(b):</w:t>
      </w:r>
    </w:p>
    <w:p>
      <w:pPr>
        <w:spacing w:after="0" w:line="249" w:lineRule="exact"/>
        <w:rPr>
          <w:rFonts w:ascii="Arial" w:cs="Arial" w:eastAsia="Arial" w:hAnsi="Arial"/>
          <w:sz w:val="22"/>
          <w:szCs w:val="22"/>
          <w:color w:val="auto"/>
        </w:rPr>
      </w:pPr>
    </w:p>
    <w:p>
      <w:pPr>
        <w:jc w:val="both"/>
        <w:ind w:left="660" w:firstLine="1293"/>
        <w:spacing w:after="0" w:line="274" w:lineRule="auto"/>
        <w:tabs>
          <w:tab w:leader="none" w:pos="2489" w:val="left"/>
        </w:tabs>
        <w:numPr>
          <w:ilvl w:val="1"/>
          <w:numId w:val="111"/>
        </w:numPr>
        <w:rPr>
          <w:rFonts w:ascii="Arial" w:cs="Arial" w:eastAsia="Arial" w:hAnsi="Arial"/>
          <w:sz w:val="21"/>
          <w:szCs w:val="21"/>
          <w:color w:val="auto"/>
        </w:rPr>
      </w:pPr>
      <w:r>
        <w:rPr>
          <w:rFonts w:ascii="Arial" w:cs="Arial" w:eastAsia="Arial" w:hAnsi="Arial"/>
          <w:sz w:val="19"/>
          <w:szCs w:val="19"/>
          <w:color w:val="auto"/>
        </w:rPr>
        <w:t>(%3)Except as otherwise determined by the Committee as set forth in Section 3(b)(i)(B) hereof, the RSUs shall become fully vested and nonforfeitable in the event that a Change of Control occurs while the Participant is employed by the Company or any Subsidiary. The vested RSUs shall be converted, as of the effective date of the Change of Control, into a fully-vested fixed cash amount equal to the product of (x) fair market value (as determined by the</w:t>
      </w:r>
    </w:p>
    <w:p>
      <w:pPr>
        <w:spacing w:after="0" w:line="2" w:lineRule="exact"/>
        <w:rPr>
          <w:rFonts w:ascii="Arial" w:cs="Arial" w:eastAsia="Arial" w:hAnsi="Arial"/>
          <w:sz w:val="21"/>
          <w:szCs w:val="21"/>
          <w:color w:val="auto"/>
        </w:rPr>
      </w:pPr>
    </w:p>
    <w:p>
      <w:pPr>
        <w:jc w:val="both"/>
        <w:ind w:left="660"/>
        <w:spacing w:after="0" w:line="269" w:lineRule="auto"/>
        <w:rPr>
          <w:rFonts w:ascii="Arial" w:cs="Arial" w:eastAsia="Arial" w:hAnsi="Arial"/>
          <w:sz w:val="21"/>
          <w:szCs w:val="21"/>
          <w:color w:val="auto"/>
        </w:rPr>
      </w:pPr>
      <w:r>
        <w:rPr>
          <w:rFonts w:ascii="Arial" w:cs="Arial" w:eastAsia="Arial" w:hAnsi="Arial"/>
          <w:sz w:val="20"/>
          <w:szCs w:val="20"/>
          <w:color w:val="auto"/>
        </w:rPr>
        <w:t>Committee in its discretion) of the per Share consideration received by holders of Shares in the transaction constituting the Change of Control and (y) the number of Shares subject to the RSUs (the “</w:t>
      </w:r>
      <w:r>
        <w:rPr>
          <w:rFonts w:ascii="Arial" w:cs="Arial" w:eastAsia="Arial" w:hAnsi="Arial"/>
          <w:sz w:val="20"/>
          <w:szCs w:val="20"/>
          <w:b w:val="1"/>
          <w:bCs w:val="1"/>
          <w:i w:val="1"/>
          <w:iCs w:val="1"/>
          <w:color w:val="auto"/>
        </w:rPr>
        <w:t>CIC Cash-Out Amount</w:t>
      </w:r>
      <w:r>
        <w:rPr>
          <w:rFonts w:ascii="Arial" w:cs="Arial" w:eastAsia="Arial" w:hAnsi="Arial"/>
          <w:sz w:val="20"/>
          <w:szCs w:val="20"/>
          <w:color w:val="auto"/>
        </w:rPr>
        <w:t>”). The CIC Cash-Out Amount shall be credited with interest at the 10-year U.S. Treasury Securities rate or, if greater as of the effective date of the Change of Control, the prime rate as published in the Wall Street Journal, during the period commencing upon consummation of the Change of Control and ending on the date that the CIC Cash-Out Amount is paid to the Participant in accordance with Section 5(b)(i) hereof.</w:t>
      </w:r>
    </w:p>
    <w:p>
      <w:pPr>
        <w:spacing w:after="0" w:line="223" w:lineRule="exact"/>
        <w:rPr>
          <w:sz w:val="20"/>
          <w:szCs w:val="20"/>
          <w:color w:val="auto"/>
        </w:rPr>
      </w:pPr>
    </w:p>
    <w:p>
      <w:pPr>
        <w:jc w:val="both"/>
        <w:ind w:left="1300" w:firstLine="653"/>
        <w:spacing w:after="0" w:line="276" w:lineRule="auto"/>
        <w:tabs>
          <w:tab w:leader="none" w:pos="2644" w:val="left"/>
        </w:tabs>
        <w:numPr>
          <w:ilvl w:val="1"/>
          <w:numId w:val="112"/>
        </w:numPr>
        <w:rPr>
          <w:rFonts w:ascii="Arial" w:cs="Arial" w:eastAsia="Arial" w:hAnsi="Arial"/>
          <w:sz w:val="21"/>
          <w:szCs w:val="21"/>
          <w:color w:val="auto"/>
        </w:rPr>
      </w:pPr>
      <w:r>
        <w:rPr>
          <w:rFonts w:ascii="Arial" w:cs="Arial" w:eastAsia="Arial" w:hAnsi="Arial"/>
          <w:sz w:val="19"/>
          <w:szCs w:val="19"/>
          <w:color w:val="auto"/>
        </w:rPr>
        <w:t>Notwithstanding Section 3(b)(i)(A) hereof, if in the event of a Change of Control the Committee determines that the successor company shall assume or substitute the RSUs as of the date of the Change of Control, then the vesting of the RSUs that are assumed or substituted shall not be so accelerated as a result of such Change of Control. For this purpose, the RSUs shall be considered assumed or substituted only if (1) the RSUs that are assumed or substituted vest at the times that such RSUs would vest pursuant to this Agreement and</w:t>
      </w:r>
    </w:p>
    <w:p>
      <w:pPr>
        <w:ind w:left="1300" w:firstLine="5"/>
        <w:spacing w:after="0" w:line="275" w:lineRule="auto"/>
        <w:tabs>
          <w:tab w:leader="none" w:pos="160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immediately following the Change of Control, the RSUs confer the right to receive for each unvested RSU held immediately prior to the Change of Control, the consideration (whether stock,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300"/>
        <w:spacing w:after="0" w:line="253" w:lineRule="auto"/>
        <w:rPr>
          <w:sz w:val="20"/>
          <w:szCs w:val="20"/>
          <w:color w:val="auto"/>
        </w:rPr>
      </w:pPr>
      <w:r>
        <w:rPr>
          <w:rFonts w:ascii="Arial" w:cs="Arial" w:eastAsia="Arial" w:hAnsi="Arial"/>
          <w:sz w:val="19"/>
          <w:szCs w:val="19"/>
          <w:color w:val="auto"/>
        </w:rPr>
        <w:t xml:space="preserve">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consideration received in the transaction constituting a Change of Control is not solely common stock of the successor company or its parent or Subsidiary, the Committee may provide that the consideration to be received upon the vesting of any RSU will be solely common stock of the successor company or its parent or Subsidiary substantially equal in fair market value (on a per share basis) to the per share consideration received by holders of Shares in the transaction constituting a Change of Control. The determinations of (1) whether the RSUs shall be assumed or substituted in accordance with this Section 3(b)(i)(B) or shall convert into the CIC Cash-Out Amount in accordance with Section 3(b)(i)(A) hereof and (2) in the event that this Section 3(b)(i)(B) is applicable, such substantial equality of value of consideration shall be made by the Committee in its sole discretion and such determinations shall be conclusive and binding. The award resulting from the assumption or substitution of the RSUs by the successor company shall continue to vest after the Change of Control transaction in accordance with the Vesting Schedule, and shall be referred to hereafter as the “</w:t>
      </w:r>
      <w:r>
        <w:rPr>
          <w:rFonts w:ascii="Arial" w:cs="Arial" w:eastAsia="Arial" w:hAnsi="Arial"/>
          <w:sz w:val="19"/>
          <w:szCs w:val="19"/>
          <w:b w:val="1"/>
          <w:bCs w:val="1"/>
          <w:i w:val="1"/>
          <w:iCs w:val="1"/>
          <w:color w:val="auto"/>
        </w:rPr>
        <w:t>Acquirer RSUs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293"/>
        <w:spacing w:after="0" w:line="264" w:lineRule="auto"/>
        <w:tabs>
          <w:tab w:leader="none" w:pos="2536" w:val="left"/>
        </w:tabs>
        <w:numPr>
          <w:ilvl w:val="1"/>
          <w:numId w:val="114"/>
        </w:numPr>
        <w:rPr>
          <w:rFonts w:ascii="Arial" w:cs="Arial" w:eastAsia="Arial" w:hAnsi="Arial"/>
          <w:sz w:val="22"/>
          <w:szCs w:val="22"/>
          <w:color w:val="auto"/>
        </w:rPr>
      </w:pPr>
      <w:r>
        <w:rPr>
          <w:rFonts w:ascii="Arial" w:cs="Arial" w:eastAsia="Arial" w:hAnsi="Arial"/>
          <w:sz w:val="20"/>
          <w:szCs w:val="20"/>
          <w:color w:val="auto"/>
        </w:rPr>
        <w:t>In the event that the Participant’s employment with the Company and its Subsidiaries is terminated due to the Participant’s death or Disability prior to the Vesting Date and (A) prior to a Change of Control, the Participant shall immediately vest upon the Termination Date in a pro-rated portion of the RSUs determined in accordance with Section 3(c) hereof, and the balance of the RSUs shall immediately be forfeited upon the Termination Date, or (B) following a Change of Control, the Participant shall immediately vest upon the Termination Date in all outstanding Acquirer RSUs to the extent unvested as of the Termination Date. The Participant shall not forfeit any CIC Cash-Out Amount as a result of any such termination.</w:t>
      </w:r>
    </w:p>
    <w:p>
      <w:pPr>
        <w:spacing w:after="0" w:line="229" w:lineRule="exact"/>
        <w:rPr>
          <w:rFonts w:ascii="Arial" w:cs="Arial" w:eastAsia="Arial" w:hAnsi="Arial"/>
          <w:sz w:val="22"/>
          <w:szCs w:val="22"/>
          <w:color w:val="auto"/>
        </w:rPr>
      </w:pPr>
    </w:p>
    <w:p>
      <w:pPr>
        <w:jc w:val="both"/>
        <w:ind w:left="660" w:firstLine="1293"/>
        <w:spacing w:after="0" w:line="251" w:lineRule="auto"/>
        <w:tabs>
          <w:tab w:leader="none" w:pos="2515" w:val="left"/>
        </w:tabs>
        <w:numPr>
          <w:ilvl w:val="1"/>
          <w:numId w:val="114"/>
        </w:numPr>
        <w:rPr>
          <w:rFonts w:ascii="Arial" w:cs="Arial" w:eastAsia="Arial" w:hAnsi="Arial"/>
          <w:sz w:val="22"/>
          <w:szCs w:val="22"/>
          <w:color w:val="auto"/>
        </w:rPr>
      </w:pPr>
      <w:r>
        <w:rPr>
          <w:rFonts w:ascii="Arial" w:cs="Arial" w:eastAsia="Arial" w:hAnsi="Arial"/>
          <w:sz w:val="20"/>
          <w:szCs w:val="20"/>
          <w:color w:val="auto"/>
        </w:rPr>
        <w:t>In the event that the Participant’s employment with the Company and its Subsidiaries is terminated by the Company and its Subsidiaries without Cause or by the Participant for Good Reason prior to the Vesting Date and</w:t>
      </w:r>
    </w:p>
    <w:p>
      <w:pPr>
        <w:spacing w:after="0" w:line="8" w:lineRule="exact"/>
        <w:rPr>
          <w:rFonts w:ascii="Arial" w:cs="Arial" w:eastAsia="Arial" w:hAnsi="Arial"/>
          <w:sz w:val="22"/>
          <w:szCs w:val="22"/>
          <w:color w:val="auto"/>
        </w:rPr>
      </w:pPr>
    </w:p>
    <w:p>
      <w:pPr>
        <w:jc w:val="both"/>
        <w:ind w:left="660" w:hanging="4"/>
        <w:spacing w:after="0" w:line="281" w:lineRule="auto"/>
        <w:tabs>
          <w:tab w:leader="none" w:pos="100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prior to a Change of Control, the Participant shall immediately become eligible to vest in a pro-rated portion of the RSUs determined in accordance with Section 3(c) hereof, and the balance of the RSUs shall immediately be forfeited on the Termination Date, or (B) following a Change of Control, the Participant shall immediately become eligible to vest in the</w:t>
      </w:r>
    </w:p>
    <w:p>
      <w:pPr>
        <w:spacing w:after="0" w:line="2" w:lineRule="exact"/>
        <w:rPr>
          <w:rFonts w:ascii="Arial" w:cs="Arial" w:eastAsia="Arial" w:hAnsi="Arial"/>
          <w:sz w:val="19"/>
          <w:szCs w:val="19"/>
          <w:color w:val="auto"/>
        </w:rPr>
      </w:pPr>
    </w:p>
    <w:p>
      <w:pPr>
        <w:jc w:val="both"/>
        <w:ind w:left="660"/>
        <w:spacing w:after="0" w:line="267" w:lineRule="auto"/>
        <w:rPr>
          <w:rFonts w:ascii="Arial" w:cs="Arial" w:eastAsia="Arial" w:hAnsi="Arial"/>
          <w:sz w:val="19"/>
          <w:szCs w:val="19"/>
          <w:color w:val="auto"/>
        </w:rPr>
      </w:pPr>
      <w:r>
        <w:rPr>
          <w:rFonts w:ascii="Arial" w:cs="Arial" w:eastAsia="Arial" w:hAnsi="Arial"/>
          <w:sz w:val="20"/>
          <w:szCs w:val="20"/>
          <w:color w:val="auto"/>
        </w:rPr>
        <w:t>Acquirer RSUs to the extent unvested as of the Termination Date. The RSUs will vest on the later of (a) the Vesting Date immediately following the Termination Date and (b) the second anniversary of the Termination Date (the “</w:t>
      </w:r>
      <w:r>
        <w:rPr>
          <w:rFonts w:ascii="Arial" w:cs="Arial" w:eastAsia="Arial" w:hAnsi="Arial"/>
          <w:sz w:val="20"/>
          <w:szCs w:val="20"/>
          <w:b w:val="1"/>
          <w:bCs w:val="1"/>
          <w:i w:val="1"/>
          <w:i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vesting shall not occur and the Specified RSUs shall be forfeited in the event that</w:t>
      </w:r>
    </w:p>
    <w:p>
      <w:pPr>
        <w:spacing w:after="0" w:line="2" w:lineRule="exact"/>
        <w:rPr>
          <w:rFonts w:ascii="Arial" w:cs="Arial" w:eastAsia="Arial" w:hAnsi="Arial"/>
          <w:sz w:val="19"/>
          <w:szCs w:val="19"/>
          <w:color w:val="auto"/>
        </w:rPr>
      </w:pPr>
    </w:p>
    <w:p>
      <w:pPr>
        <w:jc w:val="both"/>
        <w:ind w:left="660"/>
        <w:spacing w:after="0" w:line="267" w:lineRule="auto"/>
        <w:rPr>
          <w:rFonts w:ascii="Arial" w:cs="Arial" w:eastAsia="Arial" w:hAnsi="Arial"/>
          <w:sz w:val="19"/>
          <w:szCs w:val="19"/>
          <w:color w:val="auto"/>
        </w:rPr>
      </w:pPr>
      <w:r>
        <w:rPr>
          <w:rFonts w:ascii="Arial" w:cs="Arial" w:eastAsia="Arial" w:hAnsi="Arial"/>
          <w:sz w:val="20"/>
          <w:szCs w:val="20"/>
          <w:color w:val="auto"/>
        </w:rPr>
        <w:t xml:space="preserve">the Participant (x) fails to execute a separation agreement,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Separation Agreement</w:t>
      </w:r>
      <w:r>
        <w:rPr>
          <w:rFonts w:ascii="Arial" w:cs="Arial" w:eastAsia="Arial" w:hAnsi="Arial"/>
          <w:sz w:val="20"/>
          <w:szCs w:val="20"/>
          <w:color w:val="auto"/>
        </w:rPr>
        <w:t>”), within 50 days following the Termination Date, (y) rescinds such Separation Agreement pursuant to the terms thereof or (z) engages in conduct that constitutes a breach of the Separation Agreement during the</w:t>
      </w:r>
    </w:p>
    <w:p>
      <w:pPr>
        <w:spacing w:after="0" w:line="2" w:lineRule="exact"/>
        <w:rPr>
          <w:rFonts w:ascii="Arial" w:cs="Arial" w:eastAsia="Arial" w:hAnsi="Arial"/>
          <w:sz w:val="19"/>
          <w:szCs w:val="19"/>
          <w:color w:val="auto"/>
        </w:rPr>
      </w:pPr>
    </w:p>
    <w:p>
      <w:pPr>
        <w:jc w:val="both"/>
        <w:ind w:left="660"/>
        <w:spacing w:after="0" w:line="270" w:lineRule="auto"/>
        <w:rPr>
          <w:rFonts w:ascii="Arial" w:cs="Arial" w:eastAsia="Arial" w:hAnsi="Arial"/>
          <w:sz w:val="19"/>
          <w:szCs w:val="19"/>
          <w:color w:val="auto"/>
        </w:rPr>
      </w:pPr>
      <w:r>
        <w:rPr>
          <w:rFonts w:ascii="Arial" w:cs="Arial" w:eastAsia="Arial" w:hAnsi="Arial"/>
          <w:sz w:val="20"/>
          <w:szCs w:val="20"/>
          <w:color w:val="auto"/>
        </w:rPr>
        <w:t xml:space="preserve">Restricted Period. The Acquirer RSUs will vest immediately upon any termination described in this Section 3(b)(iii). The Participant shall not forfeit any CIC Cash-Out Amount as a result of any such termination. </w:t>
      </w:r>
      <w:r>
        <w:rPr>
          <w:rFonts w:ascii="Arial" w:cs="Arial" w:eastAsia="Arial" w:hAnsi="Arial"/>
          <w:sz w:val="20"/>
          <w:szCs w:val="20"/>
          <w:b w:val="1"/>
          <w:bCs w:val="1"/>
          <w:color w:val="auto"/>
        </w:rPr>
        <w:t>Nothing in this Section 3 or</w:t>
      </w:r>
      <w:r>
        <w:rPr>
          <w:rFonts w:ascii="Arial" w:cs="Arial" w:eastAsia="Arial" w:hAnsi="Arial"/>
          <w:sz w:val="20"/>
          <w:szCs w:val="20"/>
          <w:color w:val="auto"/>
        </w:rPr>
        <w:t xml:space="preserve"> </w:t>
      </w:r>
      <w:r>
        <w:rPr>
          <w:rFonts w:ascii="Arial" w:cs="Arial" w:eastAsia="Arial" w:hAnsi="Arial"/>
          <w:sz w:val="20"/>
          <w:szCs w:val="20"/>
          <w:b w:val="1"/>
          <w:bCs w:val="1"/>
          <w:color w:val="auto"/>
        </w:rPr>
        <w:t>this Agreement shall be deemed to limit or modify the non-competition, confidentiality or non-solicitation restrictions that the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spacing w:after="0" w:line="272" w:lineRule="auto"/>
        <w:rPr>
          <w:sz w:val="20"/>
          <w:szCs w:val="20"/>
          <w:color w:val="auto"/>
        </w:rPr>
      </w:pPr>
      <w:r>
        <w:rPr>
          <w:rFonts w:ascii="Arial" w:cs="Arial" w:eastAsia="Arial" w:hAnsi="Arial"/>
          <w:sz w:val="20"/>
          <w:szCs w:val="20"/>
          <w:b w:val="1"/>
          <w:bCs w:val="1"/>
          <w:color w:val="auto"/>
        </w:rPr>
        <w:t>Participant is already subject to, which restrictions shall continue to be separately enforceable in accordance with their terms.</w:t>
      </w:r>
    </w:p>
    <w:p>
      <w:pPr>
        <w:spacing w:after="0" w:line="205" w:lineRule="exact"/>
        <w:rPr>
          <w:sz w:val="20"/>
          <w:szCs w:val="20"/>
          <w:color w:val="auto"/>
        </w:rPr>
      </w:pPr>
    </w:p>
    <w:p>
      <w:pPr>
        <w:jc w:val="both"/>
        <w:ind w:firstLine="1305"/>
        <w:spacing w:after="0" w:line="264" w:lineRule="auto"/>
        <w:tabs>
          <w:tab w:leader="none" w:pos="181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 xml:space="preserve">For purposes of clauses (b)(ii) and (b)(iii), the pro-rated portion shall be calculated by multiplying the number of RSUs by a fraction, the numerator of which shall be the number of days which have elapsed between the Grant Date and the Termination Date, and the denominator of which shall be the total number of days between the Grant Date and the final Vesting Date set forth in the Vesting Schedule;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Termination Date occurs after any Vesting Date set forth in the Vesting Schedule, then the pro-rated portion shall be reduced by the number of RSUs that vested prior to the Termination Date in accordance with the Vesting Schedule.</w:t>
      </w:r>
    </w:p>
    <w:p>
      <w:pPr>
        <w:spacing w:after="0" w:line="226" w:lineRule="exact"/>
        <w:rPr>
          <w:rFonts w:ascii="Arial" w:cs="Arial" w:eastAsia="Arial" w:hAnsi="Arial"/>
          <w:sz w:val="22"/>
          <w:szCs w:val="22"/>
          <w:color w:val="auto"/>
        </w:rPr>
      </w:pPr>
    </w:p>
    <w:p>
      <w:pPr>
        <w:jc w:val="both"/>
        <w:ind w:firstLine="1305"/>
        <w:spacing w:after="0" w:line="264" w:lineRule="auto"/>
        <w:tabs>
          <w:tab w:leader="none" w:pos="1770" w:val="left"/>
        </w:tabs>
        <w:numPr>
          <w:ilvl w:val="0"/>
          <w:numId w:val="116"/>
        </w:numPr>
        <w:rPr>
          <w:rFonts w:ascii="Arial" w:cs="Arial" w:eastAsia="Arial" w:hAnsi="Arial"/>
          <w:sz w:val="22"/>
          <w:szCs w:val="22"/>
          <w:color w:val="auto"/>
        </w:rPr>
      </w:pPr>
      <w:r>
        <w:rPr>
          <w:rFonts w:ascii="Arial" w:cs="Arial" w:eastAsia="Arial" w:hAnsi="Arial"/>
          <w:sz w:val="20"/>
          <w:szCs w:val="20"/>
          <w:color w:val="auto"/>
        </w:rPr>
        <w:t>In the event that the Participant’s employment with the Company and its Subsidiaries is terminated prior to the applicable Vesting Date for any reason other than the Participant’s death or Disability or by the Company and its Subsidiaries without Cause or by the Participant for Good Reason, then the Participant shall immediately forfeit all of the unvested RSUs (and, if applicable, all unvested Acquirer RSUs) but shall not forfeit any CIC Cash-Out Amount. Termination of employment with the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230" w:lineRule="exact"/>
        <w:rPr>
          <w:sz w:val="20"/>
          <w:szCs w:val="20"/>
          <w:color w:val="auto"/>
        </w:rPr>
      </w:pPr>
    </w:p>
    <w:p>
      <w:pPr>
        <w:jc w:val="both"/>
        <w:ind w:firstLine="1305"/>
        <w:spacing w:after="0" w:line="261" w:lineRule="auto"/>
        <w:tabs>
          <w:tab w:leader="none" w:pos="1720" w:val="left"/>
        </w:tabs>
        <w:numPr>
          <w:ilvl w:val="0"/>
          <w:numId w:val="117"/>
        </w:numPr>
        <w:rPr>
          <w:rFonts w:ascii="Arial" w:cs="Arial" w:eastAsia="Arial" w:hAnsi="Arial"/>
          <w:sz w:val="22"/>
          <w:szCs w:val="22"/>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14" w:lineRule="exact"/>
        <w:rPr>
          <w:rFonts w:ascii="Arial" w:cs="Arial" w:eastAsia="Arial" w:hAnsi="Arial"/>
          <w:sz w:val="22"/>
          <w:szCs w:val="22"/>
          <w:color w:val="auto"/>
        </w:rPr>
      </w:pPr>
    </w:p>
    <w:p>
      <w:pPr>
        <w:ind w:left="1700" w:hanging="395"/>
        <w:spacing w:after="0"/>
        <w:tabs>
          <w:tab w:leader="none" w:pos="1700" w:val="left"/>
        </w:tabs>
        <w:numPr>
          <w:ilvl w:val="0"/>
          <w:numId w:val="117"/>
        </w:numPr>
        <w:rPr>
          <w:rFonts w:ascii="Arial" w:cs="Arial" w:eastAsia="Arial" w:hAnsi="Arial"/>
          <w:sz w:val="22"/>
          <w:szCs w:val="22"/>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49" w:lineRule="exact"/>
        <w:rPr>
          <w:sz w:val="20"/>
          <w:szCs w:val="20"/>
          <w:color w:val="auto"/>
        </w:rPr>
      </w:pPr>
    </w:p>
    <w:p>
      <w:pPr>
        <w:jc w:val="both"/>
        <w:ind w:firstLine="1305"/>
        <w:spacing w:after="0" w:line="280" w:lineRule="auto"/>
        <w:tabs>
          <w:tab w:leader="none" w:pos="1905" w:val="left"/>
        </w:tabs>
        <w:numPr>
          <w:ilvl w:val="0"/>
          <w:numId w:val="118"/>
        </w:numPr>
        <w:rPr>
          <w:rFonts w:ascii="Arial" w:cs="Arial" w:eastAsia="Arial" w:hAnsi="Arial"/>
          <w:sz w:val="21"/>
          <w:szCs w:val="21"/>
          <w:color w:val="auto"/>
        </w:rPr>
      </w:pPr>
      <w:r>
        <w:rPr>
          <w:rFonts w:ascii="Arial" w:cs="Arial" w:eastAsia="Arial" w:hAnsi="Arial"/>
          <w:sz w:val="19"/>
          <w:szCs w:val="19"/>
          <w:u w:val="single" w:color="auto"/>
          <w:color w:val="auto"/>
        </w:rPr>
        <w:t>Pre-Change of Control</w:t>
      </w:r>
      <w:r>
        <w:rPr>
          <w:rFonts w:ascii="Arial" w:cs="Arial" w:eastAsia="Arial" w:hAnsi="Arial"/>
          <w:sz w:val="19"/>
          <w:szCs w:val="19"/>
          <w:color w:val="auto"/>
        </w:rPr>
        <w:t xml:space="preserve">. The Company shall deliver the Shares corresponding to the vested RSUs to the Participant within 30 days following the applicable Vesting Date; </w:t>
      </w:r>
      <w:r>
        <w:rPr>
          <w:rFonts w:ascii="Arial" w:cs="Arial" w:eastAsia="Arial" w:hAnsi="Arial"/>
          <w:sz w:val="19"/>
          <w:szCs w:val="19"/>
          <w:u w:val="single" w:color="auto"/>
          <w:color w:val="auto"/>
        </w:rPr>
        <w:t>provided that</w:t>
      </w:r>
      <w:r>
        <w:rPr>
          <w:rFonts w:ascii="Arial" w:cs="Arial" w:eastAsia="Arial" w:hAnsi="Arial"/>
          <w:sz w:val="19"/>
          <w:szCs w:val="19"/>
          <w:color w:val="auto"/>
        </w:rPr>
        <w:t>, in the event that a pro-rata portion of the RSUs shall vest in connection with a termination of the Participant’s employment (i) due to death or Disability that constitutes a Section 409A Disability, the Company shall deliver the Shares with respect to such pro-rata portion within 30 days following the Termination Date or (ii) by the Company and its Subsidiaries without Cause or due to a Disability that does not constitute a Section 409A Disability (but that, in each case, constitutes a Separation from Service), the Company shall deliver the Shares attributable such pro-rata portion (to the extent such RSUs become vested) within 30 days following the last day of the Restricted Period.</w:t>
      </w:r>
    </w:p>
    <w:p>
      <w:pPr>
        <w:spacing w:after="0" w:line="214" w:lineRule="exact"/>
        <w:rPr>
          <w:rFonts w:ascii="Arial" w:cs="Arial" w:eastAsia="Arial" w:hAnsi="Arial"/>
          <w:sz w:val="21"/>
          <w:szCs w:val="21"/>
          <w:color w:val="auto"/>
        </w:rPr>
      </w:pPr>
    </w:p>
    <w:p>
      <w:pPr>
        <w:jc w:val="both"/>
        <w:ind w:firstLine="1305"/>
        <w:spacing w:after="0" w:line="258" w:lineRule="auto"/>
        <w:tabs>
          <w:tab w:leader="none" w:pos="1823" w:val="left"/>
        </w:tabs>
        <w:numPr>
          <w:ilvl w:val="0"/>
          <w:numId w:val="118"/>
        </w:numPr>
        <w:rPr>
          <w:rFonts w:ascii="Arial" w:cs="Arial" w:eastAsia="Arial" w:hAnsi="Arial"/>
          <w:sz w:val="22"/>
          <w:szCs w:val="22"/>
          <w:color w:val="auto"/>
        </w:rPr>
      </w:pPr>
      <w:r>
        <w:rPr>
          <w:rFonts w:ascii="Arial" w:cs="Arial" w:eastAsia="Arial" w:hAnsi="Arial"/>
          <w:sz w:val="20"/>
          <w:szCs w:val="20"/>
          <w:u w:val="single" w:color="auto"/>
          <w:color w:val="auto"/>
        </w:rPr>
        <w:t>Post-Change of Control</w:t>
      </w:r>
      <w:r>
        <w:rPr>
          <w:rFonts w:ascii="Arial" w:cs="Arial" w:eastAsia="Arial" w:hAnsi="Arial"/>
          <w:sz w:val="20"/>
          <w:szCs w:val="20"/>
          <w:color w:val="auto"/>
        </w:rPr>
        <w:t>. The Company shall not deliver to the Participant the Shares or other consideration corresponding to the RSUs upon the occurrence of a Change of Control. Instead, settlement after a Change of Control shall occur as follows:</w:t>
      </w:r>
    </w:p>
    <w:p>
      <w:pPr>
        <w:spacing w:after="0" w:line="232" w:lineRule="exact"/>
        <w:rPr>
          <w:rFonts w:ascii="Arial" w:cs="Arial" w:eastAsia="Arial" w:hAnsi="Arial"/>
          <w:sz w:val="22"/>
          <w:szCs w:val="22"/>
          <w:color w:val="auto"/>
        </w:rPr>
      </w:pPr>
    </w:p>
    <w:p>
      <w:pPr>
        <w:jc w:val="both"/>
        <w:ind w:left="660" w:firstLine="1293"/>
        <w:spacing w:after="0" w:line="258" w:lineRule="auto"/>
        <w:tabs>
          <w:tab w:leader="none" w:pos="2394" w:val="left"/>
        </w:tabs>
        <w:numPr>
          <w:ilvl w:val="1"/>
          <w:numId w:val="118"/>
        </w:numPr>
        <w:rPr>
          <w:rFonts w:ascii="Arial" w:cs="Arial" w:eastAsia="Arial" w:hAnsi="Arial"/>
          <w:sz w:val="22"/>
          <w:szCs w:val="22"/>
          <w:color w:val="auto"/>
        </w:rPr>
      </w:pPr>
      <w:r>
        <w:rPr>
          <w:rFonts w:ascii="Arial" w:cs="Arial" w:eastAsia="Arial" w:hAnsi="Arial"/>
          <w:sz w:val="20"/>
          <w:szCs w:val="20"/>
          <w:color w:val="auto"/>
        </w:rPr>
        <w:t xml:space="preserve">The Company shall deliver to the Participant the CIC Cash-Out Amount (plus interest credited thereon) within 30 days following the Vesting Date applicable to the RSUs to which the CIC Cash-Out Amount relates,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the event of the Participant’s termination of employment due to death or a Section 409A Disability or the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3" w:name="page144"/>
    <w:bookmarkEnd w:id="143"/>
    <w:p>
      <w:pPr>
        <w:ind w:left="11320"/>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right="20"/>
        <w:spacing w:after="0" w:line="247" w:lineRule="auto"/>
        <w:rPr>
          <w:sz w:val="20"/>
          <w:szCs w:val="20"/>
          <w:color w:val="auto"/>
        </w:rPr>
      </w:pPr>
      <w:r>
        <w:rPr>
          <w:rFonts w:ascii="Arial" w:cs="Arial" w:eastAsia="Arial" w:hAnsi="Arial"/>
          <w:sz w:val="20"/>
          <w:szCs w:val="20"/>
          <w:color w:val="auto"/>
        </w:rPr>
        <w:t>Participant’s Separation from Service for any reason, in each case, prior to the applicable Vesting Date, the CIC Cash-Out Amount will be paid as follows:</w:t>
      </w:r>
    </w:p>
    <w:p>
      <w:pPr>
        <w:spacing w:after="0" w:line="229" w:lineRule="exact"/>
        <w:rPr>
          <w:sz w:val="20"/>
          <w:szCs w:val="20"/>
          <w:color w:val="auto"/>
        </w:rPr>
      </w:pPr>
    </w:p>
    <w:p>
      <w:pPr>
        <w:jc w:val="both"/>
        <w:ind w:left="1300" w:firstLine="653"/>
        <w:spacing w:after="0" w:line="263" w:lineRule="auto"/>
        <w:tabs>
          <w:tab w:leader="none" w:pos="2496" w:val="left"/>
        </w:tabs>
        <w:numPr>
          <w:ilvl w:val="0"/>
          <w:numId w:val="119"/>
        </w:numPr>
        <w:rPr>
          <w:rFonts w:ascii="Arial" w:cs="Arial" w:eastAsia="Arial" w:hAnsi="Arial"/>
          <w:sz w:val="22"/>
          <w:szCs w:val="22"/>
          <w:color w:val="auto"/>
        </w:rPr>
      </w:pPr>
      <w:r>
        <w:rPr>
          <w:rFonts w:ascii="Arial" w:cs="Arial" w:eastAsia="Arial" w:hAnsi="Arial"/>
          <w:sz w:val="20"/>
          <w:szCs w:val="20"/>
          <w:color w:val="auto"/>
        </w:rPr>
        <w:t>In the event that the Participant's employment terminates (1) due to the Participant's death, (2) due to the Participant's Disability that constitutes a Section 409A Disability or (3) during the two-year period following a Change of Control that constitutes a Section 409A CIC, due to the Participant’s Separation from Service for any reason, the Company shall pay the entire unpaid portion of the CIC Cash-Out Amount (plus interest credited thereon), within 30 days following the Termination Date; or</w:t>
      </w:r>
    </w:p>
    <w:p>
      <w:pPr>
        <w:spacing w:after="0" w:line="227" w:lineRule="exact"/>
        <w:rPr>
          <w:rFonts w:ascii="Arial" w:cs="Arial" w:eastAsia="Arial" w:hAnsi="Arial"/>
          <w:sz w:val="22"/>
          <w:szCs w:val="22"/>
          <w:color w:val="auto"/>
        </w:rPr>
      </w:pPr>
    </w:p>
    <w:p>
      <w:pPr>
        <w:jc w:val="both"/>
        <w:ind w:left="1300" w:firstLine="653"/>
        <w:spacing w:after="0" w:line="266" w:lineRule="auto"/>
        <w:tabs>
          <w:tab w:leader="none" w:pos="2484" w:val="left"/>
        </w:tabs>
        <w:numPr>
          <w:ilvl w:val="0"/>
          <w:numId w:val="119"/>
        </w:numPr>
        <w:rPr>
          <w:rFonts w:ascii="Arial" w:cs="Arial" w:eastAsia="Arial" w:hAnsi="Arial"/>
          <w:sz w:val="22"/>
          <w:szCs w:val="22"/>
          <w:color w:val="auto"/>
        </w:rPr>
      </w:pPr>
      <w:r>
        <w:rPr>
          <w:rFonts w:ascii="Arial" w:cs="Arial" w:eastAsia="Arial" w:hAnsi="Arial"/>
          <w:sz w:val="20"/>
          <w:szCs w:val="20"/>
          <w:color w:val="auto"/>
        </w:rPr>
        <w:t>In the event that the Participant experiences a Separation from Service for any reason (1) following a Change of Control that does not constitute a Section 409A CIC or (2) at any time following the second anniversary of a Section 409A CIC</w:t>
      </w:r>
      <w:r>
        <w:rPr>
          <w:rFonts w:ascii="Arial" w:cs="Arial" w:eastAsia="Arial" w:hAnsi="Arial"/>
          <w:sz w:val="16"/>
          <w:szCs w:val="16"/>
          <w:color w:val="auto"/>
        </w:rPr>
        <w:t>,</w:t>
      </w:r>
      <w:r>
        <w:rPr>
          <w:rFonts w:ascii="Arial" w:cs="Arial" w:eastAsia="Arial" w:hAnsi="Arial"/>
          <w:sz w:val="20"/>
          <w:szCs w:val="20"/>
          <w:color w:val="auto"/>
        </w:rPr>
        <w:t xml:space="preserve"> the Company shall pay the entire unpaid portion of the CIC Cash-Out Amount (plus interest credited thereon) within 30 days following the last day of the Restricted Period.</w:t>
      </w:r>
    </w:p>
    <w:p>
      <w:pPr>
        <w:spacing w:after="0" w:line="224" w:lineRule="exact"/>
        <w:rPr>
          <w:sz w:val="20"/>
          <w:szCs w:val="20"/>
          <w:color w:val="auto"/>
        </w:rPr>
      </w:pPr>
    </w:p>
    <w:p>
      <w:pPr>
        <w:jc w:val="both"/>
        <w:ind w:left="660" w:firstLine="1293"/>
        <w:spacing w:after="0" w:line="261" w:lineRule="auto"/>
        <w:tabs>
          <w:tab w:leader="none" w:pos="2482" w:val="left"/>
        </w:tabs>
        <w:numPr>
          <w:ilvl w:val="0"/>
          <w:numId w:val="120"/>
        </w:numPr>
        <w:rPr>
          <w:rFonts w:ascii="Arial" w:cs="Arial" w:eastAsia="Arial" w:hAnsi="Arial"/>
          <w:sz w:val="22"/>
          <w:szCs w:val="22"/>
          <w:color w:val="auto"/>
        </w:rPr>
      </w:pPr>
      <w:r>
        <w:rPr>
          <w:rFonts w:ascii="Arial" w:cs="Arial" w:eastAsia="Arial" w:hAnsi="Arial"/>
          <w:sz w:val="20"/>
          <w:szCs w:val="20"/>
          <w:color w:val="auto"/>
        </w:rPr>
        <w:t xml:space="preserve">The Company shall deliver the shares (or cash or other property) corresponding to Acquirer RSUs to the Participant within 30 days following the applicable Vesting Date;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the event of the Participant’s termination of employment prior to the applicable Vesting Date, the shares (or cash or other property) corresponding to the Acquirer RSUs shall be delivered as follows:</w:t>
      </w:r>
    </w:p>
    <w:p>
      <w:pPr>
        <w:spacing w:after="0" w:line="231" w:lineRule="exact"/>
        <w:rPr>
          <w:sz w:val="20"/>
          <w:szCs w:val="20"/>
          <w:color w:val="auto"/>
        </w:rPr>
      </w:pPr>
    </w:p>
    <w:p>
      <w:pPr>
        <w:jc w:val="both"/>
        <w:ind w:left="1300" w:firstLine="653"/>
        <w:spacing w:after="0" w:line="264" w:lineRule="auto"/>
        <w:tabs>
          <w:tab w:leader="none" w:pos="2496" w:val="left"/>
        </w:tabs>
        <w:numPr>
          <w:ilvl w:val="0"/>
          <w:numId w:val="121"/>
        </w:numPr>
        <w:rPr>
          <w:rFonts w:ascii="Arial" w:cs="Arial" w:eastAsia="Arial" w:hAnsi="Arial"/>
          <w:sz w:val="22"/>
          <w:szCs w:val="22"/>
          <w:color w:val="auto"/>
        </w:rPr>
      </w:pPr>
      <w:r>
        <w:rPr>
          <w:rFonts w:ascii="Arial" w:cs="Arial" w:eastAsia="Arial" w:hAnsi="Arial"/>
          <w:sz w:val="20"/>
          <w:szCs w:val="20"/>
          <w:color w:val="auto"/>
        </w:rPr>
        <w:t>In the event that the Participant’s employment terminates (1) due to the Participant’s death, (2) due to the Participant’s Disability that constitutes a Section 409A Disability or (3) during the two-year period following a Change of Control that constitutes a Section 409A CIC, by the Company and its Subsidiaries without Cause, by the Participant for Good Reason or due to a Disability that does not constitute a Section 409A Disability (but, in each case, that constitutes a Separation from Service), the Company shall deliver all the shares (or cash or other property) attributable to the Acquirer RSUs within 30 days following the Termination Date;</w:t>
      </w:r>
    </w:p>
    <w:p>
      <w:pPr>
        <w:spacing w:after="0" w:line="226" w:lineRule="exact"/>
        <w:rPr>
          <w:rFonts w:ascii="Arial" w:cs="Arial" w:eastAsia="Arial" w:hAnsi="Arial"/>
          <w:sz w:val="22"/>
          <w:szCs w:val="22"/>
          <w:color w:val="auto"/>
        </w:rPr>
      </w:pPr>
    </w:p>
    <w:p>
      <w:pPr>
        <w:jc w:val="both"/>
        <w:ind w:left="1300" w:firstLine="653"/>
        <w:spacing w:after="0" w:line="264" w:lineRule="auto"/>
        <w:tabs>
          <w:tab w:leader="none" w:pos="2578" w:val="left"/>
        </w:tabs>
        <w:numPr>
          <w:ilvl w:val="0"/>
          <w:numId w:val="121"/>
        </w:numPr>
        <w:rPr>
          <w:rFonts w:ascii="Arial" w:cs="Arial" w:eastAsia="Arial" w:hAnsi="Arial"/>
          <w:sz w:val="22"/>
          <w:szCs w:val="22"/>
          <w:color w:val="auto"/>
        </w:rPr>
      </w:pPr>
      <w:r>
        <w:rPr>
          <w:rFonts w:ascii="Arial" w:cs="Arial" w:eastAsia="Arial" w:hAnsi="Arial"/>
          <w:sz w:val="20"/>
          <w:szCs w:val="20"/>
          <w:color w:val="auto"/>
        </w:rPr>
        <w:t>In the event that the Participant’s employment is terminated by the Company and its Subsidiaries without Cause, by the Participant for Good Reason or due to a Disability that does not constitute a Section 409A Disability (but, in each case, that constitutes a Separation from Service) (1) following a Change of Control that does not constitute a Section 409A CIC or (2) at any time following the second anniversary of a Section 409A CIC, the Company shall deliver all the shares (or cash or other property) attributable to the Acquirer RSUs within 30 days following the last day of the Restricted Period; or</w:t>
      </w:r>
    </w:p>
    <w:p>
      <w:pPr>
        <w:spacing w:after="0" w:line="226" w:lineRule="exact"/>
        <w:rPr>
          <w:rFonts w:ascii="Arial" w:cs="Arial" w:eastAsia="Arial" w:hAnsi="Arial"/>
          <w:sz w:val="22"/>
          <w:szCs w:val="22"/>
          <w:color w:val="auto"/>
        </w:rPr>
      </w:pPr>
    </w:p>
    <w:p>
      <w:pPr>
        <w:jc w:val="both"/>
        <w:ind w:left="1300" w:firstLine="653"/>
        <w:spacing w:after="0" w:line="263" w:lineRule="auto"/>
        <w:tabs>
          <w:tab w:leader="none" w:pos="2470" w:val="left"/>
        </w:tabs>
        <w:numPr>
          <w:ilvl w:val="0"/>
          <w:numId w:val="121"/>
        </w:numPr>
        <w:rPr>
          <w:rFonts w:ascii="Arial" w:cs="Arial" w:eastAsia="Arial" w:hAnsi="Arial"/>
          <w:sz w:val="22"/>
          <w:szCs w:val="22"/>
          <w:color w:val="auto"/>
        </w:rPr>
      </w:pPr>
      <w:r>
        <w:rPr>
          <w:rFonts w:ascii="Arial" w:cs="Arial" w:eastAsia="Arial" w:hAnsi="Arial"/>
          <w:sz w:val="20"/>
          <w:szCs w:val="20"/>
          <w:color w:val="auto"/>
        </w:rPr>
        <w:t>In the event that the Participant’s employment terminates by the Company and its Subsidiaries without Cause, by the Participant for Good Reason or due to a Disability that does not constitute a Section 409A Disability and, in each case, such termination of employment does not constitute a Separation from Service, the Company shall deliver all the shares (or cash or other property) attributable to the Acquirer RSUs within 30 days following the applicable Vesting 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1305"/>
        <w:spacing w:after="0" w:line="281" w:lineRule="auto"/>
        <w:tabs>
          <w:tab w:leader="none" w:pos="2013" w:val="left"/>
        </w:tabs>
        <w:numPr>
          <w:ilvl w:val="0"/>
          <w:numId w:val="122"/>
        </w:numPr>
        <w:rPr>
          <w:rFonts w:ascii="Arial" w:cs="Arial" w:eastAsia="Arial" w:hAnsi="Arial"/>
          <w:sz w:val="21"/>
          <w:szCs w:val="21"/>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By written notice to the Company’s Secretary, the Participant may designate a beneficiary or beneficiaries to whom any vested RSUs (or, if applicable, the CIC Cash-Out Amount or Acquirer RSUs) and the Participant’s Cash Account (as defined below) shall be transferred upon the death of the Participant. In the absence of such designation, or if no designated beneficiary survives the Participant, such vested RSUs (or, if applicable, the CIC Cash-Out Amount or the Acquirer RSUs) and the Participant’s Cash Account shall be transferred to the legal representative of the Participant’s estate. No such transfer of the RSUs (or, if applicable, the CIC Cash-Out Amount or Acquirer RSUs), or the right to convert the Shares corresponding to such RSUs (or, if applicable, shares corresponding to Acquirer RSUs) or the conversion of any portion thereof into Common Stock (or, if applicable, shares of the Acquiror), shall be effective to bind the Company unless the Committee shall have been furnished with (i) written notice thereof, (ii) a copy of the will and/or such evidence as the Committee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12" w:lineRule="exact"/>
        <w:rPr>
          <w:rFonts w:ascii="Arial" w:cs="Arial" w:eastAsia="Arial" w:hAnsi="Arial"/>
          <w:sz w:val="21"/>
          <w:szCs w:val="21"/>
          <w:color w:val="auto"/>
        </w:rPr>
      </w:pPr>
    </w:p>
    <w:p>
      <w:pPr>
        <w:jc w:val="both"/>
        <w:ind w:firstLine="1305"/>
        <w:spacing w:after="0" w:line="261" w:lineRule="auto"/>
        <w:tabs>
          <w:tab w:leader="none" w:pos="1823" w:val="left"/>
        </w:tabs>
        <w:numPr>
          <w:ilvl w:val="0"/>
          <w:numId w:val="122"/>
        </w:numPr>
        <w:rPr>
          <w:rFonts w:ascii="Arial" w:cs="Arial" w:eastAsia="Arial" w:hAnsi="Arial"/>
          <w:sz w:val="22"/>
          <w:szCs w:val="22"/>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15" w:lineRule="exact"/>
        <w:rPr>
          <w:sz w:val="20"/>
          <w:szCs w:val="20"/>
          <w:color w:val="auto"/>
        </w:rPr>
      </w:pPr>
    </w:p>
    <w:p>
      <w:pPr>
        <w:ind w:left="1700" w:hanging="395"/>
        <w:spacing w:after="0"/>
        <w:tabs>
          <w:tab w:leader="none" w:pos="1700" w:val="left"/>
        </w:tabs>
        <w:numPr>
          <w:ilvl w:val="0"/>
          <w:numId w:val="123"/>
        </w:numPr>
        <w:rPr>
          <w:rFonts w:ascii="Arial" w:cs="Arial" w:eastAsia="Arial" w:hAnsi="Arial"/>
          <w:sz w:val="22"/>
          <w:szCs w:val="22"/>
          <w:color w:val="auto"/>
        </w:rPr>
      </w:pPr>
      <w:r>
        <w:rPr>
          <w:rFonts w:ascii="Arial" w:cs="Arial" w:eastAsia="Arial" w:hAnsi="Arial"/>
          <w:sz w:val="20"/>
          <w:szCs w:val="20"/>
          <w:u w:val="single" w:color="auto"/>
          <w:color w:val="auto"/>
        </w:rPr>
        <w:t>Rights with Respect to Shares Represented by RSUs</w:t>
      </w:r>
      <w:r>
        <w:rPr>
          <w:rFonts w:ascii="Arial" w:cs="Arial" w:eastAsia="Arial" w:hAnsi="Arial"/>
          <w:sz w:val="20"/>
          <w:szCs w:val="20"/>
          <w:color w:val="auto"/>
        </w:rPr>
        <w:t>.</w:t>
      </w:r>
    </w:p>
    <w:p>
      <w:pPr>
        <w:spacing w:after="0" w:line="249" w:lineRule="exact"/>
        <w:rPr>
          <w:sz w:val="20"/>
          <w:szCs w:val="20"/>
          <w:color w:val="auto"/>
        </w:rPr>
      </w:pPr>
    </w:p>
    <w:p>
      <w:pPr>
        <w:jc w:val="both"/>
        <w:ind w:firstLine="1305"/>
        <w:spacing w:after="0" w:line="263" w:lineRule="auto"/>
        <w:tabs>
          <w:tab w:leader="none" w:pos="1797" w:val="left"/>
        </w:tabs>
        <w:numPr>
          <w:ilvl w:val="0"/>
          <w:numId w:val="124"/>
        </w:numPr>
        <w:rPr>
          <w:rFonts w:ascii="Arial" w:cs="Arial" w:eastAsia="Arial" w:hAnsi="Arial"/>
          <w:sz w:val="22"/>
          <w:szCs w:val="22"/>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11" w:lineRule="exact"/>
        <w:rPr>
          <w:rFonts w:ascii="Arial" w:cs="Arial" w:eastAsia="Arial" w:hAnsi="Arial"/>
          <w:sz w:val="22"/>
          <w:szCs w:val="22"/>
          <w:color w:val="auto"/>
        </w:rPr>
      </w:pPr>
    </w:p>
    <w:p>
      <w:pPr>
        <w:ind w:left="1800" w:hanging="495"/>
        <w:spacing w:after="0"/>
        <w:tabs>
          <w:tab w:leader="none" w:pos="1800" w:val="left"/>
        </w:tabs>
        <w:numPr>
          <w:ilvl w:val="0"/>
          <w:numId w:val="124"/>
        </w:numPr>
        <w:rPr>
          <w:rFonts w:ascii="Arial" w:cs="Arial" w:eastAsia="Arial" w:hAnsi="Arial"/>
          <w:sz w:val="22"/>
          <w:szCs w:val="22"/>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49" w:lineRule="exact"/>
        <w:rPr>
          <w:rFonts w:ascii="Arial" w:cs="Arial" w:eastAsia="Arial" w:hAnsi="Arial"/>
          <w:sz w:val="22"/>
          <w:szCs w:val="22"/>
          <w:color w:val="auto"/>
        </w:rPr>
      </w:pPr>
    </w:p>
    <w:p>
      <w:pPr>
        <w:jc w:val="both"/>
        <w:ind w:left="660" w:firstLine="1293"/>
        <w:spacing w:after="0" w:line="265" w:lineRule="auto"/>
        <w:tabs>
          <w:tab w:leader="none" w:pos="2530" w:val="left"/>
        </w:tabs>
        <w:numPr>
          <w:ilvl w:val="1"/>
          <w:numId w:val="124"/>
        </w:numPr>
        <w:rPr>
          <w:rFonts w:ascii="Arial" w:cs="Arial" w:eastAsia="Arial" w:hAnsi="Arial"/>
          <w:sz w:val="22"/>
          <w:szCs w:val="22"/>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 with respect to its Shares, the Company shall credit to a bookkeeping account (the “</w:t>
      </w:r>
      <w:r>
        <w:rPr>
          <w:rFonts w:ascii="Arial" w:cs="Arial" w:eastAsia="Arial" w:hAnsi="Arial"/>
          <w:sz w:val="20"/>
          <w:szCs w:val="20"/>
          <w:b w:val="1"/>
          <w:bCs w:val="1"/>
          <w:i w:val="1"/>
          <w:iCs w:val="1"/>
          <w:color w:val="auto"/>
        </w:rPr>
        <w:t>Cash Account</w:t>
      </w:r>
      <w:r>
        <w:rPr>
          <w:rFonts w:ascii="Arial" w:cs="Arial" w:eastAsia="Arial" w:hAnsi="Arial"/>
          <w:sz w:val="20"/>
          <w:szCs w:val="20"/>
          <w:color w:val="auto"/>
        </w:rPr>
        <w:t>”) for the Participant an amount equal to the cash dividend that would have been payable with respect to the Shares corresponding to the RSUs, excluding any RSUs which have been forfeited, as if those Shares had been issued and outstanding as of the dividend payment date. Upon the vesting of any RSUs hereunder (or, if applicable, Acquirer RSUs), the Participant shall vest in, and have the right to receive, that portion of the Cash Account which relates to any such vested RSUs (or, if applicable, Acquirer RSUs). The value of the Participant’s Cash Account shall vest and be distributable to the Participant at the same time as the Shares corresponding to the vested RSUs (or, if applicable, the consideration corresponding to Acquirer RSUs) are distributed to the Participant. In the event that RSUs are converted into the CIC Cash-Out Amount pursuant to Section 3(b)(i)(A) hereof, the Cash Account that relates to such RSUs shall be added to the CIC Cash-Out Amount and shall be paid to the Participant in accordance with Section 5(b)(i) hereof.</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660" w:firstLine="1293"/>
        <w:spacing w:after="0" w:line="263" w:lineRule="auto"/>
        <w:tabs>
          <w:tab w:leader="none" w:pos="2549" w:val="left"/>
        </w:tabs>
        <w:numPr>
          <w:ilvl w:val="1"/>
          <w:numId w:val="125"/>
        </w:numPr>
        <w:rPr>
          <w:rFonts w:ascii="Arial" w:cs="Arial" w:eastAsia="Arial" w:hAnsi="Arial"/>
          <w:sz w:val="22"/>
          <w:szCs w:val="22"/>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vested, shall be distributed at the same time as the Shares corresponding to the vested RSUs are distributed.</w:t>
      </w:r>
    </w:p>
    <w:p>
      <w:pPr>
        <w:spacing w:after="0" w:line="227" w:lineRule="exact"/>
        <w:rPr>
          <w:rFonts w:ascii="Arial" w:cs="Arial" w:eastAsia="Arial" w:hAnsi="Arial"/>
          <w:sz w:val="22"/>
          <w:szCs w:val="22"/>
          <w:color w:val="auto"/>
        </w:rPr>
      </w:pPr>
    </w:p>
    <w:p>
      <w:pPr>
        <w:ind w:right="20" w:firstLine="1305"/>
        <w:spacing w:after="0" w:line="251" w:lineRule="auto"/>
        <w:tabs>
          <w:tab w:leader="none" w:pos="1868" w:val="left"/>
        </w:tabs>
        <w:numPr>
          <w:ilvl w:val="0"/>
          <w:numId w:val="126"/>
        </w:numPr>
        <w:rPr>
          <w:rFonts w:ascii="Arial" w:cs="Arial" w:eastAsia="Arial" w:hAnsi="Arial"/>
          <w:sz w:val="22"/>
          <w:szCs w:val="22"/>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RSUs or Acquirer RSUs or any rights with respect to the Cash Account or, if applicable, the CIC Cash-Out Amount.</w:t>
      </w:r>
    </w:p>
    <w:p>
      <w:pPr>
        <w:spacing w:after="0" w:line="237" w:lineRule="exact"/>
        <w:rPr>
          <w:rFonts w:ascii="Arial" w:cs="Arial" w:eastAsia="Arial" w:hAnsi="Arial"/>
          <w:sz w:val="22"/>
          <w:szCs w:val="22"/>
          <w:color w:val="auto"/>
        </w:rPr>
      </w:pPr>
    </w:p>
    <w:p>
      <w:pPr>
        <w:jc w:val="both"/>
        <w:ind w:firstLine="1305"/>
        <w:spacing w:after="0" w:line="264" w:lineRule="auto"/>
        <w:tabs>
          <w:tab w:leader="none" w:pos="1733" w:val="left"/>
        </w:tabs>
        <w:numPr>
          <w:ilvl w:val="0"/>
          <w:numId w:val="126"/>
        </w:numPr>
        <w:rPr>
          <w:rFonts w:ascii="Arial" w:cs="Arial" w:eastAsia="Arial" w:hAnsi="Arial"/>
          <w:sz w:val="22"/>
          <w:szCs w:val="22"/>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securities law.</w:t>
      </w:r>
    </w:p>
    <w:p>
      <w:pPr>
        <w:spacing w:after="0" w:line="210" w:lineRule="exact"/>
        <w:rPr>
          <w:rFonts w:ascii="Arial" w:cs="Arial" w:eastAsia="Arial" w:hAnsi="Arial"/>
          <w:sz w:val="22"/>
          <w:szCs w:val="22"/>
          <w:color w:val="auto"/>
        </w:rPr>
      </w:pPr>
    </w:p>
    <w:p>
      <w:pPr>
        <w:ind w:left="1700" w:hanging="395"/>
        <w:spacing w:after="0"/>
        <w:tabs>
          <w:tab w:leader="none" w:pos="1700" w:val="left"/>
        </w:tabs>
        <w:numPr>
          <w:ilvl w:val="0"/>
          <w:numId w:val="126"/>
        </w:numPr>
        <w:rPr>
          <w:rFonts w:ascii="Arial" w:cs="Arial" w:eastAsia="Arial" w:hAnsi="Arial"/>
          <w:sz w:val="22"/>
          <w:szCs w:val="22"/>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49" w:lineRule="exact"/>
        <w:rPr>
          <w:sz w:val="20"/>
          <w:szCs w:val="20"/>
          <w:color w:val="auto"/>
        </w:rPr>
      </w:pPr>
    </w:p>
    <w:p>
      <w:pPr>
        <w:jc w:val="both"/>
        <w:ind w:firstLine="1305"/>
        <w:spacing w:after="0" w:line="264" w:lineRule="auto"/>
        <w:tabs>
          <w:tab w:leader="none" w:pos="1865" w:val="left"/>
        </w:tabs>
        <w:numPr>
          <w:ilvl w:val="0"/>
          <w:numId w:val="127"/>
        </w:numPr>
        <w:rPr>
          <w:rFonts w:ascii="Arial" w:cs="Arial" w:eastAsia="Arial" w:hAnsi="Arial"/>
          <w:sz w:val="22"/>
          <w:szCs w:val="22"/>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RSUs (or, if applicable, consideration in respect of Acquirer RSUs) are delivered or cash attributable to the Participant’s vested Cash Account or, if applicable, the CIC Cash-Out Amount,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that have vested, uncertificated Shares or any cash attributable to the Participant’s Cash Account or, if applicable, the CIC Cash-Out Amount, shall be delivered or paid to the Participant until the foregoing obligation has been satisfied.</w:t>
      </w:r>
    </w:p>
    <w:p>
      <w:pPr>
        <w:spacing w:after="0" w:line="229" w:lineRule="exact"/>
        <w:rPr>
          <w:rFonts w:ascii="Arial" w:cs="Arial" w:eastAsia="Arial" w:hAnsi="Arial"/>
          <w:sz w:val="22"/>
          <w:szCs w:val="22"/>
          <w:color w:val="auto"/>
        </w:rPr>
      </w:pPr>
    </w:p>
    <w:p>
      <w:pPr>
        <w:jc w:val="both"/>
        <w:ind w:firstLine="1305"/>
        <w:spacing w:after="0" w:line="266" w:lineRule="auto"/>
        <w:tabs>
          <w:tab w:leader="none" w:pos="1783" w:val="left"/>
        </w:tabs>
        <w:numPr>
          <w:ilvl w:val="0"/>
          <w:numId w:val="127"/>
        </w:numPr>
        <w:rPr>
          <w:rFonts w:ascii="Arial" w:cs="Arial" w:eastAsia="Arial" w:hAnsi="Arial"/>
          <w:sz w:val="22"/>
          <w:szCs w:val="22"/>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The Company may, at its option, permit the Participant to satisfy his or her obligations under this Section 9, by tendering to the Company a portion of the Shares (or, if applicable, consideration in respect of Acquirer RSUs) that otherwise would be delivered to the Participant pursuant to the 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w:t>
      </w:r>
      <w:r>
        <w:rPr>
          <w:rFonts w:ascii="Arial" w:cs="Arial" w:eastAsia="Arial" w:hAnsi="Arial"/>
          <w:sz w:val="20"/>
          <w:szCs w:val="20"/>
          <w:u w:val="single" w:color="auto"/>
          <w:color w:val="auto"/>
        </w:rPr>
        <w:t>e.g.</w:t>
      </w:r>
      <w:r>
        <w:rPr>
          <w:rFonts w:ascii="Arial" w:cs="Arial" w:eastAsia="Arial" w:hAnsi="Arial"/>
          <w:sz w:val="20"/>
          <w:szCs w:val="20"/>
          <w:color w:val="auto"/>
        </w:rPr>
        <w:t>, expense reimbursements), (2) selling all or a portion of the Shares underlying the RSUs (or, if applicable, consideration underlying Acquirer RSUs) in the open market or (3) withholding and canceling all or a portion of the Shares corresponding to the vested RSUs (or, if applicable, consideration corresponding to Acquirer RSUs). Any acquisition of Shares corresponding to RSUs (or, if applicable, consideration corresponding to Acquirer RSUs) by the Company as contemplated hereby is expressly approved by the Committee as part of the approval of this Agreement.</w:t>
      </w:r>
    </w:p>
    <w:p>
      <w:pPr>
        <w:spacing w:after="0" w:line="224" w:lineRule="exact"/>
        <w:rPr>
          <w:rFonts w:ascii="Arial" w:cs="Arial" w:eastAsia="Arial" w:hAnsi="Arial"/>
          <w:sz w:val="22"/>
          <w:szCs w:val="22"/>
          <w:color w:val="auto"/>
        </w:rPr>
      </w:pPr>
    </w:p>
    <w:p>
      <w:pPr>
        <w:ind w:firstLine="1305"/>
        <w:spacing w:after="0" w:line="251" w:lineRule="auto"/>
        <w:tabs>
          <w:tab w:leader="none" w:pos="1932" w:val="left"/>
        </w:tabs>
        <w:numPr>
          <w:ilvl w:val="0"/>
          <w:numId w:val="127"/>
        </w:numPr>
        <w:rPr>
          <w:rFonts w:ascii="Arial" w:cs="Arial" w:eastAsia="Arial" w:hAnsi="Arial"/>
          <w:sz w:val="22"/>
          <w:szCs w:val="22"/>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20"/>
          <w:szCs w:val="20"/>
          <w:color w:val="auto"/>
        </w:rPr>
        <w:t>its right to satisfy those obligations under Section 9(b) with respect to any RSUs (or, if applicable, Acquirer RSUs) or any portion of the vested Cash Account or, if applicable, the CIC Cash-Out Amount, within 30 days after the date on which the Shares corresponding to the vested RSUs (or, if applicable, the consideration corresponding to vested Acquirer RSUs) or vested Cash Account or, if applicable, the CIC Cash-Out Amount otherwise would be delivered pursuant to Section 5(a), (b) or (c) hereof or within 30 days after the date on which the vested Cash Account or, if applicable, the CIC Cash-Out Amount, otherwise would be paid pursuant to Sections 5 and 6(b) hereof, as applicable, the Participant immediately forfeits any rights with respect to the portion of the RSUs (or, if applicable, Acquirer RSUs) or vested Cash Account or, if applicable, the CIC Cash-Out Amount to which such failure relates.</w:t>
      </w:r>
    </w:p>
    <w:p>
      <w:pPr>
        <w:spacing w:after="0" w:line="240" w:lineRule="exact"/>
        <w:rPr>
          <w:sz w:val="20"/>
          <w:szCs w:val="20"/>
          <w:color w:val="auto"/>
        </w:rPr>
      </w:pPr>
    </w:p>
    <w:p>
      <w:pPr>
        <w:jc w:val="both"/>
        <w:ind w:firstLine="1305"/>
        <w:spacing w:after="0" w:line="264" w:lineRule="auto"/>
        <w:tabs>
          <w:tab w:leader="none" w:pos="1855" w:val="left"/>
        </w:tabs>
        <w:numPr>
          <w:ilvl w:val="1"/>
          <w:numId w:val="128"/>
        </w:numPr>
        <w:rPr>
          <w:rFonts w:ascii="Arial" w:cs="Arial" w:eastAsia="Arial" w:hAnsi="Arial"/>
          <w:sz w:val="22"/>
          <w:szCs w:val="22"/>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agreement, if any, the Participant’s employment with the Company and any Subsidiary is at-will.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29" w:lineRule="exact"/>
        <w:rPr>
          <w:rFonts w:ascii="Arial" w:cs="Arial" w:eastAsia="Arial" w:hAnsi="Arial"/>
          <w:sz w:val="22"/>
          <w:szCs w:val="22"/>
          <w:color w:val="auto"/>
        </w:rPr>
      </w:pPr>
    </w:p>
    <w:p>
      <w:pPr>
        <w:jc w:val="both"/>
        <w:ind w:firstLine="1305"/>
        <w:spacing w:after="0" w:line="258" w:lineRule="auto"/>
        <w:tabs>
          <w:tab w:leader="none" w:pos="1860" w:val="left"/>
        </w:tabs>
        <w:numPr>
          <w:ilvl w:val="1"/>
          <w:numId w:val="128"/>
        </w:numPr>
        <w:rPr>
          <w:rFonts w:ascii="Arial" w:cs="Arial" w:eastAsia="Arial" w:hAnsi="Arial"/>
          <w:sz w:val="22"/>
          <w:szCs w:val="22"/>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RSUs acquired by the Participant hereunder (net of the number of Shares which would need to be sold to satisfy any applicable taxes owed upon vesting), for a period of five</w:t>
      </w:r>
    </w:p>
    <w:p>
      <w:pPr>
        <w:spacing w:after="0" w:line="3" w:lineRule="exact"/>
        <w:rPr>
          <w:rFonts w:ascii="Arial" w:cs="Arial" w:eastAsia="Arial" w:hAnsi="Arial"/>
          <w:sz w:val="22"/>
          <w:szCs w:val="22"/>
          <w:color w:val="auto"/>
        </w:rPr>
      </w:pPr>
    </w:p>
    <w:p>
      <w:pPr>
        <w:jc w:val="both"/>
        <w:ind w:firstLine="8"/>
        <w:spacing w:after="0" w:line="271" w:lineRule="auto"/>
        <w:tabs>
          <w:tab w:leader="none" w:pos="35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years after vesting of such RSUs (or until the Participant’s employment with, and services for, the Company and its Subsidiaries terminate, if earlier). The Participant agrees to comply with such policy and any modifications thereof that may be adopted by the Committee from time to time.</w:t>
      </w:r>
    </w:p>
    <w:p>
      <w:pPr>
        <w:spacing w:after="0" w:line="220" w:lineRule="exact"/>
        <w:rPr>
          <w:rFonts w:ascii="Arial" w:cs="Arial" w:eastAsia="Arial" w:hAnsi="Arial"/>
          <w:sz w:val="20"/>
          <w:szCs w:val="20"/>
          <w:color w:val="auto"/>
        </w:rPr>
      </w:pPr>
    </w:p>
    <w:p>
      <w:pPr>
        <w:jc w:val="both"/>
        <w:ind w:firstLine="1305"/>
        <w:spacing w:after="0" w:line="261" w:lineRule="auto"/>
        <w:tabs>
          <w:tab w:leader="none" w:pos="1841" w:val="left"/>
        </w:tabs>
        <w:numPr>
          <w:ilvl w:val="1"/>
          <w:numId w:val="129"/>
        </w:numPr>
        <w:rPr>
          <w:rFonts w:ascii="Arial" w:cs="Arial" w:eastAsia="Arial" w:hAnsi="Arial"/>
          <w:sz w:val="22"/>
          <w:szCs w:val="22"/>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Common Stock. The Participant agrees to comply with such policy and any modifications thereof that may be adopted by the Committee from time to time.</w:t>
      </w:r>
    </w:p>
    <w:p>
      <w:pPr>
        <w:spacing w:after="0" w:line="230" w:lineRule="exact"/>
        <w:rPr>
          <w:rFonts w:ascii="Arial" w:cs="Arial" w:eastAsia="Arial" w:hAnsi="Arial"/>
          <w:sz w:val="22"/>
          <w:szCs w:val="22"/>
          <w:color w:val="auto"/>
        </w:rPr>
      </w:pPr>
    </w:p>
    <w:p>
      <w:pPr>
        <w:jc w:val="both"/>
        <w:ind w:firstLine="1305"/>
        <w:spacing w:after="0" w:line="258" w:lineRule="auto"/>
        <w:tabs>
          <w:tab w:leader="none" w:pos="1868" w:val="left"/>
        </w:tabs>
        <w:numPr>
          <w:ilvl w:val="1"/>
          <w:numId w:val="129"/>
        </w:numPr>
        <w:rPr>
          <w:rFonts w:ascii="Arial" w:cs="Arial" w:eastAsia="Arial" w:hAnsi="Arial"/>
          <w:sz w:val="22"/>
          <w:szCs w:val="22"/>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32" w:lineRule="exact"/>
        <w:rPr>
          <w:rFonts w:ascii="Arial" w:cs="Arial" w:eastAsia="Arial" w:hAnsi="Arial"/>
          <w:sz w:val="22"/>
          <w:szCs w:val="22"/>
          <w:color w:val="auto"/>
        </w:rPr>
      </w:pPr>
    </w:p>
    <w:p>
      <w:pPr>
        <w:ind w:firstLine="1305"/>
        <w:spacing w:after="0" w:line="251" w:lineRule="auto"/>
        <w:tabs>
          <w:tab w:leader="none" w:pos="1895" w:val="left"/>
        </w:tabs>
        <w:numPr>
          <w:ilvl w:val="1"/>
          <w:numId w:val="129"/>
        </w:numPr>
        <w:rPr>
          <w:rFonts w:ascii="Arial" w:cs="Arial" w:eastAsia="Arial" w:hAnsi="Arial"/>
          <w:sz w:val="22"/>
          <w:szCs w:val="22"/>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37" w:lineRule="exact"/>
        <w:rPr>
          <w:rFonts w:ascii="Arial" w:cs="Arial" w:eastAsia="Arial" w:hAnsi="Arial"/>
          <w:sz w:val="22"/>
          <w:szCs w:val="22"/>
          <w:color w:val="auto"/>
        </w:rPr>
      </w:pPr>
    </w:p>
    <w:p>
      <w:pPr>
        <w:jc w:val="both"/>
        <w:ind w:firstLine="1305"/>
        <w:spacing w:after="0" w:line="258" w:lineRule="auto"/>
        <w:tabs>
          <w:tab w:leader="none" w:pos="1909" w:val="left"/>
        </w:tabs>
        <w:numPr>
          <w:ilvl w:val="1"/>
          <w:numId w:val="129"/>
        </w:numPr>
        <w:rPr>
          <w:rFonts w:ascii="Arial" w:cs="Arial" w:eastAsia="Arial" w:hAnsi="Arial"/>
          <w:sz w:val="22"/>
          <w:szCs w:val="22"/>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32" w:lineRule="exact"/>
        <w:rPr>
          <w:rFonts w:ascii="Arial" w:cs="Arial" w:eastAsia="Arial" w:hAnsi="Arial"/>
          <w:sz w:val="22"/>
          <w:szCs w:val="22"/>
          <w:color w:val="auto"/>
        </w:rPr>
      </w:pPr>
    </w:p>
    <w:p>
      <w:pPr>
        <w:jc w:val="both"/>
        <w:ind w:firstLine="1305"/>
        <w:spacing w:after="0" w:line="261" w:lineRule="auto"/>
        <w:tabs>
          <w:tab w:leader="none" w:pos="1882" w:val="left"/>
        </w:tabs>
        <w:numPr>
          <w:ilvl w:val="1"/>
          <w:numId w:val="129"/>
        </w:numPr>
        <w:rPr>
          <w:rFonts w:ascii="Arial" w:cs="Arial" w:eastAsia="Arial" w:hAnsi="Arial"/>
          <w:sz w:val="22"/>
          <w:szCs w:val="22"/>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36" w:lineRule="exact"/>
        <w:rPr>
          <w:sz w:val="20"/>
          <w:szCs w:val="20"/>
          <w:color w:val="auto"/>
        </w:rPr>
      </w:pPr>
    </w:p>
    <w:p>
      <w:pPr>
        <w:jc w:val="both"/>
        <w:ind w:firstLine="1305"/>
        <w:spacing w:after="0" w:line="264" w:lineRule="auto"/>
        <w:tabs>
          <w:tab w:leader="none" w:pos="1841" w:val="left"/>
        </w:tabs>
        <w:numPr>
          <w:ilvl w:val="0"/>
          <w:numId w:val="130"/>
        </w:numPr>
        <w:rPr>
          <w:rFonts w:ascii="Arial" w:cs="Arial" w:eastAsia="Arial" w:hAnsi="Arial"/>
          <w:sz w:val="22"/>
          <w:szCs w:val="22"/>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26" w:lineRule="exact"/>
        <w:rPr>
          <w:rFonts w:ascii="Arial" w:cs="Arial" w:eastAsia="Arial" w:hAnsi="Arial"/>
          <w:sz w:val="22"/>
          <w:szCs w:val="22"/>
          <w:color w:val="auto"/>
        </w:rPr>
      </w:pPr>
    </w:p>
    <w:p>
      <w:pPr>
        <w:ind w:right="20" w:firstLine="1305"/>
        <w:spacing w:after="0" w:line="251" w:lineRule="auto"/>
        <w:tabs>
          <w:tab w:leader="none" w:pos="1909" w:val="left"/>
        </w:tabs>
        <w:numPr>
          <w:ilvl w:val="0"/>
          <w:numId w:val="130"/>
        </w:numPr>
        <w:rPr>
          <w:rFonts w:ascii="Arial" w:cs="Arial" w:eastAsia="Arial" w:hAnsi="Arial"/>
          <w:sz w:val="22"/>
          <w:szCs w:val="22"/>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37" w:lineRule="exact"/>
        <w:rPr>
          <w:rFonts w:ascii="Arial" w:cs="Arial" w:eastAsia="Arial" w:hAnsi="Arial"/>
          <w:sz w:val="22"/>
          <w:szCs w:val="22"/>
          <w:color w:val="auto"/>
        </w:rPr>
      </w:pPr>
    </w:p>
    <w:p>
      <w:pPr>
        <w:jc w:val="both"/>
        <w:ind w:firstLine="1305"/>
        <w:spacing w:after="0" w:line="258" w:lineRule="auto"/>
        <w:tabs>
          <w:tab w:leader="none" w:pos="2125" w:val="left"/>
        </w:tabs>
        <w:numPr>
          <w:ilvl w:val="0"/>
          <w:numId w:val="130"/>
        </w:numPr>
        <w:rPr>
          <w:rFonts w:ascii="Arial" w:cs="Arial" w:eastAsia="Arial" w:hAnsi="Arial"/>
          <w:sz w:val="22"/>
          <w:szCs w:val="22"/>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32" w:lineRule="exact"/>
        <w:rPr>
          <w:rFonts w:ascii="Arial" w:cs="Arial" w:eastAsia="Arial" w:hAnsi="Arial"/>
          <w:sz w:val="22"/>
          <w:szCs w:val="22"/>
          <w:color w:val="auto"/>
        </w:rPr>
      </w:pPr>
    </w:p>
    <w:p>
      <w:pPr>
        <w:jc w:val="both"/>
        <w:ind w:firstLine="1305"/>
        <w:spacing w:after="0" w:line="265" w:lineRule="auto"/>
        <w:tabs>
          <w:tab w:leader="none" w:pos="1868" w:val="left"/>
        </w:tabs>
        <w:numPr>
          <w:ilvl w:val="0"/>
          <w:numId w:val="130"/>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212" w:lineRule="exact"/>
        <w:rPr>
          <w:rFonts w:ascii="Arial" w:cs="Arial" w:eastAsia="Arial" w:hAnsi="Arial"/>
          <w:sz w:val="22"/>
          <w:szCs w:val="22"/>
          <w:color w:val="auto"/>
        </w:rPr>
      </w:pPr>
    </w:p>
    <w:p>
      <w:pPr>
        <w:ind w:left="1800" w:hanging="495"/>
        <w:spacing w:after="0"/>
        <w:tabs>
          <w:tab w:leader="none" w:pos="1800" w:val="left"/>
        </w:tabs>
        <w:numPr>
          <w:ilvl w:val="0"/>
          <w:numId w:val="130"/>
        </w:numPr>
        <w:rPr>
          <w:rFonts w:ascii="Arial" w:cs="Arial" w:eastAsia="Arial" w:hAnsi="Arial"/>
          <w:sz w:val="22"/>
          <w:szCs w:val="22"/>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49" w:lineRule="exact"/>
        <w:rPr>
          <w:sz w:val="20"/>
          <w:szCs w:val="20"/>
          <w:color w:val="auto"/>
        </w:rPr>
      </w:pPr>
    </w:p>
    <w:p>
      <w:pPr>
        <w:jc w:val="both"/>
        <w:ind w:firstLine="1305"/>
        <w:spacing w:after="0" w:line="264" w:lineRule="auto"/>
        <w:tabs>
          <w:tab w:leader="none" w:pos="1784" w:val="left"/>
        </w:tabs>
        <w:numPr>
          <w:ilvl w:val="0"/>
          <w:numId w:val="131"/>
        </w:numPr>
        <w:rPr>
          <w:rFonts w:ascii="Arial" w:cs="Arial" w:eastAsia="Arial" w:hAnsi="Arial"/>
          <w:sz w:val="22"/>
          <w:szCs w:val="22"/>
          <w:color w:val="auto"/>
        </w:rPr>
      </w:pPr>
      <w:r>
        <w:rPr>
          <w:rFonts w:ascii="Arial" w:cs="Arial" w:eastAsia="Arial" w:hAnsi="Arial"/>
          <w:sz w:val="20"/>
          <w:szCs w:val="20"/>
          <w:color w:val="auto"/>
        </w:rPr>
        <w:t>If and to the extent that the Committee believes that the RSUs (including, if applicable, the Acquirer RSUs) or rights to the Cash Account or, if applicable, the CIC Cash-Out Amount,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applicable requirements of Section 409A.</w:t>
      </w:r>
    </w:p>
    <w:p>
      <w:pPr>
        <w:spacing w:after="0" w:line="213" w:lineRule="exact"/>
        <w:rPr>
          <w:rFonts w:ascii="Arial" w:cs="Arial" w:eastAsia="Arial" w:hAnsi="Arial"/>
          <w:sz w:val="22"/>
          <w:szCs w:val="22"/>
          <w:color w:val="auto"/>
        </w:rPr>
      </w:pPr>
    </w:p>
    <w:p>
      <w:pPr>
        <w:ind w:left="1800" w:hanging="495"/>
        <w:spacing w:after="0"/>
        <w:tabs>
          <w:tab w:leader="none" w:pos="1800" w:val="left"/>
        </w:tabs>
        <w:numPr>
          <w:ilvl w:val="0"/>
          <w:numId w:val="131"/>
        </w:numPr>
        <w:rPr>
          <w:rFonts w:ascii="Arial" w:cs="Arial" w:eastAsia="Arial" w:hAnsi="Arial"/>
          <w:sz w:val="22"/>
          <w:szCs w:val="22"/>
          <w:color w:val="auto"/>
        </w:rPr>
      </w:pPr>
      <w:r>
        <w:rPr>
          <w:rFonts w:ascii="Arial" w:cs="Arial" w:eastAsia="Arial" w:hAnsi="Arial"/>
          <w:sz w:val="20"/>
          <w:szCs w:val="20"/>
          <w:color w:val="auto"/>
        </w:rPr>
        <w:t>If and to the extent required to comply with Section 409A: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660" w:firstLine="1293"/>
        <w:spacing w:after="0" w:line="263" w:lineRule="auto"/>
        <w:tabs>
          <w:tab w:leader="none" w:pos="2408" w:val="left"/>
        </w:tabs>
        <w:numPr>
          <w:ilvl w:val="0"/>
          <w:numId w:val="132"/>
        </w:numPr>
        <w:rPr>
          <w:rFonts w:ascii="Arial" w:cs="Arial" w:eastAsia="Arial" w:hAnsi="Arial"/>
          <w:sz w:val="22"/>
          <w:szCs w:val="22"/>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or, if applicable, the CIC Cash-Out Amount, under this Agreement may not be made earlier than (u) the Participant’s Separation from Service, (v) the date the Participant incurs a Section 409A Disability, (w) the Participant’s death or (x) a “specified time (or pursuant to a fixed schedule)” specified in this Agreement at the date of the deferral of such compensation;</w:t>
      </w:r>
    </w:p>
    <w:p>
      <w:pPr>
        <w:spacing w:after="0" w:line="227" w:lineRule="exact"/>
        <w:rPr>
          <w:rFonts w:ascii="Arial" w:cs="Arial" w:eastAsia="Arial" w:hAnsi="Arial"/>
          <w:sz w:val="22"/>
          <w:szCs w:val="22"/>
          <w:color w:val="auto"/>
        </w:rPr>
      </w:pPr>
    </w:p>
    <w:p>
      <w:pPr>
        <w:jc w:val="both"/>
        <w:ind w:left="660" w:firstLine="1293"/>
        <w:spacing w:after="0" w:line="258" w:lineRule="auto"/>
        <w:tabs>
          <w:tab w:leader="none" w:pos="2495" w:val="left"/>
        </w:tabs>
        <w:numPr>
          <w:ilvl w:val="0"/>
          <w:numId w:val="132"/>
        </w:numPr>
        <w:rPr>
          <w:rFonts w:ascii="Arial" w:cs="Arial" w:eastAsia="Arial" w:hAnsi="Arial"/>
          <w:sz w:val="22"/>
          <w:szCs w:val="22"/>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32" w:lineRule="exact"/>
        <w:rPr>
          <w:rFonts w:ascii="Arial" w:cs="Arial" w:eastAsia="Arial" w:hAnsi="Arial"/>
          <w:sz w:val="22"/>
          <w:szCs w:val="22"/>
          <w:color w:val="auto"/>
        </w:rPr>
      </w:pPr>
    </w:p>
    <w:p>
      <w:pPr>
        <w:jc w:val="both"/>
        <w:ind w:left="660" w:firstLine="1293"/>
        <w:spacing w:after="0" w:line="258" w:lineRule="auto"/>
        <w:tabs>
          <w:tab w:leader="none" w:pos="2609" w:val="left"/>
        </w:tabs>
        <w:numPr>
          <w:ilvl w:val="0"/>
          <w:numId w:val="132"/>
        </w:numPr>
        <w:rPr>
          <w:rFonts w:ascii="Arial" w:cs="Arial" w:eastAsia="Arial" w:hAnsi="Arial"/>
          <w:sz w:val="22"/>
          <w:szCs w:val="22"/>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206" w:lineRule="exact"/>
        <w:rPr>
          <w:sz w:val="20"/>
          <w:szCs w:val="20"/>
          <w:color w:val="auto"/>
        </w:rPr>
      </w:pPr>
    </w:p>
    <w:p>
      <w:pPr>
        <w:jc w:val="both"/>
        <w:ind w:left="1620" w:hanging="323"/>
        <w:spacing w:after="0" w:line="242"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34" w:lineRule="exact"/>
        <w:rPr>
          <w:sz w:val="20"/>
          <w:szCs w:val="20"/>
          <w:color w:val="auto"/>
        </w:rPr>
      </w:pPr>
    </w:p>
    <w:p>
      <w:pPr>
        <w:jc w:val="both"/>
        <w:ind w:firstLine="1305"/>
        <w:spacing w:after="0" w:line="264" w:lineRule="auto"/>
        <w:tabs>
          <w:tab w:leader="none" w:pos="1865" w:val="left"/>
        </w:tabs>
        <w:numPr>
          <w:ilvl w:val="0"/>
          <w:numId w:val="133"/>
        </w:numPr>
        <w:rPr>
          <w:rFonts w:ascii="Arial" w:cs="Arial" w:eastAsia="Arial" w:hAnsi="Arial"/>
          <w:sz w:val="22"/>
          <w:szCs w:val="22"/>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30" w:lineRule="exact"/>
        <w:rPr>
          <w:sz w:val="20"/>
          <w:szCs w:val="20"/>
          <w:color w:val="auto"/>
        </w:rPr>
      </w:pPr>
    </w:p>
    <w:p>
      <w:pPr>
        <w:jc w:val="both"/>
        <w:ind w:firstLine="1305"/>
        <w:spacing w:after="0" w:line="261" w:lineRule="auto"/>
        <w:tabs>
          <w:tab w:leader="none" w:pos="1936" w:val="left"/>
        </w:tabs>
        <w:numPr>
          <w:ilvl w:val="0"/>
          <w:numId w:val="134"/>
        </w:numPr>
        <w:rPr>
          <w:rFonts w:ascii="Arial" w:cs="Arial" w:eastAsia="Arial" w:hAnsi="Arial"/>
          <w:sz w:val="22"/>
          <w:szCs w:val="22"/>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RSUs (or, if applicable, consideration in respect of Acquirer RSUs) and the value of the Participant’s vested Cash Account or, if applicable, the CIC Cash-Out Amount, if any, shall be unfunded and shall not be greater than the rights of an unsecured general creditor of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 as of the Grant Date.</w:t>
      </w:r>
    </w:p>
    <w:p>
      <w:pPr>
        <w:spacing w:after="0" w:line="200" w:lineRule="exact"/>
        <w:rPr>
          <w:sz w:val="20"/>
          <w:szCs w:val="20"/>
          <w:color w:val="auto"/>
        </w:rPr>
      </w:pPr>
    </w:p>
    <w:p>
      <w:pPr>
        <w:spacing w:after="0" w:line="245"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WORLD FUEL SERVICES CORPORATION</w:t>
      </w:r>
    </w:p>
    <w:p>
      <w:pPr>
        <w:spacing w:after="0" w:line="36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-22860</wp:posOffset>
            </wp:positionV>
            <wp:extent cx="977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J. Kasbar</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President &amp; Chief Executive Officer</w:t>
      </w:r>
    </w:p>
    <w:p>
      <w:pPr>
        <w:spacing w:after="0" w:line="192" w:lineRule="exact"/>
        <w:rPr>
          <w:sz w:val="20"/>
          <w:szCs w:val="20"/>
          <w:color w:val="auto"/>
        </w:rPr>
      </w:pPr>
    </w:p>
    <w:p>
      <w:pPr>
        <w:ind w:left="252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-22860</wp:posOffset>
            </wp:positionV>
            <wp:extent cx="838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Ira Birns</w:t>
      </w:r>
    </w:p>
    <w:p>
      <w:pPr>
        <w:spacing w:after="0" w:line="216" w:lineRule="exact"/>
        <w:rPr>
          <w:sz w:val="20"/>
          <w:szCs w:val="20"/>
          <w:color w:val="auto"/>
        </w:rPr>
      </w:pPr>
    </w:p>
    <w:p>
      <w:pPr>
        <w:ind w:left="25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Financial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Florida - RSU (Ratable Vest) for IB mod.doc</w:t>
      </w:r>
    </w:p>
    <w:p>
      <w:pPr>
        <w:sectPr>
          <w:pgSz w:w="11900" w:h="16838" w:orient="portrait"/>
          <w:cols w:equalWidth="0" w:num="1">
            <w:col w:w="11420"/>
          </w:cols>
          <w:pgMar w:left="240" w:top="14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color w:val="auto"/>
        </w:rPr>
        <w:t>Exhibit 10.21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GRANT AGREEMENT</w:t>
      </w:r>
    </w:p>
    <w:p>
      <w:pPr>
        <w:spacing w:after="0" w:line="229" w:lineRule="exact"/>
        <w:rPr>
          <w:sz w:val="20"/>
          <w:szCs w:val="20"/>
          <w:color w:val="auto"/>
        </w:rPr>
      </w:pPr>
    </w:p>
    <w:p>
      <w:pPr>
        <w:ind w:left="880" w:hanging="872"/>
        <w:spacing w:after="0"/>
        <w:tabs>
          <w:tab w:leader="none" w:pos="88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Grant of Award</w:t>
      </w:r>
      <w:r>
        <w:rPr>
          <w:rFonts w:ascii="Arial" w:cs="Arial" w:eastAsia="Arial" w:hAnsi="Arial"/>
          <w:sz w:val="19"/>
          <w:szCs w:val="19"/>
          <w:color w:val="auto"/>
        </w:rPr>
        <w:t>. World Fuel Services Corporation, a Florida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to ___________</w:t>
      </w:r>
    </w:p>
    <w:p>
      <w:pPr>
        <w:spacing w:after="0" w:line="42" w:lineRule="exact"/>
        <w:rPr>
          <w:rFonts w:ascii="Arial" w:cs="Arial" w:eastAsia="Arial" w:hAnsi="Arial"/>
          <w:sz w:val="19"/>
          <w:szCs w:val="19"/>
          <w:color w:val="auto"/>
        </w:rPr>
      </w:pPr>
    </w:p>
    <w:p>
      <w:pPr>
        <w:jc w:val="both"/>
        <w:spacing w:after="0" w:line="272" w:lineRule="auto"/>
        <w:rPr>
          <w:rFonts w:ascii="Arial" w:cs="Arial" w:eastAsia="Arial" w:hAnsi="Arial"/>
          <w:sz w:val="19"/>
          <w:szCs w:val="19"/>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 March 31, 2016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a target award of _________ performance-based restricted stock units (the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 $0.01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PRSUs have been granted under the Company’s 2006 Omnibus Plan, as amended and restated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PRSUs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93" w:lineRule="exact"/>
        <w:rPr>
          <w:rFonts w:ascii="Arial" w:cs="Arial" w:eastAsia="Arial" w:hAnsi="Arial"/>
          <w:sz w:val="19"/>
          <w:szCs w:val="19"/>
          <w:color w:val="auto"/>
        </w:rPr>
      </w:pPr>
    </w:p>
    <w:p>
      <w:pPr>
        <w:ind w:firstLine="8"/>
        <w:spacing w:after="0" w:line="247" w:lineRule="auto"/>
        <w:tabs>
          <w:tab w:leader="none" w:pos="42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w:t>
      </w:r>
    </w:p>
    <w:p>
      <w:pPr>
        <w:spacing w:after="0" w:line="177" w:lineRule="exact"/>
        <w:rPr>
          <w:rFonts w:ascii="Arial" w:cs="Arial" w:eastAsia="Arial" w:hAnsi="Arial"/>
          <w:sz w:val="20"/>
          <w:szCs w:val="20"/>
          <w:color w:val="auto"/>
        </w:rPr>
      </w:pPr>
    </w:p>
    <w:p>
      <w:pPr>
        <w:ind w:left="1780" w:hanging="475"/>
        <w:spacing w:after="0"/>
        <w:tabs>
          <w:tab w:leader="none" w:pos="178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w:t>
      </w:r>
    </w:p>
    <w:p>
      <w:pPr>
        <w:spacing w:after="0" w:line="239" w:lineRule="exact"/>
        <w:rPr>
          <w:rFonts w:ascii="Arial" w:cs="Arial" w:eastAsia="Arial" w:hAnsi="Arial"/>
          <w:sz w:val="20"/>
          <w:szCs w:val="20"/>
          <w:color w:val="auto"/>
        </w:rPr>
      </w:pPr>
    </w:p>
    <w:p>
      <w:pPr>
        <w:ind w:left="660" w:firstLine="1293"/>
        <w:spacing w:after="0" w:line="247" w:lineRule="auto"/>
        <w:tabs>
          <w:tab w:leader="none" w:pos="2408" w:val="left"/>
        </w:tabs>
        <w:numPr>
          <w:ilvl w:val="2"/>
          <w:numId w:val="135"/>
        </w:numPr>
        <w:rPr>
          <w:rFonts w:ascii="Arial" w:cs="Arial" w:eastAsia="Arial" w:hAnsi="Arial"/>
          <w:sz w:val="20"/>
          <w:szCs w:val="20"/>
          <w:color w:val="auto"/>
        </w:rPr>
      </w:pPr>
      <w:r>
        <w:rPr>
          <w:rFonts w:ascii="Arial" w:cs="Arial" w:eastAsia="Arial" w:hAnsi="Arial"/>
          <w:sz w:val="20"/>
          <w:szCs w:val="20"/>
          <w:color w:val="auto"/>
        </w:rPr>
        <w:t>the failure by the Participant to perform, in a reasonable manner, his or her duties as assigned by the Company or any Subsidiary (or any successor company);</w:t>
      </w:r>
    </w:p>
    <w:p>
      <w:pPr>
        <w:spacing w:after="0" w:line="201" w:lineRule="exact"/>
        <w:rPr>
          <w:rFonts w:ascii="Arial" w:cs="Arial" w:eastAsia="Arial" w:hAnsi="Arial"/>
          <w:sz w:val="20"/>
          <w:szCs w:val="20"/>
          <w:color w:val="auto"/>
        </w:rPr>
      </w:pPr>
    </w:p>
    <w:p>
      <w:pPr>
        <w:ind w:left="660" w:firstLine="1293"/>
        <w:spacing w:after="0" w:line="247" w:lineRule="auto"/>
        <w:tabs>
          <w:tab w:leader="none" w:pos="2519" w:val="left"/>
        </w:tabs>
        <w:numPr>
          <w:ilvl w:val="2"/>
          <w:numId w:val="135"/>
        </w:numPr>
        <w:rPr>
          <w:rFonts w:ascii="Arial" w:cs="Arial" w:eastAsia="Arial" w:hAnsi="Arial"/>
          <w:sz w:val="20"/>
          <w:szCs w:val="20"/>
          <w:color w:val="auto"/>
        </w:rPr>
      </w:pPr>
      <w:r>
        <w:rPr>
          <w:rFonts w:ascii="Arial" w:cs="Arial" w:eastAsia="Arial" w:hAnsi="Arial"/>
          <w:sz w:val="20"/>
          <w:szCs w:val="20"/>
          <w:color w:val="auto"/>
        </w:rPr>
        <w:t>any violation or breach by the Participant of his or her employment agreement, consulting or other similar agreement with the Company or any Subsidiary (or successor company), if any;</w:t>
      </w:r>
    </w:p>
    <w:p>
      <w:pPr>
        <w:spacing w:after="0" w:line="201" w:lineRule="exact"/>
        <w:rPr>
          <w:rFonts w:ascii="Arial" w:cs="Arial" w:eastAsia="Arial" w:hAnsi="Arial"/>
          <w:sz w:val="20"/>
          <w:szCs w:val="20"/>
          <w:color w:val="auto"/>
        </w:rPr>
      </w:pPr>
    </w:p>
    <w:p>
      <w:pPr>
        <w:ind w:left="660" w:firstLine="1293"/>
        <w:spacing w:after="0" w:line="247" w:lineRule="auto"/>
        <w:tabs>
          <w:tab w:leader="none" w:pos="2455" w:val="left"/>
        </w:tabs>
        <w:numPr>
          <w:ilvl w:val="2"/>
          <w:numId w:val="135"/>
        </w:numPr>
        <w:rPr>
          <w:rFonts w:ascii="Arial" w:cs="Arial" w:eastAsia="Arial" w:hAnsi="Arial"/>
          <w:sz w:val="20"/>
          <w:szCs w:val="20"/>
          <w:color w:val="auto"/>
        </w:rPr>
      </w:pPr>
      <w:r>
        <w:rPr>
          <w:rFonts w:ascii="Arial" w:cs="Arial" w:eastAsia="Arial" w:hAnsi="Arial"/>
          <w:sz w:val="20"/>
          <w:szCs w:val="20"/>
          <w:color w:val="auto"/>
        </w:rPr>
        <w:t>any actual or threatened violation or breach by the Participant of any non-competition, non-solicitation, non-disclosure and/or other similar agreement with the Company or any Subsidiary (or successor company);</w:t>
      </w:r>
    </w:p>
    <w:p>
      <w:pPr>
        <w:spacing w:after="0" w:line="201" w:lineRule="exact"/>
        <w:rPr>
          <w:rFonts w:ascii="Arial" w:cs="Arial" w:eastAsia="Arial" w:hAnsi="Arial"/>
          <w:sz w:val="20"/>
          <w:szCs w:val="20"/>
          <w:color w:val="auto"/>
        </w:rPr>
      </w:pPr>
    </w:p>
    <w:p>
      <w:pPr>
        <w:ind w:left="2460" w:hanging="507"/>
        <w:spacing w:after="0"/>
        <w:tabs>
          <w:tab w:leader="none" w:pos="2460" w:val="left"/>
        </w:tabs>
        <w:numPr>
          <w:ilvl w:val="2"/>
          <w:numId w:val="135"/>
        </w:numPr>
        <w:rPr>
          <w:rFonts w:ascii="Arial" w:cs="Arial" w:eastAsia="Arial" w:hAnsi="Arial"/>
          <w:sz w:val="20"/>
          <w:szCs w:val="20"/>
          <w:color w:val="auto"/>
        </w:rPr>
      </w:pPr>
      <w:r>
        <w:rPr>
          <w:rFonts w:ascii="Arial" w:cs="Arial" w:eastAsia="Arial" w:hAnsi="Arial"/>
          <w:sz w:val="20"/>
          <w:szCs w:val="20"/>
          <w:color w:val="auto"/>
        </w:rPr>
        <w:t>any violation or breach by the Participant of any Company Policy;</w:t>
      </w:r>
    </w:p>
    <w:p>
      <w:pPr>
        <w:spacing w:after="0" w:line="215" w:lineRule="exact"/>
        <w:rPr>
          <w:rFonts w:ascii="Arial" w:cs="Arial" w:eastAsia="Arial" w:hAnsi="Arial"/>
          <w:sz w:val="20"/>
          <w:szCs w:val="20"/>
          <w:color w:val="auto"/>
        </w:rPr>
      </w:pPr>
    </w:p>
    <w:p>
      <w:pPr>
        <w:ind w:left="660" w:firstLine="1293"/>
        <w:spacing w:after="0" w:line="247" w:lineRule="auto"/>
        <w:tabs>
          <w:tab w:leader="none" w:pos="2463" w:val="left"/>
        </w:tabs>
        <w:numPr>
          <w:ilvl w:val="2"/>
          <w:numId w:val="135"/>
        </w:numPr>
        <w:rPr>
          <w:rFonts w:ascii="Arial" w:cs="Arial" w:eastAsia="Arial" w:hAnsi="Arial"/>
          <w:sz w:val="20"/>
          <w:szCs w:val="20"/>
          <w:color w:val="auto"/>
        </w:rPr>
      </w:pPr>
      <w:r>
        <w:rPr>
          <w:rFonts w:ascii="Arial" w:cs="Arial" w:eastAsia="Arial" w:hAnsi="Arial"/>
          <w:sz w:val="20"/>
          <w:szCs w:val="20"/>
          <w:color w:val="auto"/>
        </w:rPr>
        <w:t>any act by the Participant of dishonesty or fraud that injures the reputation or business of, or causes harm to, the Company or any Subsidiary (or successor company);</w:t>
      </w:r>
    </w:p>
    <w:p>
      <w:pPr>
        <w:spacing w:after="0" w:line="201" w:lineRule="exact"/>
        <w:rPr>
          <w:rFonts w:ascii="Arial" w:cs="Arial" w:eastAsia="Arial" w:hAnsi="Arial"/>
          <w:sz w:val="20"/>
          <w:szCs w:val="20"/>
          <w:color w:val="auto"/>
        </w:rPr>
      </w:pPr>
    </w:p>
    <w:p>
      <w:pPr>
        <w:ind w:left="2480" w:hanging="527"/>
        <w:spacing w:after="0"/>
        <w:tabs>
          <w:tab w:leader="none" w:pos="2480" w:val="left"/>
        </w:tabs>
        <w:numPr>
          <w:ilvl w:val="2"/>
          <w:numId w:val="135"/>
        </w:numPr>
        <w:rPr>
          <w:rFonts w:ascii="Arial" w:cs="Arial" w:eastAsia="Arial" w:hAnsi="Arial"/>
          <w:sz w:val="20"/>
          <w:szCs w:val="20"/>
          <w:color w:val="auto"/>
        </w:rPr>
      </w:pPr>
      <w:r>
        <w:rPr>
          <w:rFonts w:ascii="Arial" w:cs="Arial" w:eastAsia="Arial" w:hAnsi="Arial"/>
          <w:sz w:val="20"/>
          <w:szCs w:val="20"/>
          <w:color w:val="auto"/>
        </w:rPr>
        <w:t>the conviction of, or entry of a plea of guilty or nolo contendere to, a felony or a crime involving moral</w:t>
      </w:r>
    </w:p>
    <w:p>
      <w:pPr>
        <w:ind w:left="660"/>
        <w:spacing w:after="0"/>
        <w:rPr>
          <w:rFonts w:ascii="Arial" w:cs="Arial" w:eastAsia="Arial" w:hAnsi="Arial"/>
          <w:sz w:val="20"/>
          <w:szCs w:val="20"/>
          <w:color w:val="auto"/>
        </w:rPr>
      </w:pPr>
      <w:r>
        <w:rPr>
          <w:rFonts w:ascii="Arial" w:cs="Arial" w:eastAsia="Arial" w:hAnsi="Arial"/>
          <w:sz w:val="20"/>
          <w:szCs w:val="20"/>
          <w:color w:val="auto"/>
        </w:rPr>
        <w:t>turpitude; or</w:t>
      </w:r>
    </w:p>
    <w:p>
      <w:pPr>
        <w:spacing w:after="0" w:line="215" w:lineRule="exact"/>
        <w:rPr>
          <w:rFonts w:ascii="Arial" w:cs="Arial" w:eastAsia="Arial" w:hAnsi="Arial"/>
          <w:sz w:val="20"/>
          <w:szCs w:val="20"/>
          <w:color w:val="auto"/>
        </w:rPr>
      </w:pPr>
    </w:p>
    <w:p>
      <w:pPr>
        <w:ind w:left="660" w:right="20" w:firstLine="1293"/>
        <w:spacing w:after="0" w:line="247" w:lineRule="auto"/>
        <w:tabs>
          <w:tab w:leader="none" w:pos="2537" w:val="left"/>
        </w:tabs>
        <w:numPr>
          <w:ilvl w:val="2"/>
          <w:numId w:val="135"/>
        </w:numPr>
        <w:rPr>
          <w:rFonts w:ascii="Arial" w:cs="Arial" w:eastAsia="Arial" w:hAnsi="Arial"/>
          <w:sz w:val="20"/>
          <w:szCs w:val="20"/>
          <w:color w:val="auto"/>
        </w:rPr>
      </w:pPr>
      <w:r>
        <w:rPr>
          <w:rFonts w:ascii="Arial" w:cs="Arial" w:eastAsia="Arial" w:hAnsi="Arial"/>
          <w:sz w:val="20"/>
          <w:szCs w:val="20"/>
          <w:color w:val="auto"/>
        </w:rPr>
        <w:t>the Participant’s impeding of, interfering with, or failing to reasonably cooperate with an investigation authorized by the Company or any Subsidiary or Affiliate;</w:t>
      </w:r>
    </w:p>
    <w:p>
      <w:pPr>
        <w:spacing w:after="0" w:line="202"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The good faith determination by the Committee of whether the Participant’s employment or service was terminated for “Cause” shall be final and binding for all purposes hereunder. In the event of a Change of Control, upon and during the two (2) years following such Change in Control, clauses (i) through (v) above will be deemed to have the term “materiality” inserted as a qualifier to each instance of violation, breach or other misconduct by the Participant.</w:t>
      </w:r>
    </w:p>
    <w:p>
      <w:pPr>
        <w:sectPr>
          <w:pgSz w:w="11900" w:h="16838" w:orient="portrait"/>
          <w:cols w:equalWidth="0" w:num="1">
            <w:col w:w="11420"/>
          </w:cols>
          <w:pgMar w:left="240" w:top="1108" w:right="239" w:bottom="1440" w:gutter="0" w:footer="0" w:header="0"/>
        </w:sectPr>
      </w:pPr>
    </w:p>
    <w:bookmarkStart w:id="152" w:name="page153"/>
    <w:bookmarkEnd w:id="152"/>
    <w:p>
      <w:pPr>
        <w:ind w:left="1780" w:hanging="475"/>
        <w:spacing w:after="0"/>
        <w:tabs>
          <w:tab w:leader="none" w:pos="17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Company.</w:t>
      </w:r>
    </w:p>
    <w:p>
      <w:pPr>
        <w:spacing w:after="0" w:line="215" w:lineRule="exact"/>
        <w:rPr>
          <w:rFonts w:ascii="Arial" w:cs="Arial" w:eastAsia="Arial" w:hAnsi="Arial"/>
          <w:sz w:val="20"/>
          <w:szCs w:val="20"/>
          <w:color w:val="auto"/>
        </w:rPr>
      </w:pPr>
    </w:p>
    <w:p>
      <w:pPr>
        <w:jc w:val="both"/>
        <w:ind w:firstLine="1305"/>
        <w:spacing w:after="0" w:line="247" w:lineRule="auto"/>
        <w:tabs>
          <w:tab w:leader="none" w:pos="187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means the date as soon as reasonably practicable following the date on which the Company’s audited financial statements with respect to fiscal year 2018 are available, but in no event later than March 15, 2019, as determined by the Committee, on which the Committee determines whether the Performance Goal has 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PRSUs are converted to Acquirer RSUs in accordance with Section 3(b)(i)(B), the Determination Date shall mean December 31, 2018.</w:t>
      </w:r>
    </w:p>
    <w:p>
      <w:pPr>
        <w:spacing w:after="0" w:line="180" w:lineRule="exact"/>
        <w:rPr>
          <w:rFonts w:ascii="Arial" w:cs="Arial" w:eastAsia="Arial" w:hAnsi="Arial"/>
          <w:sz w:val="20"/>
          <w:szCs w:val="20"/>
          <w:color w:val="auto"/>
        </w:rPr>
      </w:pPr>
    </w:p>
    <w:p>
      <w:pPr>
        <w:jc w:val="both"/>
        <w:ind w:firstLine="1305"/>
        <w:spacing w:after="0" w:line="255" w:lineRule="auto"/>
        <w:tabs>
          <w:tab w:leader="none" w:pos="1881"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the inability of the Participant, due to illness, accident or any other physical or mental incapacity, to perform his or her employment duties for the Company and its Subsidiaries (or any successor company) for an aggregate of one hundred eighty (180) days within any period of twelve (12) consecutive months.</w:t>
      </w:r>
    </w:p>
    <w:p>
      <w:pPr>
        <w:spacing w:after="0" w:line="171" w:lineRule="exact"/>
        <w:rPr>
          <w:rFonts w:ascii="Arial" w:cs="Arial" w:eastAsia="Arial" w:hAnsi="Arial"/>
          <w:sz w:val="20"/>
          <w:szCs w:val="20"/>
          <w:color w:val="auto"/>
        </w:rPr>
      </w:pPr>
    </w:p>
    <w:p>
      <w:pPr>
        <w:ind w:firstLine="1305"/>
        <w:spacing w:after="0" w:line="272" w:lineRule="auto"/>
        <w:tabs>
          <w:tab w:leader="none" w:pos="201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Agreement</w:t>
      </w:r>
      <w:r>
        <w:rPr>
          <w:rFonts w:ascii="Arial" w:cs="Arial" w:eastAsia="Arial" w:hAnsi="Arial"/>
          <w:sz w:val="20"/>
          <w:szCs w:val="20"/>
          <w:color w:val="auto"/>
        </w:rPr>
        <w:t>” means any employment agreement or individual severance agreement or severance plan by and between the Company and the Participant, as in effect on the Grant Date.</w:t>
      </w:r>
    </w:p>
    <w:p>
      <w:pPr>
        <w:spacing w:after="0" w:line="153" w:lineRule="exact"/>
        <w:rPr>
          <w:rFonts w:ascii="Arial" w:cs="Arial" w:eastAsia="Arial" w:hAnsi="Arial"/>
          <w:sz w:val="20"/>
          <w:szCs w:val="20"/>
          <w:color w:val="auto"/>
        </w:rPr>
      </w:pPr>
    </w:p>
    <w:p>
      <w:pPr>
        <w:ind w:left="1720" w:hanging="415"/>
        <w:spacing w:after="0"/>
        <w:tabs>
          <w:tab w:leader="none" w:pos="172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means within the two (2) year period following a Change of Control:</w:t>
      </w:r>
    </w:p>
    <w:p>
      <w:pPr>
        <w:spacing w:after="0" w:line="239" w:lineRule="exact"/>
        <w:rPr>
          <w:rFonts w:ascii="Arial" w:cs="Arial" w:eastAsia="Arial" w:hAnsi="Arial"/>
          <w:sz w:val="20"/>
          <w:szCs w:val="20"/>
          <w:color w:val="auto"/>
        </w:rPr>
      </w:pPr>
    </w:p>
    <w:p>
      <w:pPr>
        <w:jc w:val="both"/>
        <w:ind w:left="660" w:firstLine="1293"/>
        <w:spacing w:after="0" w:line="241" w:lineRule="auto"/>
        <w:tabs>
          <w:tab w:leader="none" w:pos="2651"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the assignment to the Participant of any duties inconsistent in any material respect with the Participant’s position (including status, title and reporting requirements), authority, duties or responsibilities or any other action by the successor company that results in a material diminution in such position, authority, duties or responsibilities, in each case as in effect immediately prior to the Change of Control, excluding for this purpose any action not taken in bad faith and which is remedied by the successor company promptly after notice thereof given by the Participant;</w:t>
      </w:r>
    </w:p>
    <w:p>
      <w:pPr>
        <w:spacing w:after="0" w:line="209" w:lineRule="exact"/>
        <w:rPr>
          <w:rFonts w:ascii="Arial" w:cs="Arial" w:eastAsia="Arial" w:hAnsi="Arial"/>
          <w:sz w:val="20"/>
          <w:szCs w:val="20"/>
          <w:color w:val="auto"/>
        </w:rPr>
      </w:pPr>
    </w:p>
    <w:p>
      <w:pPr>
        <w:jc w:val="both"/>
        <w:ind w:left="660" w:firstLine="1293"/>
        <w:spacing w:after="0" w:line="243" w:lineRule="auto"/>
        <w:tabs>
          <w:tab w:leader="none" w:pos="2506"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any reduction in, or failure to pay, the Participant’s base salary as in effect immediately prior to the Change of Control, other than a reduction or failure that is remedied by the successor company within 15 days after notice thereof given by the Participant; or</w:t>
      </w:r>
    </w:p>
    <w:p>
      <w:pPr>
        <w:spacing w:after="0" w:line="206" w:lineRule="exact"/>
        <w:rPr>
          <w:rFonts w:ascii="Arial" w:cs="Arial" w:eastAsia="Arial" w:hAnsi="Arial"/>
          <w:sz w:val="20"/>
          <w:szCs w:val="20"/>
          <w:color w:val="auto"/>
        </w:rPr>
      </w:pPr>
    </w:p>
    <w:p>
      <w:pPr>
        <w:jc w:val="both"/>
        <w:ind w:left="660" w:firstLine="1293"/>
        <w:spacing w:after="0" w:line="242" w:lineRule="auto"/>
        <w:tabs>
          <w:tab w:leader="none" w:pos="2496"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any failure by the successor company to provide the Participant with bonus and equity opportunities, or employee benefits and perquisites in the aggregate, that are not less than those provided to the Participant in the calendar year immediately preceding the Change in Control, other than a failure not occurring in bad faith and that is remedied by the successor company within 15 days after receipt of notice thereof given by the Participant; or</w:t>
      </w:r>
    </w:p>
    <w:p>
      <w:pPr>
        <w:spacing w:after="0" w:line="206" w:lineRule="exact"/>
        <w:rPr>
          <w:rFonts w:ascii="Arial" w:cs="Arial" w:eastAsia="Arial" w:hAnsi="Arial"/>
          <w:sz w:val="20"/>
          <w:szCs w:val="20"/>
          <w:color w:val="auto"/>
        </w:rPr>
      </w:pPr>
    </w:p>
    <w:p>
      <w:pPr>
        <w:jc w:val="both"/>
        <w:ind w:left="660" w:firstLine="1293"/>
        <w:spacing w:after="0" w:line="262" w:lineRule="auto"/>
        <w:tabs>
          <w:tab w:leader="none" w:pos="2534"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successor company’s requiring the Participant to be based at any office or location that is more than 50 miles from the Participant’s principal place of employment immediately prior to the Change of Control, except for travel reasonably required in the performance of the Participant’s responsibilities, consistent with the Participant’s position.</w:t>
      </w:r>
    </w:p>
    <w:p>
      <w:pPr>
        <w:spacing w:after="0" w:line="189" w:lineRule="exact"/>
        <w:rPr>
          <w:sz w:val="20"/>
          <w:szCs w:val="20"/>
          <w:color w:val="auto"/>
        </w:rPr>
      </w:pPr>
    </w:p>
    <w:p>
      <w:pPr>
        <w:jc w:val="both"/>
        <w:ind w:left="1620" w:hanging="323"/>
        <w:spacing w:after="0" w:line="243" w:lineRule="auto"/>
        <w:rPr>
          <w:sz w:val="20"/>
          <w:szCs w:val="20"/>
          <w:color w:val="auto"/>
        </w:rPr>
      </w:pPr>
      <w:r>
        <w:rPr>
          <w:rFonts w:ascii="Arial" w:cs="Arial" w:eastAsia="Arial" w:hAnsi="Arial"/>
          <w:sz w:val="20"/>
          <w:szCs w:val="20"/>
          <w:color w:val="auto"/>
        </w:rPr>
        <w:t>Notwithstanding anything to the contrary contained herein, the Participant shall not be entitled to terminate employment and be eligible to vest in the Acquirer RSUs described in Section 3(b)(iii) of this Agreement as the result of the occurrence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68" w:right="239" w:bottom="1440" w:gutter="0" w:footer="0" w:header="0"/>
        </w:sectPr>
      </w:pPr>
    </w:p>
    <w:bookmarkStart w:id="153" w:name="page154"/>
    <w:bookmarkEnd w:id="153"/>
    <w:p>
      <w:pPr>
        <w:jc w:val="both"/>
        <w:ind w:left="1620"/>
        <w:spacing w:after="0"/>
        <w:rPr>
          <w:sz w:val="20"/>
          <w:szCs w:val="20"/>
          <w:color w:val="auto"/>
        </w:rPr>
      </w:pPr>
      <w:r>
        <w:rPr>
          <w:rFonts w:ascii="Arial" w:cs="Arial" w:eastAsia="Arial" w:hAnsi="Arial"/>
          <w:sz w:val="20"/>
          <w:szCs w:val="20"/>
          <w:color w:val="auto"/>
        </w:rPr>
        <w:t xml:space="preserve">of any event of the foregoing events unless, within 90 days following the occurrence of such event, the Participant provides written notice to the successor company of the occurrence of such event, which notice sets forth the exact nature of the event and the conduct required to cure such event. The successor company will have 30 days from the receipt of such notice (such period, the </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within which to cure the circumstances giving rise to Good Reason. If, during the Cure Period, such event is remedied, then the Participant shall not be permitted to terminate employment and be eligible to vest in the Acquirer RSUs described in Section 3(b)(iii)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portion of the Acquirer RSUs described in Section 3(b)(iii) of this Agreement as a result of such event. For the avoidance of doubt, solely for purposes of this Agreement, this definition of Good Reason shall supersede any definition of Good Reason in the Participant’s Employment Agreement.</w:t>
      </w:r>
    </w:p>
    <w:p>
      <w:pPr>
        <w:spacing w:after="0" w:line="187" w:lineRule="exact"/>
        <w:rPr>
          <w:sz w:val="20"/>
          <w:szCs w:val="20"/>
          <w:color w:val="auto"/>
        </w:rPr>
      </w:pPr>
    </w:p>
    <w:p>
      <w:pPr>
        <w:ind w:left="1780" w:hanging="475"/>
        <w:spacing w:after="0"/>
        <w:tabs>
          <w:tab w:leader="none" w:pos="1780"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 2016 through December 31, 2018.</w:t>
      </w:r>
    </w:p>
    <w:p>
      <w:pPr>
        <w:spacing w:after="0" w:line="215" w:lineRule="exact"/>
        <w:rPr>
          <w:rFonts w:ascii="Arial" w:cs="Arial" w:eastAsia="Arial" w:hAnsi="Arial"/>
          <w:sz w:val="20"/>
          <w:szCs w:val="20"/>
          <w:color w:val="auto"/>
        </w:rPr>
      </w:pPr>
    </w:p>
    <w:p>
      <w:pPr>
        <w:ind w:firstLine="1305"/>
        <w:spacing w:after="0" w:line="272" w:lineRule="auto"/>
        <w:tabs>
          <w:tab w:leader="none" w:pos="190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the number of Shares, if any, that shall be issued pursuant to this Agreement.</w:t>
      </w:r>
    </w:p>
    <w:p>
      <w:pPr>
        <w:spacing w:after="0" w:line="153" w:lineRule="exact"/>
        <w:rPr>
          <w:rFonts w:ascii="Arial" w:cs="Arial" w:eastAsia="Arial" w:hAnsi="Arial"/>
          <w:sz w:val="20"/>
          <w:szCs w:val="20"/>
          <w:color w:val="auto"/>
        </w:rPr>
      </w:pPr>
    </w:p>
    <w:p>
      <w:pPr>
        <w:ind w:firstLine="1305"/>
        <w:spacing w:after="0" w:line="272" w:lineRule="auto"/>
        <w:tabs>
          <w:tab w:leader="none" w:pos="1856" w:val="left"/>
        </w:tabs>
        <w:numPr>
          <w:ilvl w:val="1"/>
          <w:numId w:val="13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xml:space="preserve"> means Section 409A of the U.S. Internal Revenue Code of 1986, as amended, and the Treasury Regulations thereunder.</w:t>
      </w:r>
    </w:p>
    <w:p>
      <w:pPr>
        <w:spacing w:after="0" w:line="153" w:lineRule="exact"/>
        <w:rPr>
          <w:rFonts w:ascii="Arial" w:cs="Arial" w:eastAsia="Arial" w:hAnsi="Arial"/>
          <w:sz w:val="20"/>
          <w:szCs w:val="20"/>
          <w:color w:val="auto"/>
        </w:rPr>
      </w:pPr>
    </w:p>
    <w:p>
      <w:pPr>
        <w:ind w:left="1720" w:hanging="415"/>
        <w:spacing w:after="0"/>
        <w:tabs>
          <w:tab w:leader="none" w:pos="172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means the date on which the Participant is no longer an employee of the Company or any</w:t>
      </w:r>
    </w:p>
    <w:p>
      <w:pPr>
        <w:spacing w:after="0" w:line="3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215" w:lineRule="exact"/>
        <w:rPr>
          <w:rFonts w:ascii="Arial" w:cs="Arial" w:eastAsia="Arial" w:hAnsi="Arial"/>
          <w:sz w:val="19"/>
          <w:szCs w:val="19"/>
          <w:color w:val="auto"/>
        </w:rPr>
      </w:pPr>
    </w:p>
    <w:p>
      <w:pPr>
        <w:jc w:val="both"/>
        <w:ind w:firstLine="8"/>
        <w:spacing w:after="0"/>
        <w:tabs>
          <w:tab w:leader="none" w:pos="413"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 (%2) (%3)On the Determination Date, the Company shall determine the extent to which the Performance Goal has been achieved. Subject to the provisions of this Section 3, the delivery of Shares with respect to the PRSUs is contingent on the attainment of the Performance Goal and, except as otherwise set forth in this Section 3, all outstanding PRSUs will be immediately forfeited on the Determination Date unless the Company determines that the Performance Goal has been satisfied. Upon such determination by the Company and subject to the provisions of the Plan and this Agreement, the Participant shall have the right to payment of that percentage of the target amount of PRSUs as corresponds to the level of the Performance Goal achieved. Furthermore, except as otherwise provided in this Section 3, in order to be entitled to payment with respect to any PRSUs, the Participant must be employed by the Company or any Subsidiary on the Determination Date. Except as otherwise provided in this Section 3, there shall be no proportionate or partial vesting of the PRSUs prior to the Determination Date.</w:t>
      </w:r>
    </w:p>
    <w:p>
      <w:pPr>
        <w:spacing w:after="0" w:line="212" w:lineRule="exact"/>
        <w:rPr>
          <w:rFonts w:ascii="Arial" w:cs="Arial" w:eastAsia="Arial" w:hAnsi="Arial"/>
          <w:sz w:val="20"/>
          <w:szCs w:val="20"/>
          <w:color w:val="auto"/>
        </w:rPr>
      </w:pPr>
    </w:p>
    <w:p>
      <w:pPr>
        <w:jc w:val="both"/>
        <w:ind w:left="660" w:firstLine="1293"/>
        <w:spacing w:after="0" w:line="242" w:lineRule="auto"/>
        <w:tabs>
          <w:tab w:leader="none" w:pos="2516" w:val="left"/>
        </w:tabs>
        <w:numPr>
          <w:ilvl w:val="2"/>
          <w:numId w:val="138"/>
        </w:numPr>
        <w:rPr>
          <w:rFonts w:ascii="Arial" w:cs="Arial" w:eastAsia="Arial" w:hAnsi="Arial"/>
          <w:sz w:val="20"/>
          <w:szCs w:val="20"/>
          <w:color w:val="auto"/>
        </w:rPr>
      </w:pPr>
      <w:r>
        <w:rPr>
          <w:rFonts w:ascii="Arial" w:cs="Arial" w:eastAsia="Arial" w:hAnsi="Arial"/>
          <w:sz w:val="20"/>
          <w:szCs w:val="20"/>
          <w:color w:val="auto"/>
        </w:rPr>
        <w:t>The PRSUs are intended to qualify as “qualified performance-based compensation” under Section 162(m) of the Code. The Committee retains the sole and plenary discretion to make any adjustment permitted by Section 3.2 of the Plan or to reduce or eliminate the number of PRSUs in accordance with the terms of the Plan for any reason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3" w:right="239" w:bottom="1440" w:gutter="0" w:footer="0" w:header="0"/>
        </w:sectPr>
      </w:pPr>
    </w:p>
    <w:bookmarkStart w:id="154" w:name="page155"/>
    <w:bookmarkEnd w:id="154"/>
    <w:p>
      <w:pPr>
        <w:ind w:left="660"/>
        <w:spacing w:after="0" w:line="247" w:lineRule="auto"/>
        <w:rPr>
          <w:sz w:val="20"/>
          <w:szCs w:val="20"/>
          <w:color w:val="auto"/>
        </w:rPr>
      </w:pPr>
      <w:r>
        <w:rPr>
          <w:rFonts w:ascii="Arial" w:cs="Arial" w:eastAsia="Arial" w:hAnsi="Arial"/>
          <w:sz w:val="20"/>
          <w:szCs w:val="20"/>
          <w:color w:val="auto"/>
        </w:rPr>
        <w:t>deemed appropriate by the Committee, even if the Performance Goal has been attained and without regard to the Employment Agreement or any other agreement between the Company and the Participant.</w:t>
      </w:r>
    </w:p>
    <w:p>
      <w:pPr>
        <w:spacing w:after="0" w:line="202" w:lineRule="exact"/>
        <w:rPr>
          <w:sz w:val="20"/>
          <w:szCs w:val="20"/>
          <w:color w:val="auto"/>
        </w:rPr>
      </w:pPr>
    </w:p>
    <w:p>
      <w:pPr>
        <w:jc w:val="both"/>
        <w:ind w:left="660" w:firstLine="1293"/>
        <w:spacing w:after="0" w:line="243" w:lineRule="auto"/>
        <w:tabs>
          <w:tab w:leader="none" w:pos="2654" w:val="left"/>
        </w:tabs>
        <w:numPr>
          <w:ilvl w:val="2"/>
          <w:numId w:val="139"/>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 in the Employment Agreement or any similar agreement between the Participant and the Company or any Subsidiary.</w:t>
      </w:r>
    </w:p>
    <w:p>
      <w:pPr>
        <w:spacing w:after="0" w:line="206" w:lineRule="exact"/>
        <w:rPr>
          <w:rFonts w:ascii="Arial" w:cs="Arial" w:eastAsia="Arial" w:hAnsi="Arial"/>
          <w:sz w:val="20"/>
          <w:szCs w:val="20"/>
          <w:color w:val="auto"/>
        </w:rPr>
      </w:pPr>
    </w:p>
    <w:p>
      <w:pPr>
        <w:ind w:right="20" w:firstLine="1305"/>
        <w:spacing w:after="0" w:line="247" w:lineRule="auto"/>
        <w:tabs>
          <w:tab w:leader="none" w:pos="180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The vesting of the PRSUs (or, if applicable, Acquirer RSUs (as defined below)) shall be accelerated if and to the extent provided in this Section 3(b):</w:t>
      </w:r>
    </w:p>
    <w:p>
      <w:pPr>
        <w:spacing w:after="0" w:line="181" w:lineRule="exact"/>
        <w:rPr>
          <w:rFonts w:ascii="Arial" w:cs="Arial" w:eastAsia="Arial" w:hAnsi="Arial"/>
          <w:sz w:val="20"/>
          <w:szCs w:val="20"/>
          <w:color w:val="auto"/>
        </w:rPr>
      </w:pPr>
    </w:p>
    <w:p>
      <w:pPr>
        <w:ind w:left="2380" w:hanging="427"/>
        <w:spacing w:after="0"/>
        <w:tabs>
          <w:tab w:leader="none" w:pos="2380" w:val="left"/>
        </w:tabs>
        <w:numPr>
          <w:ilvl w:val="2"/>
          <w:numId w:val="140"/>
        </w:numPr>
        <w:rPr>
          <w:rFonts w:ascii="Arial" w:cs="Arial" w:eastAsia="Arial" w:hAnsi="Arial"/>
          <w:sz w:val="19"/>
          <w:szCs w:val="19"/>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(%3)Except as otherwise determined by the Company as set forth in Section 3(b)(i)</w:t>
      </w:r>
    </w:p>
    <w:p>
      <w:pPr>
        <w:spacing w:after="0" w:line="31" w:lineRule="exact"/>
        <w:rPr>
          <w:rFonts w:ascii="Arial" w:cs="Arial" w:eastAsia="Arial" w:hAnsi="Arial"/>
          <w:sz w:val="19"/>
          <w:szCs w:val="19"/>
          <w:color w:val="auto"/>
        </w:rPr>
      </w:pPr>
    </w:p>
    <w:p>
      <w:pPr>
        <w:jc w:val="both"/>
        <w:ind w:left="660" w:hanging="4"/>
        <w:spacing w:after="0" w:line="241" w:lineRule="auto"/>
        <w:tabs>
          <w:tab w:leader="none" w:pos="102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hereof, in the event that a Change of Control occurs while the Participant is employed by the Company or any Subsidiary, the Participant shall immediately become fully vested and nonforfeitable upon the Change of Control in the PRSUs, with the number of Shares that will be delivered equal to the greater of target performance and actual performance as determined by the Committee in its reasonable discretion as of the most recent practicable date prior to the Change of Control.</w:t>
      </w:r>
    </w:p>
    <w:p>
      <w:pPr>
        <w:spacing w:after="0" w:line="236" w:lineRule="exact"/>
        <w:rPr>
          <w:sz w:val="20"/>
          <w:szCs w:val="20"/>
          <w:color w:val="auto"/>
        </w:rPr>
      </w:pPr>
    </w:p>
    <w:p>
      <w:pPr>
        <w:jc w:val="both"/>
        <w:ind w:left="1300" w:firstLine="653"/>
        <w:spacing w:after="0" w:line="266" w:lineRule="auto"/>
        <w:tabs>
          <w:tab w:leader="none" w:pos="2685" w:val="left"/>
        </w:tabs>
        <w:numPr>
          <w:ilvl w:val="0"/>
          <w:numId w:val="142"/>
        </w:numPr>
        <w:rPr>
          <w:rFonts w:ascii="Arial" w:cs="Arial" w:eastAsia="Arial" w:hAnsi="Arial"/>
          <w:sz w:val="22"/>
          <w:szCs w:val="22"/>
          <w:color w:val="auto"/>
        </w:rPr>
      </w:pPr>
      <w:r>
        <w:rPr>
          <w:rFonts w:ascii="Arial" w:cs="Arial" w:eastAsia="Arial" w:hAnsi="Arial"/>
          <w:sz w:val="20"/>
          <w:szCs w:val="20"/>
          <w:color w:val="auto"/>
        </w:rPr>
        <w:t xml:space="preserve">Notwithstanding Section 3(b)(i)(A) hereof, if in the event of a Change of Control the Company determines that the successor company shall assume or substitute the PRSUs as of the date of the Change of Control, then the vesting of the PRSUs that are assumed or substituted shall not be so accelerated as a result of such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the PRSUs are so assumed or substituted, the PRSUs shall no longer be subject to the Performance Goal and, instead a number of PRSUs shall convert to service-based restricted stock units as of the Change of Control based on the greater of target performance and actual performance as determined by the Committee in its reasonable discretion as of the most recent practicable date prior to the Change of Control.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consideration received in the transaction constituting a Change of Control is not solely common stock of the successor company or its parent or subsidiary, the Company may provide that the consideration to be received upon the vesting of any PRSU will be solely common stock of the successor company or its parent or subsidiary substantially equal in fair market value to the per share consideration received by holders of Shares in the transaction constituting a Change of Control. The determinations of (1) whether the PRSUs shall be assumed or substituted in accordance with this Section 3(b)(i)(B) or shall accelerate vesting in accordance with Section 3(b)(i)(A) hereof and (2) in the event that this Section 3(b)(i)(B) is applicable, such substantial equality of value of consideration shall be made by the Committee in its sole discretion and its determinations shall be conclusive and binding. The award resulting from the assumption or substitution of the PRSUs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92" w:right="239" w:bottom="1440" w:gutter="0" w:footer="0" w:header="0"/>
        </w:sectPr>
      </w:pPr>
    </w:p>
    <w:bookmarkStart w:id="155" w:name="page156"/>
    <w:bookmarkEnd w:id="155"/>
    <w:p>
      <w:pPr>
        <w:jc w:val="both"/>
        <w:ind w:left="100"/>
        <w:spacing w:after="0" w:line="262" w:lineRule="auto"/>
        <w:rPr>
          <w:sz w:val="20"/>
          <w:szCs w:val="20"/>
          <w:color w:val="auto"/>
        </w:rPr>
      </w:pPr>
      <w:r>
        <w:rPr>
          <w:rFonts w:ascii="Arial" w:cs="Arial" w:eastAsia="Arial" w:hAnsi="Arial"/>
          <w:sz w:val="19"/>
          <w:szCs w:val="19"/>
          <w:color w:val="auto"/>
        </w:rPr>
        <w:t>by the successor company shall, except as otherwise provided in this Section 3(b), continue to vest after the Change of Control transaction based solely on the Participant’s continued employment with the successor company and its affiliates through the Determination Date, and shall be referred to hereafter as the “</w:t>
      </w:r>
      <w:r>
        <w:rPr>
          <w:rFonts w:ascii="Arial" w:cs="Arial" w:eastAsia="Arial" w:hAnsi="Arial"/>
          <w:sz w:val="19"/>
          <w:szCs w:val="19"/>
          <w:b w:val="1"/>
          <w:bCs w:val="1"/>
          <w:i w:val="1"/>
          <w:iCs w:val="1"/>
          <w:color w:val="auto"/>
        </w:rPr>
        <w:t>Acquirer RSUs</w:t>
      </w:r>
      <w:r>
        <w:rPr>
          <w:rFonts w:ascii="Arial" w:cs="Arial" w:eastAsia="Arial" w:hAnsi="Arial"/>
          <w:sz w:val="19"/>
          <w:szCs w:val="19"/>
          <w:color w:val="auto"/>
        </w:rPr>
        <w:t>”.</w:t>
      </w:r>
    </w:p>
    <w:p>
      <w:pPr>
        <w:spacing w:after="0" w:line="169" w:lineRule="exact"/>
        <w:rPr>
          <w:sz w:val="20"/>
          <w:szCs w:val="20"/>
          <w:color w:val="auto"/>
        </w:rPr>
      </w:pPr>
    </w:p>
    <w:p>
      <w:pPr>
        <w:jc w:val="both"/>
        <w:ind w:left="-540" w:firstLine="1293"/>
        <w:spacing w:after="0" w:line="256" w:lineRule="auto"/>
        <w:tabs>
          <w:tab w:leader="none" w:pos="1427" w:val="left"/>
        </w:tabs>
        <w:numPr>
          <w:ilvl w:val="0"/>
          <w:numId w:val="143"/>
        </w:numPr>
        <w:rPr>
          <w:rFonts w:ascii="Arial" w:cs="Arial" w:eastAsia="Arial" w:hAnsi="Arial"/>
          <w:sz w:val="19"/>
          <w:szCs w:val="19"/>
          <w:color w:val="auto"/>
        </w:rPr>
      </w:pPr>
      <w:r>
        <w:rPr>
          <w:rFonts w:ascii="Arial" w:cs="Arial" w:eastAsia="Arial" w:hAnsi="Arial"/>
          <w:sz w:val="19"/>
          <w:szCs w:val="19"/>
          <w:i w:val="1"/>
          <w:iCs w:val="1"/>
          <w:color w:val="auto"/>
        </w:rPr>
        <w:t>Death and Disability</w:t>
      </w:r>
      <w:r>
        <w:rPr>
          <w:rFonts w:ascii="Arial" w:cs="Arial" w:eastAsia="Arial" w:hAnsi="Arial"/>
          <w:sz w:val="19"/>
          <w:szCs w:val="19"/>
          <w:color w:val="auto"/>
        </w:rPr>
        <w:t>. In the event that the Participant’s employment with the Company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is terminated due to the Participant’s death or Disability (A) prior to a Change of Control and on or before the 18-month anniversary of the Grant Date, the Participant shall become immediately vested in the target number of PRSUs pro rated in accordance with Section 3(e) hereof, (B) prior to a Change of Control and following the 18-month anniversary of the Grant Date, the Participant shall become vested on the Determination Date in the number of PRSUs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due to the Participant’s death or Disability following the 18-month anniversary of the Grant Date in accordance with Section 3(b)(ii)(B), the number of PRSUs shall be determined by the Committee in accordance with Section 3(b)(i) hereof and the Participant shall immediately vest in a pro rated portion of such PRSUs determined in accordance with Section 3(e) hereof.</w:t>
      </w:r>
    </w:p>
    <w:p>
      <w:pPr>
        <w:spacing w:after="0" w:line="174" w:lineRule="exact"/>
        <w:rPr>
          <w:rFonts w:ascii="Arial" w:cs="Arial" w:eastAsia="Arial" w:hAnsi="Arial"/>
          <w:sz w:val="19"/>
          <w:szCs w:val="19"/>
          <w:color w:val="auto"/>
        </w:rPr>
      </w:pPr>
    </w:p>
    <w:p>
      <w:pPr>
        <w:jc w:val="both"/>
        <w:ind w:left="-540" w:firstLine="1293"/>
        <w:spacing w:after="0" w:line="256" w:lineRule="auto"/>
        <w:tabs>
          <w:tab w:leader="none" w:pos="1323" w:val="left"/>
        </w:tabs>
        <w:numPr>
          <w:ilvl w:val="0"/>
          <w:numId w:val="143"/>
        </w:numPr>
        <w:rPr>
          <w:rFonts w:ascii="Arial" w:cs="Arial" w:eastAsia="Arial" w:hAnsi="Arial"/>
          <w:sz w:val="19"/>
          <w:szCs w:val="19"/>
          <w:color w:val="auto"/>
        </w:rPr>
      </w:pPr>
      <w:r>
        <w:rPr>
          <w:rFonts w:ascii="Arial" w:cs="Arial" w:eastAsia="Arial" w:hAnsi="Arial"/>
          <w:sz w:val="19"/>
          <w:szCs w:val="19"/>
          <w:i w:val="1"/>
          <w:iCs w:val="1"/>
          <w:color w:val="auto"/>
        </w:rPr>
        <w:t>Termination without Cause or for Good Reason</w:t>
      </w:r>
      <w:r>
        <w:rPr>
          <w:rFonts w:ascii="Arial" w:cs="Arial" w:eastAsia="Arial" w:hAnsi="Arial"/>
          <w:sz w:val="19"/>
          <w:szCs w:val="19"/>
          <w:color w:val="auto"/>
        </w:rPr>
        <w:t>. (%4)In the event that the Participant’s employment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Company and its Subsidiaries is terminated by the Company and its Subsidiaries: (%5) without Cause prior to the Determination Date and prior to a Change of Control, the Participant shall become vested on the Determination Date in the number of PRSUs determined by the Committee following the end of the Measurement Period based on the extent to which the Performance Goal has been achieved and pro rated in accordance with Section 3(e) hereof, or (2) without Cause or by the Participant for Good Reason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by the Company and its Subsidiaries without Cause or by the Participant for Good Reason prior to the Determination Date, the number of PRSUs shall be determined by the Committee in accordance with Section 3(b)(i) hereof, and the Participant shall immediately vest upon the Change of Control in a pro-rated portion of such PRSUs determined in accordance with Section 3(e) hereof.</w:t>
      </w:r>
    </w:p>
    <w:p>
      <w:pPr>
        <w:spacing w:after="0" w:line="225" w:lineRule="exact"/>
        <w:rPr>
          <w:sz w:val="20"/>
          <w:szCs w:val="20"/>
          <w:color w:val="auto"/>
        </w:rPr>
      </w:pPr>
    </w:p>
    <w:p>
      <w:pPr>
        <w:jc w:val="both"/>
        <w:ind w:left="100" w:firstLine="653"/>
        <w:spacing w:after="0" w:line="274" w:lineRule="auto"/>
        <w:tabs>
          <w:tab w:leader="none" w:pos="1350" w:val="left"/>
        </w:tabs>
        <w:numPr>
          <w:ilvl w:val="0"/>
          <w:numId w:val="144"/>
        </w:numPr>
        <w:rPr>
          <w:rFonts w:ascii="Arial" w:cs="Arial" w:eastAsia="Arial" w:hAnsi="Arial"/>
          <w:sz w:val="21"/>
          <w:szCs w:val="21"/>
          <w:color w:val="auto"/>
        </w:rPr>
      </w:pPr>
      <w:r>
        <w:rPr>
          <w:rFonts w:ascii="Arial" w:cs="Arial" w:eastAsia="Arial" w:hAnsi="Arial"/>
          <w:sz w:val="19"/>
          <w:szCs w:val="19"/>
          <w:color w:val="auto"/>
        </w:rPr>
        <w:t>Notwithstanding the foregoing, the vesting set forth in Section 3(b)(iii)(A) hereof shall not occur and the PRSUs shall be forfeited if the Participant (1) engages in conduct prior to the Determination Date that constitutes a breach of the Participant’s covenants under the Employment Agreement or under this Agreement with respect to unfair competition, non-competition, non-solicitation, non-disparagement or cooperation or (2) to the</w:t>
      </w:r>
    </w:p>
    <w:p>
      <w:pPr>
        <w:spacing w:after="0" w:line="2" w:lineRule="exact"/>
        <w:rPr>
          <w:rFonts w:ascii="Arial" w:cs="Arial" w:eastAsia="Arial" w:hAnsi="Arial"/>
          <w:sz w:val="21"/>
          <w:szCs w:val="21"/>
          <w:color w:val="auto"/>
        </w:rPr>
      </w:pPr>
    </w:p>
    <w:p>
      <w:pPr>
        <w:jc w:val="both"/>
        <w:ind w:left="100"/>
        <w:spacing w:after="0" w:line="271" w:lineRule="auto"/>
        <w:rPr>
          <w:rFonts w:ascii="Arial" w:cs="Arial" w:eastAsia="Arial" w:hAnsi="Arial"/>
          <w:sz w:val="21"/>
          <w:szCs w:val="21"/>
          <w:color w:val="auto"/>
        </w:rPr>
      </w:pPr>
      <w:r>
        <w:rPr>
          <w:rFonts w:ascii="Arial" w:cs="Arial" w:eastAsia="Arial" w:hAnsi="Arial"/>
          <w:sz w:val="19"/>
          <w:szCs w:val="19"/>
          <w:color w:val="auto"/>
        </w:rPr>
        <w:t xml:space="preserve">extent a release is contemplated by the Employment Agreement, fails to execute a full general release of all claims in favor of the Company and its affiliates as contemplated by such Employment Agreement. </w:t>
      </w:r>
      <w:r>
        <w:rPr>
          <w:rFonts w:ascii="Arial" w:cs="Arial" w:eastAsia="Arial" w:hAnsi="Arial"/>
          <w:sz w:val="19"/>
          <w:szCs w:val="19"/>
          <w:b w:val="1"/>
          <w:bCs w:val="1"/>
          <w:color w:val="auto"/>
        </w:rPr>
        <w:t>Nothing in this</w:t>
      </w:r>
    </w:p>
    <w:p>
      <w:pPr>
        <w:ind w:left="100"/>
        <w:spacing w:after="0" w:line="295" w:lineRule="auto"/>
        <w:rPr>
          <w:rFonts w:ascii="Arial" w:cs="Arial" w:eastAsia="Arial" w:hAnsi="Arial"/>
          <w:sz w:val="21"/>
          <w:szCs w:val="21"/>
          <w:color w:val="auto"/>
        </w:rPr>
      </w:pPr>
      <w:r>
        <w:rPr>
          <w:rFonts w:ascii="Arial" w:cs="Arial" w:eastAsia="Arial" w:hAnsi="Arial"/>
          <w:sz w:val="20"/>
          <w:szCs w:val="20"/>
          <w:b w:val="1"/>
          <w:bCs w:val="1"/>
          <w:color w:val="auto"/>
        </w:rPr>
        <w:t>Section 3 or this Agreement shall be deemed to limit or modify the non-competition, confidentiality or non-solicitation restrictions to which</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892" w:right="239" w:bottom="1440" w:gutter="0" w:footer="0" w:header="0"/>
        </w:sectPr>
      </w:pPr>
    </w:p>
    <w:bookmarkStart w:id="156" w:name="page157"/>
    <w:bookmarkEnd w:id="156"/>
    <w:p>
      <w:pPr>
        <w:ind w:left="1300" w:right="20"/>
        <w:spacing w:after="0" w:line="272" w:lineRule="auto"/>
        <w:rPr>
          <w:sz w:val="20"/>
          <w:szCs w:val="20"/>
          <w:color w:val="auto"/>
        </w:rPr>
      </w:pPr>
      <w:r>
        <w:rPr>
          <w:rFonts w:ascii="Arial" w:cs="Arial" w:eastAsia="Arial" w:hAnsi="Arial"/>
          <w:sz w:val="20"/>
          <w:szCs w:val="20"/>
          <w:b w:val="1"/>
          <w:bCs w:val="1"/>
          <w:color w:val="auto"/>
        </w:rPr>
        <w:t>the Participant is already subject, which restrictions shall continue to be separately enforceable in accordance with their terms.</w:t>
      </w:r>
    </w:p>
    <w:p>
      <w:pPr>
        <w:spacing w:after="0" w:line="158" w:lineRule="exact"/>
        <w:rPr>
          <w:sz w:val="20"/>
          <w:szCs w:val="20"/>
          <w:color w:val="auto"/>
        </w:rPr>
      </w:pPr>
    </w:p>
    <w:p>
      <w:pPr>
        <w:jc w:val="both"/>
        <w:ind w:firstLine="1305"/>
        <w:spacing w:after="0" w:line="249" w:lineRule="auto"/>
        <w:tabs>
          <w:tab w:leader="none" w:pos="1803" w:val="left"/>
        </w:tabs>
        <w:numPr>
          <w:ilvl w:val="1"/>
          <w:numId w:val="145"/>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prior to the Determination Date for any reason other than the Participant’s death or Disability, by the Company and its Subsidiaries without Cause or by the Participant for Good Reason, the Participant shall immediately forfeit all the PRSUs (or, if applicable, Acquirer RSUs) on the Termination Date.</w:t>
      </w:r>
    </w:p>
    <w:p>
      <w:pPr>
        <w:spacing w:after="0" w:line="180" w:lineRule="exact"/>
        <w:rPr>
          <w:rFonts w:ascii="Arial" w:cs="Arial" w:eastAsia="Arial" w:hAnsi="Arial"/>
          <w:sz w:val="20"/>
          <w:szCs w:val="20"/>
          <w:color w:val="auto"/>
        </w:rPr>
      </w:pPr>
    </w:p>
    <w:p>
      <w:pPr>
        <w:jc w:val="both"/>
        <w:ind w:firstLine="1305"/>
        <w:spacing w:after="0" w:line="249" w:lineRule="auto"/>
        <w:tabs>
          <w:tab w:leader="none" w:pos="1922" w:val="left"/>
        </w:tabs>
        <w:numPr>
          <w:ilvl w:val="1"/>
          <w:numId w:val="145"/>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0" w:lineRule="exact"/>
        <w:rPr>
          <w:rFonts w:ascii="Arial" w:cs="Arial" w:eastAsia="Arial" w:hAnsi="Arial"/>
          <w:sz w:val="20"/>
          <w:szCs w:val="20"/>
          <w:color w:val="auto"/>
        </w:rPr>
      </w:pPr>
    </w:p>
    <w:p>
      <w:pPr>
        <w:jc w:val="both"/>
        <w:ind w:firstLine="1305"/>
        <w:spacing w:after="0" w:line="245" w:lineRule="auto"/>
        <w:tabs>
          <w:tab w:leader="none" w:pos="1881" w:val="left"/>
        </w:tabs>
        <w:numPr>
          <w:ilvl w:val="1"/>
          <w:numId w:val="145"/>
        </w:numPr>
        <w:rPr>
          <w:rFonts w:ascii="Arial" w:cs="Arial" w:eastAsia="Arial" w:hAnsi="Arial"/>
          <w:sz w:val="20"/>
          <w:szCs w:val="20"/>
          <w:color w:val="auto"/>
        </w:rPr>
      </w:pPr>
      <w:r>
        <w:rPr>
          <w:rFonts w:ascii="Arial" w:cs="Arial" w:eastAsia="Arial" w:hAnsi="Arial"/>
          <w:sz w:val="20"/>
          <w:szCs w:val="20"/>
          <w:i w:val="1"/>
          <w:iCs w:val="1"/>
          <w:color w:val="auto"/>
        </w:rPr>
        <w:t>Pro-Ration of PRSUs</w:t>
      </w:r>
      <w:r>
        <w:rPr>
          <w:rFonts w:ascii="Arial" w:cs="Arial" w:eastAsia="Arial" w:hAnsi="Arial"/>
          <w:sz w:val="20"/>
          <w:szCs w:val="20"/>
          <w:color w:val="auto"/>
        </w:rPr>
        <w:t>. For purposes of clauses (b)(ii) and (b)(iii), the pro-rated portion of PRSUs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calculated by multiplying the number of PRSUs determined by the Committee based on the extent to which the Performance Goal has been achieved by a fraction, the numerator of which shall be the number of days that have elapsed between the Grant Date and the Termination Date and the denominator of which shall be the total number of days between the Grant Date and the Determination Date, which for this purpose shall be deemed to be March 15, 2019, and the remaining portion of such PRSUs, if any, shall be forfeited.</w:t>
      </w:r>
    </w:p>
    <w:p>
      <w:pPr>
        <w:spacing w:after="0" w:line="205" w:lineRule="exact"/>
        <w:rPr>
          <w:rFonts w:ascii="Arial" w:cs="Arial" w:eastAsia="Arial" w:hAnsi="Arial"/>
          <w:sz w:val="20"/>
          <w:szCs w:val="20"/>
          <w:color w:val="auto"/>
        </w:rPr>
      </w:pPr>
    </w:p>
    <w:p>
      <w:pPr>
        <w:jc w:val="both"/>
        <w:ind w:firstLine="8"/>
        <w:spacing w:after="0" w:line="242" w:lineRule="auto"/>
        <w:tabs>
          <w:tab w:leader="none" w:pos="4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39" w:lineRule="auto"/>
        <w:tabs>
          <w:tab w:leader="none" w:pos="1976"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xml:space="preserve">. The Company shall deliver the Shares corresponding to the vested PRSUs (or, if applicable, Acquirer RSUs) to the Participant within 30 days following the Determination Date, but in no event later than March 15 of the calendar year immediately following the calendar year in which the Determination Date occurs;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spacing w:after="0"/>
        <w:rPr>
          <w:rFonts w:ascii="Arial" w:cs="Arial" w:eastAsia="Arial" w:hAnsi="Arial"/>
          <w:sz w:val="20"/>
          <w:szCs w:val="20"/>
          <w:color w:val="auto"/>
        </w:rPr>
      </w:pPr>
      <w:r>
        <w:rPr>
          <w:rFonts w:ascii="Arial" w:cs="Arial" w:eastAsia="Arial" w:hAnsi="Arial"/>
          <w:sz w:val="20"/>
          <w:szCs w:val="20"/>
          <w:color w:val="auto"/>
        </w:rPr>
        <w:t>(i) in the event of a Change of Control pursuant to which the PRSUs accelerate vesting in accordance with Section 3(b)(i)(A) hereof, the Company shall deliver Shares corresponding to vested PRSUs to the Participant within 10 days following such Change of Control, (ii) in the event of the Participant’s termination of employment (A) due to death or Disability on or prior to the 18-month anniversary of the Grant Date or following a Change of Control or (B) by the Company without Cause or by the Participant for Good Reason, in either case, following a Change of Control, the Company shall deliver the Shares corresponding to the vested Acquirer RSUs to the Participant within 30 days following such Termination Date. Notwithstanding any provision in this Agreement to the contrary, the PRSUs (or,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212" w:lineRule="exact"/>
        <w:rPr>
          <w:rFonts w:ascii="Arial" w:cs="Arial" w:eastAsia="Arial" w:hAnsi="Arial"/>
          <w:sz w:val="20"/>
          <w:szCs w:val="20"/>
          <w:color w:val="auto"/>
        </w:rPr>
      </w:pPr>
    </w:p>
    <w:p>
      <w:pPr>
        <w:jc w:val="both"/>
        <w:ind w:firstLine="1305"/>
        <w:spacing w:after="0" w:line="243" w:lineRule="auto"/>
        <w:tabs>
          <w:tab w:leader="none" w:pos="2017"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68" w:right="239" w:bottom="1440" w:gutter="0" w:footer="0" w:header="0"/>
        </w:sectPr>
      </w:pPr>
    </w:p>
    <w:bookmarkStart w:id="157" w:name="page158"/>
    <w:bookmarkEnd w:id="157"/>
    <w:p>
      <w:pPr>
        <w:jc w:val="both"/>
        <w:spacing w:after="0"/>
        <w:rPr>
          <w:sz w:val="20"/>
          <w:szCs w:val="20"/>
          <w:color w:val="auto"/>
        </w:rPr>
      </w:pPr>
      <w:r>
        <w:rPr>
          <w:rFonts w:ascii="Arial" w:cs="Arial" w:eastAsia="Arial" w:hAnsi="Arial"/>
          <w:sz w:val="20"/>
          <w:szCs w:val="20"/>
          <w:color w:val="auto"/>
        </w:rPr>
        <w:t>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13" w:lineRule="exact"/>
        <w:rPr>
          <w:sz w:val="20"/>
          <w:szCs w:val="20"/>
          <w:color w:val="auto"/>
        </w:rPr>
      </w:pPr>
    </w:p>
    <w:p>
      <w:pPr>
        <w:jc w:val="both"/>
        <w:ind w:firstLine="1305"/>
        <w:spacing w:after="0" w:line="242" w:lineRule="auto"/>
        <w:tabs>
          <w:tab w:leader="none" w:pos="1803"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PRSUs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00"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09" w:lineRule="exact"/>
        <w:rPr>
          <w:rFonts w:ascii="Arial" w:cs="Arial" w:eastAsia="Arial" w:hAnsi="Arial"/>
          <w:sz w:val="20"/>
          <w:szCs w:val="20"/>
          <w:color w:val="auto"/>
        </w:rPr>
      </w:pPr>
    </w:p>
    <w:p>
      <w:pPr>
        <w:ind w:left="1780" w:hanging="475"/>
        <w:spacing w:after="0"/>
        <w:tabs>
          <w:tab w:leader="none" w:pos="1780"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3"/>
        <w:spacing w:after="0"/>
        <w:tabs>
          <w:tab w:leader="none" w:pos="2502" w:val="left"/>
        </w:tabs>
        <w:numPr>
          <w:ilvl w:val="2"/>
          <w:numId w:val="148"/>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 with respect to its Shares, the Company shall credit to a bookkeeping account (the “</w:t>
      </w:r>
      <w:r>
        <w:rPr>
          <w:rFonts w:ascii="Arial" w:cs="Arial" w:eastAsia="Arial" w:hAnsi="Arial"/>
          <w:sz w:val="20"/>
          <w:szCs w:val="20"/>
          <w:b w:val="1"/>
          <w:bCs w:val="1"/>
          <w:i w:val="1"/>
          <w:iCs w:val="1"/>
          <w:color w:val="auto"/>
        </w:rPr>
        <w:t>Cash Account</w:t>
      </w:r>
      <w:r>
        <w:rPr>
          <w:rFonts w:ascii="Arial" w:cs="Arial" w:eastAsia="Arial" w:hAnsi="Arial"/>
          <w:sz w:val="20"/>
          <w:szCs w:val="20"/>
          <w:color w:val="auto"/>
        </w:rPr>
        <w:t>”) for the Participant an amount equal to the cash dividend that would have been payable with respect to the Shares corresponding to the PRSUs (or, if applicable, shares corresponding to Acquirer RSUs). Upon the vesting of any PRSUs hereunder (or, if applicable, Acquirer RSUs), the Participant shall vest in and have the right to receive that portion of the Cash Account which relates to any such vested PRSUs (or, if applicable, Acquirer RSUs). The value of the Participant’s Cash Account shall vest and be distributable to the Participant at the same time as the Shares corresponding to the vested PRSUs (or, if applicable, the consideration corresponding to Acquirer RSUs) are distributed to the Participant. For the avoidance of doubt, if, on the Determination Date, the Company determines that the Performance Goal has not been achieved and the PRSUs are forfeited pursuant to Section 3(a)(i) hereof, the Participant’s Cash Account will be immediately forfeited, along with the PRSUs, on the Determination Date.</w:t>
      </w:r>
    </w:p>
    <w:p>
      <w:pPr>
        <w:spacing w:after="0" w:line="211" w:lineRule="exact"/>
        <w:rPr>
          <w:rFonts w:ascii="Arial" w:cs="Arial" w:eastAsia="Arial" w:hAnsi="Arial"/>
          <w:sz w:val="20"/>
          <w:szCs w:val="20"/>
          <w:color w:val="auto"/>
        </w:rPr>
      </w:pPr>
    </w:p>
    <w:p>
      <w:pPr>
        <w:jc w:val="both"/>
        <w:ind w:left="660" w:firstLine="1293"/>
        <w:spacing w:after="0" w:line="241" w:lineRule="auto"/>
        <w:tabs>
          <w:tab w:leader="none" w:pos="2506" w:val="left"/>
        </w:tabs>
        <w:numPr>
          <w:ilvl w:val="2"/>
          <w:numId w:val="148"/>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PRSUs shall be increased by the stock dividend that would have been payable with respect to the Shares that correspond to the PRSUs, and shall be subject to the same vesting requirements as the PRSUs to which they relate and, to the extent earned and vested, shall be distributed at the same time as the Shares corresponding to the vested PRSUs are distributed.</w:t>
      </w:r>
    </w:p>
    <w:p>
      <w:pPr>
        <w:spacing w:after="0" w:line="209" w:lineRule="exact"/>
        <w:rPr>
          <w:rFonts w:ascii="Arial" w:cs="Arial" w:eastAsia="Arial" w:hAnsi="Arial"/>
          <w:sz w:val="20"/>
          <w:szCs w:val="20"/>
          <w:color w:val="auto"/>
        </w:rPr>
      </w:pPr>
    </w:p>
    <w:p>
      <w:pPr>
        <w:ind w:firstLine="8"/>
        <w:spacing w:after="0" w:line="247" w:lineRule="auto"/>
        <w:tabs>
          <w:tab w:leader="none" w:pos="467"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PRSUs or Acquirer RSUs or any rights with respect to the Cash Account.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92" w:right="239" w:bottom="1440" w:gutter="0" w:footer="0" w:header="0"/>
        </w:sectPr>
      </w:pPr>
    </w:p>
    <w:bookmarkStart w:id="158" w:name="page159"/>
    <w:bookmarkEnd w:id="158"/>
    <w:p>
      <w:pPr>
        <w:jc w:val="both"/>
        <w:ind w:firstLine="8"/>
        <w:spacing w:after="0" w:line="241" w:lineRule="auto"/>
        <w:tabs>
          <w:tab w:leader="none" w:pos="467"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PRSUs into Shares, the Participant shall execute and deliver to the Company such representations in writing as may be requested by the Company in order for it to comply with the applicable requirements of federal and state securities law.</w:t>
      </w:r>
    </w:p>
    <w:p>
      <w:pPr>
        <w:spacing w:after="0" w:line="207" w:lineRule="exact"/>
        <w:rPr>
          <w:rFonts w:ascii="Arial" w:cs="Arial" w:eastAsia="Arial" w:hAnsi="Arial"/>
          <w:sz w:val="20"/>
          <w:szCs w:val="20"/>
          <w:color w:val="auto"/>
        </w:rPr>
      </w:pPr>
    </w:p>
    <w:p>
      <w:pPr>
        <w:ind w:left="400" w:hanging="392"/>
        <w:spacing w:after="0"/>
        <w:tabs>
          <w:tab w:leader="none" w:pos="40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41" w:val="left"/>
        </w:tabs>
        <w:numPr>
          <w:ilvl w:val="1"/>
          <w:numId w:val="149"/>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07" w:lineRule="exact"/>
        <w:rPr>
          <w:rFonts w:ascii="Arial" w:cs="Arial" w:eastAsia="Arial" w:hAnsi="Arial"/>
          <w:sz w:val="20"/>
          <w:szCs w:val="20"/>
          <w:color w:val="auto"/>
        </w:rPr>
      </w:pPr>
    </w:p>
    <w:p>
      <w:pPr>
        <w:jc w:val="both"/>
        <w:ind w:firstLine="1305"/>
        <w:spacing w:after="0"/>
        <w:tabs>
          <w:tab w:leader="none" w:pos="1773" w:val="left"/>
        </w:tabs>
        <w:numPr>
          <w:ilvl w:val="1"/>
          <w:numId w:val="149"/>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The Company may, at its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PRSUs (or, if applicable, consideration underlying Acquirer RSUs) in the open market or (3) withholding and canceling all or a portion of the Shares corresponding to the vested PRSUs (or, if applicable, consideration corresponding to Acquirer RSUs). Any acquisition of Shares corresponding to PRSUs (or, if applicable, consideration corresponding to Acquirer RSUs) by the Company as contemplated hereby is expressly approved by the Committee as part of the approval of this Agreement.</w:t>
      </w:r>
    </w:p>
    <w:p>
      <w:pPr>
        <w:spacing w:after="0" w:line="211" w:lineRule="exact"/>
        <w:rPr>
          <w:rFonts w:ascii="Arial" w:cs="Arial" w:eastAsia="Arial" w:hAnsi="Arial"/>
          <w:sz w:val="20"/>
          <w:szCs w:val="20"/>
          <w:color w:val="auto"/>
        </w:rPr>
      </w:pPr>
    </w:p>
    <w:p>
      <w:pPr>
        <w:jc w:val="both"/>
        <w:ind w:firstLine="1305"/>
        <w:spacing w:after="0"/>
        <w:tabs>
          <w:tab w:leader="none" w:pos="1924" w:val="left"/>
        </w:tabs>
        <w:numPr>
          <w:ilvl w:val="1"/>
          <w:numId w:val="149"/>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 date on which the Shares corresponding to the vested PRSUs (or, if applicable, consideration corresponding to Acquirer RSUs) or vested Cash Account otherwise would be delivered pursuant to Sections 5 and 6(b) hereof, as applicable, the Participant shall immediately forfeit any rights with respect to the portion of the PRSUs (or, if applicable, Acquirer RSUs) or vested Cash Account to which such failure relates.</w:t>
      </w:r>
    </w:p>
    <w:p>
      <w:pPr>
        <w:spacing w:after="0" w:line="213" w:lineRule="exact"/>
        <w:rPr>
          <w:rFonts w:ascii="Arial" w:cs="Arial" w:eastAsia="Arial" w:hAnsi="Arial"/>
          <w:sz w:val="20"/>
          <w:szCs w:val="20"/>
          <w:color w:val="auto"/>
        </w:rPr>
      </w:pPr>
    </w:p>
    <w:p>
      <w:pPr>
        <w:jc w:val="both"/>
        <w:ind w:firstLine="8"/>
        <w:spacing w:after="0" w:line="241" w:lineRule="auto"/>
        <w:tabs>
          <w:tab w:leader="none" w:pos="51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92" w:right="239" w:bottom="1440" w:gutter="0" w:footer="0" w:header="0"/>
        </w:sectPr>
      </w:pPr>
    </w:p>
    <w:bookmarkStart w:id="159" w:name="page160"/>
    <w:bookmarkEnd w:id="159"/>
    <w:p>
      <w:pPr>
        <w:jc w:val="both"/>
        <w:spacing w:after="0" w:line="243" w:lineRule="auto"/>
        <w:rPr>
          <w:sz w:val="20"/>
          <w:szCs w:val="20"/>
          <w:color w:val="auto"/>
        </w:rPr>
      </w:pPr>
      <w:r>
        <w:rPr>
          <w:rFonts w:ascii="Arial" w:cs="Arial" w:eastAsia="Arial" w:hAnsi="Arial"/>
          <w:sz w:val="20"/>
          <w:szCs w:val="20"/>
          <w:color w:val="auto"/>
        </w:rPr>
        <w:t>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206" w:lineRule="exact"/>
        <w:rPr>
          <w:sz w:val="20"/>
          <w:szCs w:val="20"/>
          <w:color w:val="auto"/>
        </w:rPr>
      </w:pPr>
    </w:p>
    <w:p>
      <w:pPr>
        <w:jc w:val="both"/>
        <w:ind w:firstLine="8"/>
        <w:spacing w:after="0" w:line="242" w:lineRule="auto"/>
        <w:tabs>
          <w:tab w:leader="none" w:pos="537"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206" w:lineRule="exact"/>
        <w:rPr>
          <w:rFonts w:ascii="Arial" w:cs="Arial" w:eastAsia="Arial" w:hAnsi="Arial"/>
          <w:sz w:val="20"/>
          <w:szCs w:val="20"/>
          <w:color w:val="auto"/>
        </w:rPr>
      </w:pPr>
    </w:p>
    <w:p>
      <w:pPr>
        <w:jc w:val="both"/>
        <w:ind w:firstLine="8"/>
        <w:spacing w:after="0"/>
        <w:tabs>
          <w:tab w:leader="none" w:pos="659"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Agreement, the Participant’s 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3" w:lineRule="exact"/>
        <w:rPr>
          <w:rFonts w:ascii="Arial" w:cs="Arial" w:eastAsia="Arial" w:hAnsi="Arial"/>
          <w:sz w:val="20"/>
          <w:szCs w:val="20"/>
          <w:color w:val="auto"/>
        </w:rPr>
      </w:pPr>
    </w:p>
    <w:p>
      <w:pPr>
        <w:jc w:val="both"/>
        <w:ind w:firstLine="8"/>
        <w:spacing w:after="0" w:line="243" w:lineRule="auto"/>
        <w:tabs>
          <w:tab w:leader="none" w:pos="713"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8"/>
        <w:spacing w:after="0" w:line="247" w:lineRule="auto"/>
        <w:tabs>
          <w:tab w:leader="none" w:pos="794"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1" w:lineRule="exact"/>
        <w:rPr>
          <w:rFonts w:ascii="Arial" w:cs="Arial" w:eastAsia="Arial" w:hAnsi="Arial"/>
          <w:sz w:val="20"/>
          <w:szCs w:val="20"/>
          <w:color w:val="auto"/>
        </w:rPr>
      </w:pPr>
    </w:p>
    <w:p>
      <w:pPr>
        <w:ind w:firstLine="8"/>
        <w:spacing w:after="0" w:line="247" w:lineRule="auto"/>
        <w:tabs>
          <w:tab w:leader="none" w:pos="51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01" w:lineRule="exact"/>
        <w:rPr>
          <w:rFonts w:ascii="Arial" w:cs="Arial" w:eastAsia="Arial" w:hAnsi="Arial"/>
          <w:sz w:val="20"/>
          <w:szCs w:val="20"/>
          <w:color w:val="auto"/>
        </w:rPr>
      </w:pPr>
    </w:p>
    <w:p>
      <w:pPr>
        <w:jc w:val="both"/>
        <w:ind w:firstLine="8"/>
        <w:spacing w:after="0"/>
        <w:tabs>
          <w:tab w:leader="none" w:pos="551"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2" w:lineRule="exact"/>
        <w:rPr>
          <w:rFonts w:ascii="Arial" w:cs="Arial" w:eastAsia="Arial" w:hAnsi="Arial"/>
          <w:sz w:val="20"/>
          <w:szCs w:val="20"/>
          <w:color w:val="auto"/>
        </w:rPr>
      </w:pPr>
    </w:p>
    <w:p>
      <w:pPr>
        <w:jc w:val="both"/>
        <w:ind w:firstLine="8"/>
        <w:spacing w:after="0" w:line="241" w:lineRule="auto"/>
        <w:tabs>
          <w:tab w:leader="none" w:pos="618"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92" w:right="239" w:bottom="1440" w:gutter="0" w:footer="0" w:header="0"/>
        </w:sectPr>
      </w:pPr>
    </w:p>
    <w:bookmarkStart w:id="160" w:name="page161"/>
    <w:bookmarkEnd w:id="160"/>
    <w:p>
      <w:pPr>
        <w:ind w:right="20"/>
        <w:spacing w:after="0" w:line="247" w:lineRule="auto"/>
        <w:rPr>
          <w:sz w:val="20"/>
          <w:szCs w:val="20"/>
          <w:color w:val="auto"/>
        </w:rPr>
      </w:pPr>
      <w:r>
        <w:rPr>
          <w:rFonts w:ascii="Arial" w:cs="Arial" w:eastAsia="Arial" w:hAnsi="Arial"/>
          <w:sz w:val="20"/>
          <w:szCs w:val="20"/>
          <w:color w:val="auto"/>
        </w:rPr>
        <w:t>of the Committee (or, if applicable, officer of the Company) shall be personally liable for any action, determination or interpretation made in good faith with respect to the Plan or this Agreement.</w:t>
      </w:r>
    </w:p>
    <w:p>
      <w:pPr>
        <w:spacing w:after="0" w:line="202" w:lineRule="exact"/>
        <w:rPr>
          <w:sz w:val="20"/>
          <w:szCs w:val="20"/>
          <w:color w:val="auto"/>
        </w:rPr>
      </w:pPr>
    </w:p>
    <w:p>
      <w:pPr>
        <w:ind w:firstLine="8"/>
        <w:spacing w:after="0" w:line="247" w:lineRule="auto"/>
        <w:tabs>
          <w:tab w:leader="none" w:pos="591"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1" w:lineRule="exact"/>
        <w:rPr>
          <w:rFonts w:ascii="Arial" w:cs="Arial" w:eastAsia="Arial" w:hAnsi="Arial"/>
          <w:sz w:val="20"/>
          <w:szCs w:val="20"/>
          <w:color w:val="auto"/>
        </w:rPr>
      </w:pPr>
    </w:p>
    <w:p>
      <w:pPr>
        <w:jc w:val="both"/>
        <w:ind w:firstLine="8"/>
        <w:spacing w:after="0" w:line="243" w:lineRule="auto"/>
        <w:tabs>
          <w:tab w:leader="none" w:pos="672"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8"/>
        <w:spacing w:after="0"/>
        <w:tabs>
          <w:tab w:leader="none" w:pos="537"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1" w:lineRule="exact"/>
        <w:rPr>
          <w:rFonts w:ascii="Arial" w:cs="Arial" w:eastAsia="Arial" w:hAnsi="Arial"/>
          <w:sz w:val="20"/>
          <w:szCs w:val="20"/>
          <w:color w:val="auto"/>
        </w:rPr>
      </w:pPr>
    </w:p>
    <w:p>
      <w:pPr>
        <w:ind w:left="520" w:hanging="512"/>
        <w:spacing w:after="0"/>
        <w:tabs>
          <w:tab w:leader="none" w:pos="520"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656"/>
        <w:spacing w:after="0"/>
        <w:tabs>
          <w:tab w:leader="none" w:pos="1193" w:val="left"/>
        </w:tabs>
        <w:numPr>
          <w:ilvl w:val="1"/>
          <w:numId w:val="151"/>
        </w:numPr>
        <w:rPr>
          <w:rFonts w:ascii="Arial" w:cs="Arial" w:eastAsia="Arial" w:hAnsi="Arial"/>
          <w:sz w:val="20"/>
          <w:szCs w:val="20"/>
          <w:color w:val="auto"/>
        </w:rPr>
      </w:pPr>
      <w:r>
        <w:rPr>
          <w:rFonts w:ascii="Arial" w:cs="Arial" w:eastAsia="Arial" w:hAnsi="Arial"/>
          <w:sz w:val="20"/>
          <w:szCs w:val="20"/>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 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12" w:lineRule="exact"/>
        <w:rPr>
          <w:rFonts w:ascii="Arial" w:cs="Arial" w:eastAsia="Arial" w:hAnsi="Arial"/>
          <w:sz w:val="20"/>
          <w:szCs w:val="20"/>
          <w:color w:val="auto"/>
        </w:rPr>
      </w:pPr>
    </w:p>
    <w:p>
      <w:pPr>
        <w:ind w:left="1780" w:hanging="475"/>
        <w:spacing w:after="0"/>
        <w:tabs>
          <w:tab w:leader="none" w:pos="1780" w:val="left"/>
        </w:tabs>
        <w:numPr>
          <w:ilvl w:val="2"/>
          <w:numId w:val="151"/>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15" w:lineRule="exact"/>
        <w:rPr>
          <w:rFonts w:ascii="Arial" w:cs="Arial" w:eastAsia="Arial" w:hAnsi="Arial"/>
          <w:sz w:val="20"/>
          <w:szCs w:val="20"/>
          <w:color w:val="auto"/>
        </w:rPr>
      </w:pPr>
    </w:p>
    <w:p>
      <w:pPr>
        <w:jc w:val="both"/>
        <w:ind w:left="660" w:firstLine="1293"/>
        <w:spacing w:after="0" w:line="241" w:lineRule="auto"/>
        <w:tabs>
          <w:tab w:leader="none" w:pos="2381" w:val="left"/>
        </w:tabs>
        <w:numPr>
          <w:ilvl w:val="3"/>
          <w:numId w:val="151"/>
        </w:numPr>
        <w:rPr>
          <w:rFonts w:ascii="Arial" w:cs="Arial" w:eastAsia="Arial" w:hAnsi="Arial"/>
          <w:sz w:val="20"/>
          <w:szCs w:val="20"/>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92" w:right="239" w:bottom="1440" w:gutter="0" w:footer="0" w:header="0"/>
        </w:sectPr>
      </w:pPr>
    </w:p>
    <w:bookmarkStart w:id="161" w:name="page162"/>
    <w:bookmarkEnd w:id="161"/>
    <w:p>
      <w:pPr>
        <w:jc w:val="both"/>
        <w:ind w:left="660" w:firstLine="1293"/>
        <w:spacing w:after="0" w:line="243" w:lineRule="auto"/>
        <w:tabs>
          <w:tab w:leader="none" w:pos="2411"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06" w:lineRule="exact"/>
        <w:rPr>
          <w:rFonts w:ascii="Arial" w:cs="Arial" w:eastAsia="Arial" w:hAnsi="Arial"/>
          <w:sz w:val="20"/>
          <w:szCs w:val="20"/>
          <w:color w:val="auto"/>
        </w:rPr>
      </w:pPr>
    </w:p>
    <w:p>
      <w:pPr>
        <w:jc w:val="both"/>
        <w:ind w:left="660" w:firstLine="1293"/>
        <w:spacing w:after="0" w:line="243" w:lineRule="auto"/>
        <w:tabs>
          <w:tab w:leader="none" w:pos="255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206" w:lineRule="exact"/>
        <w:rPr>
          <w:sz w:val="20"/>
          <w:szCs w:val="20"/>
          <w:color w:val="auto"/>
        </w:rPr>
      </w:pPr>
    </w:p>
    <w:p>
      <w:pPr>
        <w:jc w:val="both"/>
        <w:ind w:left="1620" w:hanging="323"/>
        <w:spacing w:after="0" w:line="242"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07" w:lineRule="exact"/>
        <w:rPr>
          <w:sz w:val="20"/>
          <w:szCs w:val="20"/>
          <w:color w:val="auto"/>
        </w:rPr>
      </w:pPr>
    </w:p>
    <w:p>
      <w:pPr>
        <w:jc w:val="both"/>
        <w:ind w:firstLine="1305"/>
        <w:spacing w:after="0"/>
        <w:tabs>
          <w:tab w:leader="none" w:pos="1857" w:val="left"/>
        </w:tabs>
        <w:numPr>
          <w:ilvl w:val="1"/>
          <w:numId w:val="153"/>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3" w:lineRule="exact"/>
        <w:rPr>
          <w:rFonts w:ascii="Arial" w:cs="Arial" w:eastAsia="Arial" w:hAnsi="Arial"/>
          <w:sz w:val="20"/>
          <w:szCs w:val="20"/>
          <w:color w:val="auto"/>
        </w:rPr>
      </w:pPr>
    </w:p>
    <w:p>
      <w:pPr>
        <w:jc w:val="both"/>
        <w:ind w:firstLine="8"/>
        <w:spacing w:after="0" w:line="242" w:lineRule="auto"/>
        <w:tabs>
          <w:tab w:leader="none" w:pos="672"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92" w:right="2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ectPr>
          <w:pgSz w:w="11900" w:h="16838" w:orient="portrait"/>
          <w:cols w:equalWidth="0" w:num="1">
            <w:col w:w="9559"/>
          </w:cols>
          <w:pgMar w:left="900" w:top="868" w:right="1440" w:bottom="1440" w:gutter="0" w:footer="0" w:header="0"/>
        </w:sectPr>
      </w:pPr>
    </w:p>
    <w:p>
      <w:pPr>
        <w:spacing w:after="0" w:line="227" w:lineRule="exact"/>
        <w:rPr>
          <w:sz w:val="20"/>
          <w:szCs w:val="20"/>
          <w:color w:val="auto"/>
        </w:rPr>
      </w:pPr>
    </w:p>
    <w:p>
      <w:pPr>
        <w:ind w:left="1860"/>
        <w:spacing w:after="0"/>
        <w:rPr>
          <w:sz w:val="20"/>
          <w:szCs w:val="20"/>
          <w:color w:val="auto"/>
        </w:rPr>
      </w:pPr>
      <w:r>
        <w:rPr>
          <w:rFonts w:ascii="Arial" w:cs="Arial" w:eastAsia="Arial" w:hAnsi="Arial"/>
          <w:sz w:val="19"/>
          <w:szCs w:val="19"/>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-22860</wp:posOffset>
            </wp:positionV>
            <wp:extent cx="9779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J. Kasbar</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6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-22860</wp:posOffset>
            </wp:positionV>
            <wp:extent cx="838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______________________</w:t>
      </w:r>
    </w:p>
    <w:p>
      <w:pPr>
        <w:spacing w:after="0" w:line="200" w:lineRule="exact"/>
        <w:rPr>
          <w:sz w:val="20"/>
          <w:szCs w:val="20"/>
          <w:color w:val="auto"/>
        </w:r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59"/>
          </w:cols>
          <w:pgMar w:left="900" w:top="868" w:right="1440"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1122"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t>Exhibit 10.24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60" w:hanging="404"/>
        <w:spacing w:after="0"/>
        <w:tabs>
          <w:tab w:leader="none" w:pos="106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has awarded to </w:t>
      </w:r>
      <w:r>
        <w:rPr>
          <w:rFonts w:ascii="Arial" w:cs="Arial" w:eastAsia="Arial" w:hAnsi="Arial"/>
          <w:sz w:val="20"/>
          <w:szCs w:val="20"/>
          <w:b w:val="1"/>
          <w:bCs w:val="1"/>
          <w:u w:val="single" w:color="auto"/>
          <w:color w:val="auto"/>
        </w:rPr>
        <w:t>_________</w:t>
      </w:r>
    </w:p>
    <w:p>
      <w:pPr>
        <w:spacing w:after="0" w:line="23" w:lineRule="exact"/>
        <w:rPr>
          <w:rFonts w:ascii="Arial" w:cs="Arial" w:eastAsia="Arial" w:hAnsi="Arial"/>
          <w:sz w:val="20"/>
          <w:szCs w:val="20"/>
          <w:color w:val="auto"/>
        </w:rPr>
      </w:pPr>
    </w:p>
    <w:p>
      <w:pPr>
        <w:jc w:val="both"/>
        <w:spacing w:after="0"/>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effective as of </w:t>
      </w:r>
      <w:r>
        <w:rPr>
          <w:rFonts w:ascii="Arial" w:cs="Arial" w:eastAsia="Arial" w:hAnsi="Arial"/>
          <w:sz w:val="20"/>
          <w:szCs w:val="20"/>
          <w:u w:val="single" w:color="auto"/>
          <w:color w:val="auto"/>
        </w:rPr>
        <w:t>March 31, 2016</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____________</w:t>
      </w:r>
      <w:r>
        <w:rPr>
          <w:rFonts w:ascii="Arial" w:cs="Arial" w:eastAsia="Arial" w:hAnsi="Arial"/>
          <w:sz w:val="20"/>
          <w:szCs w:val="20"/>
          <w:color w:val="auto"/>
        </w:rPr>
        <w:t xml:space="preserve">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RSUs have been granted under the Company’s 2006 Omnibus Plan, as amended and restated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213" w:lineRule="exact"/>
        <w:rPr>
          <w:rFonts w:ascii="Arial" w:cs="Arial" w:eastAsia="Arial" w:hAnsi="Arial"/>
          <w:sz w:val="20"/>
          <w:szCs w:val="20"/>
          <w:color w:val="auto"/>
        </w:rPr>
      </w:pPr>
    </w:p>
    <w:p>
      <w:pPr>
        <w:ind w:right="20" w:firstLine="656"/>
        <w:spacing w:after="0" w:line="247" w:lineRule="auto"/>
        <w:tabs>
          <w:tab w:leader="none" w:pos="1047"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w:t>
      </w:r>
    </w:p>
    <w:p>
      <w:pPr>
        <w:spacing w:after="0" w:line="191" w:lineRule="exact"/>
        <w:rPr>
          <w:rFonts w:ascii="Arial" w:cs="Arial" w:eastAsia="Arial" w:hAnsi="Arial"/>
          <w:sz w:val="20"/>
          <w:szCs w:val="20"/>
          <w:color w:val="auto"/>
        </w:rPr>
      </w:pPr>
    </w:p>
    <w:p>
      <w:pPr>
        <w:ind w:left="1760" w:hanging="455"/>
        <w:spacing w:after="0"/>
        <w:tabs>
          <w:tab w:leader="none" w:pos="1760" w:val="left"/>
        </w:tabs>
        <w:numPr>
          <w:ilvl w:val="1"/>
          <w:numId w:val="15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w:t>
      </w:r>
    </w:p>
    <w:p>
      <w:pPr>
        <w:spacing w:after="0" w:line="253" w:lineRule="exact"/>
        <w:rPr>
          <w:rFonts w:ascii="Arial" w:cs="Arial" w:eastAsia="Arial" w:hAnsi="Arial"/>
          <w:sz w:val="20"/>
          <w:szCs w:val="20"/>
          <w:color w:val="auto"/>
        </w:rPr>
      </w:pPr>
    </w:p>
    <w:p>
      <w:pPr>
        <w:ind w:firstLine="1953"/>
        <w:spacing w:after="0" w:line="247" w:lineRule="auto"/>
        <w:tabs>
          <w:tab w:leader="none" w:pos="2189" w:val="left"/>
        </w:tabs>
        <w:numPr>
          <w:ilvl w:val="2"/>
          <w:numId w:val="155"/>
        </w:numPr>
        <w:rPr>
          <w:rFonts w:ascii="Arial" w:cs="Arial" w:eastAsia="Arial" w:hAnsi="Arial"/>
          <w:sz w:val="20"/>
          <w:szCs w:val="20"/>
          <w:color w:val="auto"/>
        </w:rPr>
      </w:pPr>
      <w:r>
        <w:rPr>
          <w:rFonts w:ascii="Arial" w:cs="Arial" w:eastAsia="Arial" w:hAnsi="Arial"/>
          <w:sz w:val="20"/>
          <w:szCs w:val="20"/>
          <w:color w:val="auto"/>
        </w:rPr>
        <w:t>the failure by the Participant to perform, in a reasonable manner, his or her duties as assigned by the Company or any Subsidiary;</w:t>
      </w:r>
    </w:p>
    <w:p>
      <w:pPr>
        <w:spacing w:after="0" w:line="66" w:lineRule="exact"/>
        <w:rPr>
          <w:rFonts w:ascii="Arial" w:cs="Arial" w:eastAsia="Arial" w:hAnsi="Arial"/>
          <w:sz w:val="20"/>
          <w:szCs w:val="20"/>
          <w:color w:val="auto"/>
        </w:rPr>
      </w:pPr>
    </w:p>
    <w:p>
      <w:pPr>
        <w:ind w:right="20" w:firstLine="1953"/>
        <w:spacing w:after="0" w:line="247" w:lineRule="auto"/>
        <w:tabs>
          <w:tab w:leader="none" w:pos="226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any material violation or material breach by the Participant of his or her employment agreement, consulting or other similar agreement with the Company or any Subsidiary, if any;</w:t>
      </w:r>
    </w:p>
    <w:p>
      <w:pPr>
        <w:spacing w:after="0" w:line="147" w:lineRule="exact"/>
        <w:rPr>
          <w:rFonts w:ascii="Arial" w:cs="Arial" w:eastAsia="Arial" w:hAnsi="Arial"/>
          <w:sz w:val="20"/>
          <w:szCs w:val="20"/>
          <w:color w:val="auto"/>
        </w:rPr>
      </w:pPr>
    </w:p>
    <w:p>
      <w:pPr>
        <w:ind w:firstLine="1953"/>
        <w:spacing w:after="0" w:line="247" w:lineRule="auto"/>
        <w:tabs>
          <w:tab w:leader="none" w:pos="2263" w:val="left"/>
        </w:tabs>
        <w:numPr>
          <w:ilvl w:val="2"/>
          <w:numId w:val="155"/>
        </w:numPr>
        <w:rPr>
          <w:rFonts w:ascii="Arial" w:cs="Arial" w:eastAsia="Arial" w:hAnsi="Arial"/>
          <w:sz w:val="20"/>
          <w:szCs w:val="20"/>
          <w:color w:val="auto"/>
        </w:rPr>
      </w:pPr>
      <w:r>
        <w:rPr>
          <w:rFonts w:ascii="Arial" w:cs="Arial" w:eastAsia="Arial" w:hAnsi="Arial"/>
          <w:sz w:val="20"/>
          <w:szCs w:val="20"/>
          <w:color w:val="auto"/>
        </w:rPr>
        <w:t>any material violation or material breach by the Participant of any non-competition, non-solicitation, non-disclosure and/or other similar agreement with the Company or any Subsidiary;</w:t>
      </w:r>
    </w:p>
    <w:p>
      <w:pPr>
        <w:spacing w:after="0" w:line="147" w:lineRule="exact"/>
        <w:rPr>
          <w:rFonts w:ascii="Arial" w:cs="Arial" w:eastAsia="Arial" w:hAnsi="Arial"/>
          <w:sz w:val="20"/>
          <w:szCs w:val="20"/>
          <w:color w:val="auto"/>
        </w:rPr>
      </w:pPr>
    </w:p>
    <w:p>
      <w:pPr>
        <w:ind w:left="2300" w:hanging="347"/>
        <w:spacing w:after="0"/>
        <w:tabs>
          <w:tab w:leader="none" w:pos="230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any material violation or material breach by the Participant of the Company’s Code of Conduct or any</w:t>
      </w:r>
    </w:p>
    <w:p>
      <w:pPr>
        <w:spacing w:after="0"/>
        <w:rPr>
          <w:rFonts w:ascii="Arial" w:cs="Arial" w:eastAsia="Arial" w:hAnsi="Arial"/>
          <w:sz w:val="20"/>
          <w:szCs w:val="20"/>
          <w:color w:val="auto"/>
        </w:rPr>
      </w:pPr>
      <w:r>
        <w:rPr>
          <w:rFonts w:ascii="Arial" w:cs="Arial" w:eastAsia="Arial" w:hAnsi="Arial"/>
          <w:sz w:val="20"/>
          <w:szCs w:val="20"/>
          <w:color w:val="auto"/>
        </w:rPr>
        <w:t>other Company policy;</w:t>
      </w:r>
    </w:p>
    <w:p>
      <w:pPr>
        <w:spacing w:after="0" w:line="161" w:lineRule="exact"/>
        <w:rPr>
          <w:rFonts w:ascii="Arial" w:cs="Arial" w:eastAsia="Arial" w:hAnsi="Arial"/>
          <w:sz w:val="20"/>
          <w:szCs w:val="20"/>
          <w:color w:val="auto"/>
        </w:rPr>
      </w:pPr>
    </w:p>
    <w:p>
      <w:pPr>
        <w:ind w:right="20" w:firstLine="1953"/>
        <w:spacing w:after="0" w:line="247" w:lineRule="auto"/>
        <w:tabs>
          <w:tab w:leader="none" w:pos="2244" w:val="left"/>
        </w:tabs>
        <w:numPr>
          <w:ilvl w:val="2"/>
          <w:numId w:val="155"/>
        </w:numPr>
        <w:rPr>
          <w:rFonts w:ascii="Arial" w:cs="Arial" w:eastAsia="Arial" w:hAnsi="Arial"/>
          <w:sz w:val="20"/>
          <w:szCs w:val="20"/>
          <w:color w:val="auto"/>
        </w:rPr>
      </w:pPr>
      <w:r>
        <w:rPr>
          <w:rFonts w:ascii="Arial" w:cs="Arial" w:eastAsia="Arial" w:hAnsi="Arial"/>
          <w:sz w:val="20"/>
          <w:szCs w:val="20"/>
          <w:color w:val="auto"/>
        </w:rPr>
        <w:t>any act by the Participant of material dishonesty or fraud that injures the reputation or business of the Company or any Subsidiary; or</w:t>
      </w:r>
    </w:p>
    <w:p>
      <w:pPr>
        <w:spacing w:after="0" w:line="147" w:lineRule="exact"/>
        <w:rPr>
          <w:rFonts w:ascii="Arial" w:cs="Arial" w:eastAsia="Arial" w:hAnsi="Arial"/>
          <w:sz w:val="20"/>
          <w:szCs w:val="20"/>
          <w:color w:val="auto"/>
        </w:rPr>
      </w:pPr>
    </w:p>
    <w:p>
      <w:pPr>
        <w:ind w:left="2300" w:hanging="347"/>
        <w:spacing w:after="0"/>
        <w:tabs>
          <w:tab w:leader="none" w:pos="2300" w:val="left"/>
        </w:tabs>
        <w:numPr>
          <w:ilvl w:val="2"/>
          <w:numId w:val="155"/>
        </w:numPr>
        <w:rPr>
          <w:rFonts w:ascii="Arial" w:cs="Arial" w:eastAsia="Arial" w:hAnsi="Arial"/>
          <w:sz w:val="20"/>
          <w:szCs w:val="20"/>
          <w:color w:val="auto"/>
        </w:rPr>
      </w:pPr>
      <w:r>
        <w:rPr>
          <w:rFonts w:ascii="Arial" w:cs="Arial" w:eastAsia="Arial" w:hAnsi="Arial"/>
          <w:sz w:val="20"/>
          <w:szCs w:val="20"/>
          <w:color w:val="auto"/>
        </w:rPr>
        <w:t>the Participant’s conviction of or entry of a plea of guilty or nolo contendere to a felony or a crime</w:t>
      </w:r>
    </w:p>
    <w:p>
      <w:pPr>
        <w:spacing w:after="0"/>
        <w:rPr>
          <w:rFonts w:ascii="Arial" w:cs="Arial" w:eastAsia="Arial" w:hAnsi="Arial"/>
          <w:sz w:val="20"/>
          <w:szCs w:val="20"/>
          <w:color w:val="auto"/>
        </w:rPr>
      </w:pPr>
      <w:r>
        <w:rPr>
          <w:rFonts w:ascii="Arial" w:cs="Arial" w:eastAsia="Arial" w:hAnsi="Arial"/>
          <w:sz w:val="20"/>
          <w:szCs w:val="20"/>
          <w:color w:val="auto"/>
        </w:rPr>
        <w:t>involving moral turpitude.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good faith determination by the Company of whether the Participant’s employment or service was terminated for “Cause” shall be final and binding for all purposes hereunder. Notwithstanding the foregoing, the definition of “Cause” shall, following a Change of Control, be modified so that (x) the Participant shall not be terminated for Cause pursuant to clause (i) unless the applicable failure, violation or breach is material; and (y) any references to the Company shall be deemed to be to the successor company.</w:t>
      </w:r>
    </w:p>
    <w:p>
      <w:pPr>
        <w:spacing w:after="0" w:line="32" w:lineRule="exact"/>
        <w:rPr>
          <w:sz w:val="20"/>
          <w:szCs w:val="20"/>
          <w:color w:val="auto"/>
        </w:rPr>
      </w:pPr>
    </w:p>
    <w:p>
      <w:pPr>
        <w:jc w:val="both"/>
        <w:ind w:firstLine="1305"/>
        <w:spacing w:after="0" w:line="252" w:lineRule="auto"/>
        <w:tabs>
          <w:tab w:leader="none" w:pos="1839" w:val="left"/>
        </w:tabs>
        <w:numPr>
          <w:ilvl w:val="1"/>
          <w:numId w:val="15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“Disability” </w:t>
      </w:r>
      <w:r>
        <w:rPr>
          <w:rFonts w:ascii="Arial" w:cs="Arial" w:eastAsia="Arial" w:hAnsi="Arial"/>
          <w:sz w:val="20"/>
          <w:szCs w:val="20"/>
          <w:color w:val="auto"/>
        </w:rPr>
        <w:t>means the inability of the Participant, due to illness, accident or any other physical or mental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incapacity, to perform his or her employment duties for the Company and its Subsidiaries for an aggregate of one hundred eighty</w:t>
      </w:r>
    </w:p>
    <w:p>
      <w:pPr>
        <w:ind w:left="520" w:hanging="512"/>
        <w:spacing w:after="0"/>
        <w:tabs>
          <w:tab w:leader="none" w:pos="5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days within any period of twelve (12) consecutive months.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88" w:right="239" w:bottom="1440" w:gutter="0" w:footer="0" w:header="0"/>
        </w:sectPr>
      </w:pPr>
    </w:p>
    <w:bookmarkStart w:id="165" w:name="page166"/>
    <w:bookmarkEnd w:id="165"/>
    <w:p>
      <w:pPr>
        <w:ind w:left="1760" w:hanging="455"/>
        <w:spacing w:after="0"/>
        <w:tabs>
          <w:tab w:leader="none" w:pos="1760" w:val="left"/>
        </w:tabs>
        <w:numPr>
          <w:ilvl w:val="2"/>
          <w:numId w:val="15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“Good Reason” </w:t>
      </w:r>
      <w:r>
        <w:rPr>
          <w:rFonts w:ascii="Arial" w:cs="Arial" w:eastAsia="Arial" w:hAnsi="Arial"/>
          <w:sz w:val="20"/>
          <w:szCs w:val="20"/>
          <w:color w:val="auto"/>
        </w:rPr>
        <w:t>means within the two (2) year period following a Change of Control:</w:t>
      </w:r>
    </w:p>
    <w:p>
      <w:pPr>
        <w:spacing w:after="0" w:line="266" w:lineRule="exact"/>
        <w:rPr>
          <w:rFonts w:ascii="Arial" w:cs="Arial" w:eastAsia="Arial" w:hAnsi="Arial"/>
          <w:sz w:val="20"/>
          <w:szCs w:val="20"/>
          <w:color w:val="auto"/>
        </w:rPr>
      </w:pPr>
    </w:p>
    <w:p>
      <w:pPr>
        <w:jc w:val="both"/>
        <w:ind w:firstLine="1953"/>
        <w:spacing w:after="0" w:line="269" w:lineRule="auto"/>
        <w:tabs>
          <w:tab w:leader="none" w:pos="2175" w:val="left"/>
        </w:tabs>
        <w:numPr>
          <w:ilvl w:val="3"/>
          <w:numId w:val="158"/>
        </w:numPr>
        <w:rPr>
          <w:rFonts w:ascii="Arial" w:cs="Arial" w:eastAsia="Arial" w:hAnsi="Arial"/>
          <w:sz w:val="20"/>
          <w:szCs w:val="20"/>
          <w:color w:val="auto"/>
        </w:rPr>
      </w:pPr>
      <w:r>
        <w:rPr>
          <w:rFonts w:ascii="Arial" w:cs="Arial" w:eastAsia="Arial" w:hAnsi="Arial"/>
          <w:sz w:val="20"/>
          <w:szCs w:val="20"/>
          <w:color w:val="auto"/>
        </w:rPr>
        <w:t>the assignment to the Participant of any duties inconsistent in any material respect with the Participant’s position (including status, title and reporting requirements), authority, duties or responsibilities or any other action by the successor company that results in a material diminution in such position, authority, duties or responsibilities, excluding for this purpose any action not taken in bad faith and which is remedied by the successor company promptly after notice thereof given by the Participant; or</w:t>
      </w:r>
    </w:p>
    <w:p>
      <w:pPr>
        <w:spacing w:after="0" w:line="210" w:lineRule="exact"/>
        <w:rPr>
          <w:rFonts w:ascii="Arial" w:cs="Arial" w:eastAsia="Arial" w:hAnsi="Arial"/>
          <w:sz w:val="20"/>
          <w:szCs w:val="20"/>
          <w:color w:val="auto"/>
        </w:rPr>
      </w:pPr>
    </w:p>
    <w:p>
      <w:pPr>
        <w:ind w:right="20" w:firstLine="8"/>
        <w:spacing w:after="0" w:line="275" w:lineRule="auto"/>
        <w:tabs>
          <w:tab w:leader="none" w:pos="30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reduction in, or failure to pay, the Participant’s base salary, other than a reduction or failure that is remedied by the successor company within 15 days after notice thereof given by the Participant; or</w:t>
      </w:r>
    </w:p>
    <w:p>
      <w:pPr>
        <w:spacing w:after="0" w:line="202" w:lineRule="exact"/>
        <w:rPr>
          <w:rFonts w:ascii="Arial" w:cs="Arial" w:eastAsia="Arial" w:hAnsi="Arial"/>
          <w:sz w:val="20"/>
          <w:szCs w:val="20"/>
          <w:color w:val="auto"/>
        </w:rPr>
      </w:pPr>
    </w:p>
    <w:p>
      <w:pPr>
        <w:jc w:val="both"/>
        <w:ind w:firstLine="8"/>
        <w:spacing w:after="0" w:line="270" w:lineRule="auto"/>
        <w:tabs>
          <w:tab w:leader="none" w:pos="32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any failure by the successor company to provide the Participant with bonus and equity opportunities, or employee benefits and perquisites in the aggregate, that are not less than those provided to the Participant in the calendar year immediately preceding the Change in Control, other than a failure not occurring in bad faith and that is remedied by the successor company within 15 days after receipt of notice thereof given by the Participant; or</w:t>
      </w:r>
    </w:p>
    <w:p>
      <w:pPr>
        <w:spacing w:after="0" w:line="207" w:lineRule="exact"/>
        <w:rPr>
          <w:rFonts w:ascii="Arial" w:cs="Arial" w:eastAsia="Arial" w:hAnsi="Arial"/>
          <w:sz w:val="20"/>
          <w:szCs w:val="20"/>
          <w:color w:val="auto"/>
        </w:rPr>
      </w:pPr>
    </w:p>
    <w:p>
      <w:pPr>
        <w:jc w:val="both"/>
        <w:ind w:firstLine="537"/>
        <w:spacing w:after="0" w:line="271" w:lineRule="auto"/>
        <w:tabs>
          <w:tab w:leader="none" w:pos="87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successor company’s requiring the Participant to be based at any office or location that is more than 50 miles from the Participant’s principal place of employment at the time of the Change of Control, except for travel reasonably required in the performance of the Participant’s responsibilities, consistent with the Participant’s position.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Notwithstanding anything to the contrary contained herein, the Participant shall not be entitled to terminate employment and be eligible to vest in the Acquirer RSUs described in Section 3(b)(ii) of this Agreement as the result of the occurrence of any event of the foregoing events unless, within 90 days following the occurrence of such event, the Participant provides written notice to the successor company of the occurrence of such event, which notice sets forth the exact nature of the event and the conduct required to cure such event. The successor company will have 30 days from the receipt of such notice (such period, the </w:t>
      </w:r>
      <w:r>
        <w:rPr>
          <w:rFonts w:ascii="Arial" w:cs="Arial" w:eastAsia="Arial" w:hAnsi="Arial"/>
          <w:sz w:val="20"/>
          <w:szCs w:val="20"/>
          <w:b w:val="1"/>
          <w:bCs w:val="1"/>
          <w:i w:val="1"/>
          <w:iCs w:val="1"/>
          <w:color w:val="auto"/>
        </w:rPr>
        <w:t>“Cure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Period”</w:t>
      </w:r>
      <w:r>
        <w:rPr>
          <w:rFonts w:ascii="Arial" w:cs="Arial" w:eastAsia="Arial" w:hAnsi="Arial"/>
          <w:sz w:val="20"/>
          <w:szCs w:val="20"/>
          <w:color w:val="auto"/>
        </w:rPr>
        <w:t>) within which to cure the circumstances giving rise to Good Reason. If, during the Cure Period, such event is remedied,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then the Participant shall not be permitted to terminate employment and be eligible to vest in the Acquirer RSUs described in Section 3(b)(ii) of this Agreement as a result of such Good Reason. If, at the end of the Cure Period, the circumstances giving rise to Good Reason have not been remedied, the Participant shall be entitled to terminate employment as a result of such Good Reason during the 45 day period that follows the end of the Cure Period. If the Participant does not terminate employment during such 45 day period, the Participant shall not be permitted to terminate employment and be eligible to vest in the Acquirer RSUs described in Section 3(b)(ii) of this Agreement as a result of such event.</w:t>
      </w:r>
    </w:p>
    <w:p>
      <w:pPr>
        <w:spacing w:after="0" w:line="176" w:lineRule="exact"/>
        <w:rPr>
          <w:sz w:val="20"/>
          <w:szCs w:val="20"/>
          <w:color w:val="auto"/>
        </w:rPr>
      </w:pPr>
    </w:p>
    <w:p>
      <w:pPr>
        <w:ind w:firstLine="1305"/>
        <w:spacing w:after="0" w:line="272" w:lineRule="auto"/>
        <w:tabs>
          <w:tab w:leader="none" w:pos="188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U.S. Internal Revenue Code of 1986, as amended, and the Treasury Regulations thereunder.</w:t>
      </w:r>
    </w:p>
    <w:p>
      <w:pPr>
        <w:spacing w:after="0" w:line="153" w:lineRule="exact"/>
        <w:rPr>
          <w:rFonts w:ascii="Arial" w:cs="Arial" w:eastAsia="Arial" w:hAnsi="Arial"/>
          <w:sz w:val="20"/>
          <w:szCs w:val="20"/>
          <w:color w:val="auto"/>
        </w:rPr>
      </w:pPr>
    </w:p>
    <w:p>
      <w:pPr>
        <w:ind w:left="1820" w:hanging="515"/>
        <w:spacing w:after="0"/>
        <w:tabs>
          <w:tab w:leader="none" w:pos="1820" w:val="left"/>
        </w:tabs>
        <w:numPr>
          <w:ilvl w:val="0"/>
          <w:numId w:val="160"/>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Date” </w:t>
      </w:r>
      <w:r>
        <w:rPr>
          <w:rFonts w:ascii="Arial" w:cs="Arial" w:eastAsia="Arial" w:hAnsi="Arial"/>
          <w:sz w:val="20"/>
          <w:szCs w:val="20"/>
          <w:color w:val="auto"/>
        </w:rPr>
        <w:t>means the date on which the Participant is no longer an employee of the Company or</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any Subsidiary.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9" w:right="239" w:bottom="1440" w:gutter="0" w:footer="0" w:header="0"/>
        </w:sectPr>
      </w:pPr>
    </w:p>
    <w:bookmarkStart w:id="166" w:name="page167"/>
    <w:bookmarkEnd w:id="166"/>
    <w:p>
      <w:pPr>
        <w:ind w:left="1040" w:hanging="384"/>
        <w:spacing w:after="0"/>
        <w:tabs>
          <w:tab w:leader="none" w:pos="1040" w:val="left"/>
        </w:tabs>
        <w:numPr>
          <w:ilvl w:val="1"/>
          <w:numId w:val="161"/>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783" w:val="left"/>
        </w:tabs>
        <w:numPr>
          <w:ilvl w:val="2"/>
          <w:numId w:val="161"/>
        </w:numPr>
        <w:rPr>
          <w:rFonts w:ascii="Arial" w:cs="Arial" w:eastAsia="Arial" w:hAnsi="Arial"/>
          <w:sz w:val="20"/>
          <w:szCs w:val="20"/>
          <w:color w:val="auto"/>
        </w:rPr>
      </w:pPr>
      <w:r>
        <w:rPr>
          <w:rFonts w:ascii="Arial" w:cs="Arial" w:eastAsia="Arial" w:hAnsi="Arial"/>
          <w:sz w:val="20"/>
          <w:szCs w:val="20"/>
          <w:color w:val="auto"/>
        </w:rPr>
        <w:t>Subject to the provisions of this Section 3, if the Participant is continuously employed by the Company or any Subsidiary from the Grant Date through and until any of the dates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set forth in the vesting schedule attached hereto as Exhibit A (the “</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then the RSUs shall become vested as set forth in the Vesting Schedule on the applicable Vesting Date. Except as otherwise provided in this Section 3, there shall be no proportionate or partial vesting of the RSUs prior to the applicable Vesting Date.</w:t>
      </w:r>
    </w:p>
    <w:p>
      <w:pPr>
        <w:spacing w:after="0" w:line="209" w:lineRule="exact"/>
        <w:rPr>
          <w:rFonts w:ascii="Arial" w:cs="Arial" w:eastAsia="Arial" w:hAnsi="Arial"/>
          <w:sz w:val="20"/>
          <w:szCs w:val="20"/>
          <w:color w:val="auto"/>
        </w:rPr>
      </w:pPr>
    </w:p>
    <w:p>
      <w:pPr>
        <w:ind w:firstLine="1305"/>
        <w:spacing w:after="0" w:line="247" w:lineRule="auto"/>
        <w:tabs>
          <w:tab w:leader="none" w:pos="1755" w:val="left"/>
        </w:tabs>
        <w:numPr>
          <w:ilvl w:val="2"/>
          <w:numId w:val="161"/>
        </w:numPr>
        <w:rPr>
          <w:rFonts w:ascii="Arial" w:cs="Arial" w:eastAsia="Arial" w:hAnsi="Arial"/>
          <w:sz w:val="20"/>
          <w:szCs w:val="20"/>
          <w:color w:val="auto"/>
        </w:rPr>
      </w:pPr>
      <w:r>
        <w:rPr>
          <w:rFonts w:ascii="Arial" w:cs="Arial" w:eastAsia="Arial" w:hAnsi="Arial"/>
          <w:sz w:val="20"/>
          <w:szCs w:val="20"/>
          <w:color w:val="auto"/>
        </w:rPr>
        <w:t>The vesting of the RSUs (or, if applicable, Acquirer RSUs (as defined below)) shall be accelerated if and to the extent provided in this Section 3(b):</w:t>
      </w:r>
    </w:p>
    <w:p>
      <w:pPr>
        <w:spacing w:after="0" w:line="201" w:lineRule="exact"/>
        <w:rPr>
          <w:rFonts w:ascii="Arial" w:cs="Arial" w:eastAsia="Arial" w:hAnsi="Arial"/>
          <w:sz w:val="20"/>
          <w:szCs w:val="20"/>
          <w:color w:val="auto"/>
        </w:rPr>
      </w:pPr>
    </w:p>
    <w:p>
      <w:pPr>
        <w:jc w:val="both"/>
        <w:ind w:firstLine="1953"/>
        <w:spacing w:after="0"/>
        <w:tabs>
          <w:tab w:leader="none" w:pos="2396" w:val="left"/>
        </w:tabs>
        <w:numPr>
          <w:ilvl w:val="3"/>
          <w:numId w:val="161"/>
        </w:numPr>
        <w:rPr>
          <w:rFonts w:ascii="Arial" w:cs="Arial" w:eastAsia="Arial" w:hAnsi="Arial"/>
          <w:sz w:val="20"/>
          <w:szCs w:val="20"/>
          <w:color w:val="auto"/>
        </w:rPr>
      </w:pPr>
      <w:r>
        <w:rPr>
          <w:rFonts w:ascii="Arial" w:cs="Arial" w:eastAsia="Arial" w:hAnsi="Arial"/>
          <w:sz w:val="20"/>
          <w:szCs w:val="20"/>
          <w:color w:val="auto"/>
        </w:rPr>
        <w:t>The RSUs shall immediately vest upon the occurrence of a Change of Control of the Company while the Participant is employed by the Company or any Subsidiary. Notwithstanding the foregoing, if in the event of a Change of Control the successor company assumes or substitutes the RSUs as of the date of the Change of Control, then the vesting of the RSUs that are assumed or substituted shall not be so accelerated as a result of such Change of Control. For this purpose, the RSUs shall be considered assumed or substituted only if (A) the RSUs that are assumed or substituted vest at the times that such RSUs would vest pursuant to this Agreement, and (B) following the Change of Control, the RSUs confer the right to receive, for each unvested RSU held immediately prior to the Change of Control, 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of Control is not solely common stock of the successor company or its parent or subsidiary, the Company may provide that the consideration to be received upon the vesting of any RSU will be solely common stock of the successor company or its parent or subsidiary substantially equal in fair market value to the per share consideration received by holders of Shares in the transaction constituting a Change of Control. The determinations of (1) whether the RSUs shall be assumed or substituted or shall accelerate vesting in accordance with this Section 3(b)(i) and (2) in the event of an assumption or substitution, such substantial equality of value of consideration shall be made by the Compensation Committee of the Company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in its sole discretion and its determinations shall be conclusive and binding. The award resulting from the assumption or substitution of the RSUs by the successor company shall be referred to hereafter as the “</w:t>
      </w:r>
      <w:r>
        <w:rPr>
          <w:rFonts w:ascii="Arial" w:cs="Arial" w:eastAsia="Arial" w:hAnsi="Arial"/>
          <w:sz w:val="20"/>
          <w:szCs w:val="20"/>
          <w:b w:val="1"/>
          <w:bCs w:val="1"/>
          <w:i w:val="1"/>
          <w:iCs w:val="1"/>
          <w:color w:val="auto"/>
        </w:rPr>
        <w:t>Acquirer RSUs</w:t>
      </w:r>
      <w:r>
        <w:rPr>
          <w:rFonts w:ascii="Arial" w:cs="Arial" w:eastAsia="Arial" w:hAnsi="Arial"/>
          <w:sz w:val="20"/>
          <w:szCs w:val="20"/>
          <w:color w:val="auto"/>
        </w:rPr>
        <w:t>”.</w:t>
      </w:r>
    </w:p>
    <w:p>
      <w:pPr>
        <w:spacing w:after="0" w:line="222" w:lineRule="exact"/>
        <w:rPr>
          <w:rFonts w:ascii="Arial" w:cs="Arial" w:eastAsia="Arial" w:hAnsi="Arial"/>
          <w:sz w:val="20"/>
          <w:szCs w:val="20"/>
          <w:color w:val="auto"/>
        </w:rPr>
      </w:pPr>
    </w:p>
    <w:p>
      <w:pPr>
        <w:jc w:val="both"/>
        <w:ind w:firstLine="8"/>
        <w:spacing w:after="0" w:line="269" w:lineRule="auto"/>
        <w:tabs>
          <w:tab w:leader="none" w:pos="123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due to the Participant’s death or Disability prior to the applicable Vesting Date and (A) prior to a Change of Control, the Participant shall immediately vest upon the Termination Date in a pro-rated portion of the Restricted Stock Units determined in accordance with Section 3(c) hereof, and the balance of the Restricted Stock Units shall be immediately forfeited upon the Termination Date, or (B) following a Change of Control, the Participant shall immediately vest upon the Termination Date in all outstanding Acquirer Restricted Stock to the extent unvested as of the Termination Date. The Acquirer Restricted Stock that vests on the Termination Date following a Change of Control pursuant to Section 3(b)(ii)(B) hereof shall become transferable.</w:t>
      </w:r>
    </w:p>
    <w:p>
      <w:pPr>
        <w:spacing w:after="0" w:line="194" w:lineRule="exact"/>
        <w:rPr>
          <w:sz w:val="20"/>
          <w:szCs w:val="20"/>
          <w:color w:val="auto"/>
        </w:rPr>
      </w:pPr>
    </w:p>
    <w:p>
      <w:pPr>
        <w:ind w:firstLine="8"/>
        <w:spacing w:after="0" w:line="247" w:lineRule="auto"/>
        <w:tabs>
          <w:tab w:leader="none" w:pos="45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For purposes of clause (b)(ii), the pro-rated portion shall be calculated by multiplying the number of RSUs set forth in Section 1 hereof by a fraction, the numerator of which</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9" w:right="23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19"/>
          <w:szCs w:val="19"/>
          <w:color w:val="auto"/>
        </w:rPr>
        <w:t>shall be the number of days which have elapsed between the Grant Date and the Termination Date, and the denominator of which shall be the total number of days between the Grant Date and the final vesting Date set forth in the Vesting Schedule; provided, however, that if the Termination Date occurs after any Vesting Date set forth in the Vesting Schedule, then the pro-rated portion shall be reduced by the number of RSUs that vested prior to the Termination Date in accordance with the Vesting Schedule.</w:t>
      </w:r>
    </w:p>
    <w:p>
      <w:pPr>
        <w:spacing w:after="0" w:line="191" w:lineRule="exact"/>
        <w:rPr>
          <w:sz w:val="20"/>
          <w:szCs w:val="20"/>
          <w:color w:val="auto"/>
        </w:rPr>
      </w:pPr>
    </w:p>
    <w:p>
      <w:pPr>
        <w:jc w:val="both"/>
        <w:ind w:firstLine="8"/>
        <w:spacing w:after="0"/>
        <w:tabs>
          <w:tab w:leader="none" w:pos="53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 the event that the Participant’s employment with the Company and its Subsidiaries is terminated prior to the applicable Vesting Date for any reason other than the Participant’s death or Disability, or, solely following a Change of Control by the Company without Cause or by the Participant for Good Reason, then the Participant shall immediately forfeit all of the unvested RSUs (or, if applicable, Acquirer RSUs). Termination of employment with the Company (or, if applicable, the successor 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9" w:lineRule="exact"/>
        <w:rPr>
          <w:sz w:val="20"/>
          <w:szCs w:val="20"/>
          <w:color w:val="auto"/>
        </w:rPr>
      </w:pPr>
    </w:p>
    <w:p>
      <w:pPr>
        <w:jc w:val="both"/>
        <w:ind w:firstLine="662"/>
        <w:spacing w:after="0" w:line="255" w:lineRule="auto"/>
        <w:rPr>
          <w:sz w:val="20"/>
          <w:szCs w:val="20"/>
          <w:color w:val="auto"/>
        </w:rPr>
      </w:pPr>
      <w:r>
        <w:rPr>
          <w:rFonts w:ascii="Arial" w:cs="Arial" w:eastAsia="Arial" w:hAnsi="Arial"/>
          <w:sz w:val="20"/>
          <w:szCs w:val="20"/>
          <w:b w:val="1"/>
          <w:bCs w:val="1"/>
          <w:color w:val="auto"/>
        </w:rPr>
        <w:t>Nothing in this Section 3 or this Agreement shall be deemed to limit or modify any non-competition, confidentiality or non-solicitation restrictions that the Participant is already subject to, which restrictions shall continue to be separately enforceable in accordance with their terms.</w:t>
      </w:r>
    </w:p>
    <w:p>
      <w:pPr>
        <w:spacing w:after="0" w:line="196" w:lineRule="exact"/>
        <w:rPr>
          <w:sz w:val="20"/>
          <w:szCs w:val="20"/>
          <w:color w:val="auto"/>
        </w:rPr>
      </w:pPr>
    </w:p>
    <w:p>
      <w:pPr>
        <w:jc w:val="both"/>
        <w:ind w:firstLine="670"/>
        <w:spacing w:after="0" w:line="242" w:lineRule="auto"/>
        <w:tabs>
          <w:tab w:leader="none" w:pos="882" w:val="left"/>
        </w:tabs>
        <w:numPr>
          <w:ilvl w:val="1"/>
          <w:numId w:val="165"/>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6" w:lineRule="exact"/>
        <w:rPr>
          <w:rFonts w:ascii="Arial" w:cs="Arial" w:eastAsia="Arial" w:hAnsi="Arial"/>
          <w:sz w:val="20"/>
          <w:szCs w:val="20"/>
          <w:color w:val="auto"/>
        </w:rPr>
      </w:pPr>
    </w:p>
    <w:p>
      <w:pPr>
        <w:ind w:left="1040" w:hanging="384"/>
        <w:spacing w:after="0"/>
        <w:tabs>
          <w:tab w:leader="none" w:pos="104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tabs>
          <w:tab w:leader="none" w:pos="1758" w:val="left"/>
        </w:tabs>
        <w:numPr>
          <w:ilvl w:val="2"/>
          <w:numId w:val="166"/>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The Company shall deliver the Shares corresponding to the vested RSUs (or, if applicable, Acquirer RSUs) to the Participant within 30 days following the applicable Vesting Date; provided, however, that (i) in the event of the Participant’s termination of employment due to death or Disability, by the Company without Cause or by the Participant for Good Reason, the Company shall deliver the Shares corresponding to the vested RSUs (or, if applicable, Acquirer RSUs) to the Participant within 30 days following such Termination Date, provided, further that, in any case where Section 3(b)(iii) of this Agreement applies, within 60 days following such Termination Date, and (ii) in the event of a Change of Control pursuant to which the RSUs accelerate vesting in accordance with the first sentence of Section 3(b)(i) of this Agreement, the Company shall deliver the Shares corresponding to the vested RSUs to the Participant within 30 days following such Change of Control. In the event of a Change of Control pursuant to which the RSUs are assumed or substituted in accordance with Section 3(b)(i) of this Agreement, all references in this Section 5(a) to (x) the Company shall be to the successor company and (y) Shares shall be to the consideration corresponding to Acquirer RSUs.</w:t>
      </w:r>
    </w:p>
    <w:p>
      <w:pPr>
        <w:spacing w:after="0" w:line="211" w:lineRule="exact"/>
        <w:rPr>
          <w:rFonts w:ascii="Arial" w:cs="Arial" w:eastAsia="Arial" w:hAnsi="Arial"/>
          <w:sz w:val="20"/>
          <w:szCs w:val="20"/>
          <w:color w:val="auto"/>
        </w:rPr>
      </w:pPr>
    </w:p>
    <w:p>
      <w:pPr>
        <w:jc w:val="both"/>
        <w:ind w:firstLine="1305"/>
        <w:spacing w:after="0" w:line="242" w:lineRule="auto"/>
        <w:tabs>
          <w:tab w:leader="none" w:pos="1974" w:val="left"/>
        </w:tabs>
        <w:numPr>
          <w:ilvl w:val="2"/>
          <w:numId w:val="166"/>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RSUs (or, if applicable, Acquirer RSUs) and the Participant’s Cash Account (as defined below) shall be transferred upon the death of the Participant. In the absence of such designation, or if no designated beneficiary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9" w:right="239" w:bottom="1440" w:gutter="0" w:footer="0" w:header="0"/>
        </w:sectPr>
      </w:pPr>
    </w:p>
    <w:bookmarkStart w:id="168" w:name="page169"/>
    <w:bookmarkEnd w:id="168"/>
    <w:p>
      <w:pPr>
        <w:jc w:val="both"/>
        <w:spacing w:after="0"/>
        <w:rPr>
          <w:sz w:val="20"/>
          <w:szCs w:val="20"/>
          <w:color w:val="auto"/>
        </w:rPr>
      </w:pPr>
      <w:r>
        <w:rPr>
          <w:rFonts w:ascii="Arial" w:cs="Arial" w:eastAsia="Arial" w:hAnsi="Arial"/>
          <w:sz w:val="20"/>
          <w:szCs w:val="20"/>
          <w:color w:val="auto"/>
        </w:rPr>
        <w:t>survives the Participant, such vested RSUs (or, if applicable, Acquirer RSUs) and the Participant’s Cash Account shall be transferred to the legal representative of the Participant’s estate. No such transfer of the RSUs (or, if applicable, Acquirer RSUs), or the right to convert the Shares corresponding to such RSUs (or, if applicable, shares corresponding to Acquirer RSUs) or the conversion of any portion thereof into Common Stock (or, if applicable, Acquirer shares),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13" w:lineRule="exact"/>
        <w:rPr>
          <w:sz w:val="20"/>
          <w:szCs w:val="20"/>
          <w:color w:val="auto"/>
        </w:rPr>
      </w:pPr>
    </w:p>
    <w:p>
      <w:pPr>
        <w:jc w:val="both"/>
        <w:ind w:firstLine="1305"/>
        <w:spacing w:after="0" w:line="242" w:lineRule="auto"/>
        <w:tabs>
          <w:tab w:leader="none" w:pos="1801"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6" w:lineRule="exact"/>
        <w:rPr>
          <w:rFonts w:ascii="Arial" w:cs="Arial" w:eastAsia="Arial" w:hAnsi="Arial"/>
          <w:sz w:val="20"/>
          <w:szCs w:val="20"/>
          <w:color w:val="auto"/>
        </w:rPr>
      </w:pPr>
    </w:p>
    <w:p>
      <w:pPr>
        <w:ind w:left="1040" w:hanging="384"/>
        <w:spacing w:after="0"/>
        <w:tabs>
          <w:tab w:leader="none" w:pos="104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RSUs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799"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09" w:lineRule="exact"/>
        <w:rPr>
          <w:rFonts w:ascii="Arial" w:cs="Arial" w:eastAsia="Arial" w:hAnsi="Arial"/>
          <w:sz w:val="20"/>
          <w:szCs w:val="20"/>
          <w:color w:val="auto"/>
        </w:rPr>
      </w:pPr>
    </w:p>
    <w:p>
      <w:pPr>
        <w:ind w:left="1760" w:hanging="455"/>
        <w:spacing w:after="0"/>
        <w:tabs>
          <w:tab w:leader="none" w:pos="1760"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3"/>
        <w:spacing w:after="0" w:line="254" w:lineRule="auto"/>
        <w:tabs>
          <w:tab w:leader="none" w:pos="2462" w:val="left"/>
        </w:tabs>
        <w:numPr>
          <w:ilvl w:val="2"/>
          <w:numId w:val="168"/>
        </w:numPr>
        <w:rPr>
          <w:rFonts w:ascii="Arial" w:cs="Arial" w:eastAsia="Arial" w:hAnsi="Arial"/>
          <w:sz w:val="19"/>
          <w:szCs w:val="19"/>
          <w:color w:val="auto"/>
        </w:rPr>
      </w:pPr>
      <w:r>
        <w:rPr>
          <w:rFonts w:ascii="Arial" w:cs="Arial" w:eastAsia="Arial" w:hAnsi="Arial"/>
          <w:sz w:val="19"/>
          <w:szCs w:val="19"/>
          <w:u w:val="single" w:color="auto"/>
          <w:color w:val="auto"/>
        </w:rPr>
        <w:t>Cash Dividends</w:t>
      </w:r>
      <w:r>
        <w:rPr>
          <w:rFonts w:ascii="Arial" w:cs="Arial" w:eastAsia="Arial" w:hAnsi="Arial"/>
          <w:sz w:val="19"/>
          <w:szCs w:val="19"/>
          <w:color w:val="auto"/>
        </w:rPr>
        <w:t>. As of each date on which the Company pays a cash dividend with respect to its Shares, the Company shall credit to a bookkeeping account (the “</w:t>
      </w:r>
      <w:r>
        <w:rPr>
          <w:rFonts w:ascii="Arial" w:cs="Arial" w:eastAsia="Arial" w:hAnsi="Arial"/>
          <w:sz w:val="19"/>
          <w:szCs w:val="19"/>
          <w:b w:val="1"/>
          <w:bCs w:val="1"/>
          <w:i w:val="1"/>
          <w:iCs w:val="1"/>
          <w:color w:val="auto"/>
        </w:rPr>
        <w:t>Cash Account</w:t>
      </w:r>
      <w:r>
        <w:rPr>
          <w:rFonts w:ascii="Arial" w:cs="Arial" w:eastAsia="Arial" w:hAnsi="Arial"/>
          <w:sz w:val="19"/>
          <w:szCs w:val="19"/>
          <w:color w:val="auto"/>
        </w:rPr>
        <w:t>”) for the Participant an amount equal to the cash dividend that would have been payable with respect to the Shares corresponding to the RSUs (or, if applicable, shares corresponding to Acquirer RSUs), excluding any RSUs (or, if applicable, Acquirer RSUs) which have been forfeited, as if those Shares had been issued and outstanding as of the dividend payment date. Upon the vesting of any RSUs (or, if applicable, Acquirer RSUs) hereunder, the Participant shall vest in and have the right to receive that portion of the Cash Account which relates to any such vested RSUs (or, if applicable, Acquirer RSUs). The value of the Participant’s Cash Account shall vest and be distributable to the Participant at the same time as the RSUs (or, if applicable, Acquirer RSUs) vest and the Shares corresponding to the vested RSUs (or, if applicable, consideration corresponding to Acquirer RSUs) are distributed to the Participant.</w:t>
      </w:r>
    </w:p>
    <w:p>
      <w:pPr>
        <w:spacing w:after="0" w:line="201" w:lineRule="exact"/>
        <w:rPr>
          <w:rFonts w:ascii="Arial" w:cs="Arial" w:eastAsia="Arial" w:hAnsi="Arial"/>
          <w:sz w:val="19"/>
          <w:szCs w:val="19"/>
          <w:color w:val="auto"/>
        </w:rPr>
      </w:pPr>
    </w:p>
    <w:p>
      <w:pPr>
        <w:jc w:val="both"/>
        <w:ind w:firstLine="1953"/>
        <w:spacing w:after="0" w:line="241" w:lineRule="auto"/>
        <w:tabs>
          <w:tab w:leader="none" w:pos="2479" w:val="left"/>
        </w:tabs>
        <w:numPr>
          <w:ilvl w:val="2"/>
          <w:numId w:val="168"/>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RSUs shall be increased by the stock dividend that would have been payable with respect to the Shares that correspond to the RSUs, and shall be subject to the same vesting requirements as the RSUs to which they relate and, to the extent vested, shall be distributed at the same time as the Shares corresponding to vested RSUs are distributed.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9" w:right="239" w:bottom="1440" w:gutter="0" w:footer="0" w:header="0"/>
        </w:sectPr>
      </w:pPr>
    </w:p>
    <w:bookmarkStart w:id="169" w:name="page170"/>
    <w:bookmarkEnd w:id="169"/>
    <w:p>
      <w:pPr>
        <w:ind w:firstLine="656"/>
        <w:spacing w:after="0" w:line="247" w:lineRule="auto"/>
        <w:tabs>
          <w:tab w:leader="none" w:pos="1033"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RSUs or Acquirer RSUs or any rights with respect to the Cash Account.</w:t>
      </w:r>
    </w:p>
    <w:p>
      <w:pPr>
        <w:spacing w:after="0" w:line="201" w:lineRule="exact"/>
        <w:rPr>
          <w:rFonts w:ascii="Arial" w:cs="Arial" w:eastAsia="Arial" w:hAnsi="Arial"/>
          <w:sz w:val="20"/>
          <w:szCs w:val="20"/>
          <w:color w:val="auto"/>
        </w:rPr>
      </w:pPr>
    </w:p>
    <w:p>
      <w:pPr>
        <w:jc w:val="both"/>
        <w:ind w:firstLine="656"/>
        <w:spacing w:after="0" w:line="241" w:lineRule="auto"/>
        <w:tabs>
          <w:tab w:leader="none" w:pos="123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u w:val="single" w:color="auto"/>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RSUs into Shares, the Participant shall execute and deliver to the Company such representations in writing as may be requested by the Company in order for it to comply with the applicable requirements of federal and state or non-U.S. securities law.</w:t>
      </w:r>
    </w:p>
    <w:p>
      <w:pPr>
        <w:spacing w:after="0" w:line="207" w:lineRule="exact"/>
        <w:rPr>
          <w:rFonts w:ascii="Arial" w:cs="Arial" w:eastAsia="Arial" w:hAnsi="Arial"/>
          <w:sz w:val="20"/>
          <w:szCs w:val="20"/>
          <w:color w:val="auto"/>
        </w:rPr>
      </w:pPr>
    </w:p>
    <w:p>
      <w:pPr>
        <w:ind w:left="1040" w:hanging="384"/>
        <w:spacing w:after="0"/>
        <w:tabs>
          <w:tab w:leader="none" w:pos="104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39" w:val="left"/>
        </w:tabs>
        <w:numPr>
          <w:ilvl w:val="1"/>
          <w:numId w:val="169"/>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07" w:lineRule="exact"/>
        <w:rPr>
          <w:rFonts w:ascii="Arial" w:cs="Arial" w:eastAsia="Arial" w:hAnsi="Arial"/>
          <w:sz w:val="20"/>
          <w:szCs w:val="20"/>
          <w:color w:val="auto"/>
        </w:rPr>
      </w:pPr>
    </w:p>
    <w:p>
      <w:pPr>
        <w:jc w:val="both"/>
        <w:ind w:firstLine="1359"/>
        <w:spacing w:after="0"/>
        <w:tabs>
          <w:tab w:leader="none" w:pos="1812" w:val="left"/>
        </w:tabs>
        <w:numPr>
          <w:ilvl w:val="2"/>
          <w:numId w:val="169"/>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The Company may, at its option, permit the Participant to satisfy his or her obligations under this Section 9, by tendering to the Company a portion of the Shares (or, if applicable, consideration corresponding to Acquirer RSUs) that otherwise would be delivered to the Participant pursuant to the RSU (or, if applicable, Acquirer RSUs).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RSUs (or, if applicable, consideration corresponding to Acquirer RSUs) in the open market, or (3) withholding and cancelling all or a portion of the Shares corresponding to the vested RSUs (or, if applicable, consideration corresponding to Acquirer RSUs) . Any acquisition of Shares corresponding to RSUs (or, if applicable, consideration corresponding to Acquirer RSUs) by the Company as contemplated hereby is expressly approved by the Committee as part of the approval of this Agreement.</w:t>
      </w:r>
    </w:p>
    <w:p>
      <w:pPr>
        <w:spacing w:after="0" w:line="211" w:lineRule="exact"/>
        <w:rPr>
          <w:rFonts w:ascii="Arial" w:cs="Arial" w:eastAsia="Arial" w:hAnsi="Arial"/>
          <w:sz w:val="20"/>
          <w:szCs w:val="20"/>
          <w:color w:val="auto"/>
        </w:rPr>
      </w:pPr>
    </w:p>
    <w:p>
      <w:pPr>
        <w:jc w:val="both"/>
        <w:ind w:firstLine="1359"/>
        <w:spacing w:after="0"/>
        <w:tabs>
          <w:tab w:leader="none" w:pos="1801" w:val="left"/>
        </w:tabs>
        <w:numPr>
          <w:ilvl w:val="2"/>
          <w:numId w:val="169"/>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the Participant fails to satisfy his or her obligations under this Section 9 and the Company does not exercise its right to satisfy those obligations under Section 9(b) hereof with respect to any RSUs (or, if applicable, Acquirer RSUs) or any portion of the vested Cash Account within 30 days after the date on which the Shares corresponding to the vested RSUs (or, if applicable, consideration corresponding to Acquirer RSUs) or vested Cash Account otherwise would be delivered pursuant to Sections 5 and 6(b) hereof, as applicable, the Participant immediately forfeits any rights with respect to the portion of the RSUs (or, if applicable, Acquirer RSUs) or vested Cash Account to which such failure relates.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79" w:right="239" w:bottom="1440" w:gutter="0" w:footer="0" w:header="0"/>
        </w:sectPr>
      </w:pPr>
    </w:p>
    <w:bookmarkStart w:id="170" w:name="page171"/>
    <w:bookmarkEnd w:id="170"/>
    <w:p>
      <w:pPr>
        <w:jc w:val="both"/>
        <w:ind w:firstLine="656"/>
        <w:spacing w:after="0"/>
        <w:tabs>
          <w:tab w:leader="none" w:pos="1265"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Stock Retention Policy</w:t>
      </w:r>
      <w:r>
        <w:rPr>
          <w:rFonts w:ascii="Arial" w:cs="Arial" w:eastAsia="Arial" w:hAnsi="Arial"/>
          <w:sz w:val="20"/>
          <w:szCs w:val="20"/>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212" w:lineRule="exact"/>
        <w:rPr>
          <w:rFonts w:ascii="Arial" w:cs="Arial" w:eastAsia="Arial" w:hAnsi="Arial"/>
          <w:sz w:val="20"/>
          <w:szCs w:val="20"/>
          <w:color w:val="auto"/>
        </w:rPr>
      </w:pPr>
    </w:p>
    <w:p>
      <w:pPr>
        <w:jc w:val="both"/>
        <w:ind w:firstLine="656"/>
        <w:spacing w:after="0" w:line="242" w:lineRule="auto"/>
        <w:tabs>
          <w:tab w:leader="none" w:pos="1019"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206" w:lineRule="exact"/>
        <w:rPr>
          <w:rFonts w:ascii="Arial" w:cs="Arial" w:eastAsia="Arial" w:hAnsi="Arial"/>
          <w:sz w:val="20"/>
          <w:szCs w:val="20"/>
          <w:color w:val="auto"/>
        </w:rPr>
      </w:pPr>
    </w:p>
    <w:p>
      <w:pPr>
        <w:jc w:val="both"/>
        <w:ind w:firstLine="656"/>
        <w:spacing w:after="0"/>
        <w:tabs>
          <w:tab w:leader="none" w:pos="1019"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agreement, if any, the Participant’s employment with the Company and any Subsidiary is on an at-will basis only. Accordingly, subject to the terms of such employment agreement,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3" w:lineRule="exact"/>
        <w:rPr>
          <w:rFonts w:ascii="Arial" w:cs="Arial" w:eastAsia="Arial" w:hAnsi="Arial"/>
          <w:sz w:val="20"/>
          <w:szCs w:val="20"/>
          <w:color w:val="auto"/>
        </w:rPr>
      </w:pPr>
    </w:p>
    <w:p>
      <w:pPr>
        <w:jc w:val="both"/>
        <w:ind w:firstLine="656"/>
        <w:spacing w:after="0" w:line="243" w:lineRule="auto"/>
        <w:tabs>
          <w:tab w:leader="none" w:pos="118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656"/>
        <w:spacing w:after="0" w:line="247" w:lineRule="auto"/>
        <w:tabs>
          <w:tab w:leader="none" w:pos="1265"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1" w:lineRule="exact"/>
        <w:rPr>
          <w:rFonts w:ascii="Arial" w:cs="Arial" w:eastAsia="Arial" w:hAnsi="Arial"/>
          <w:sz w:val="20"/>
          <w:szCs w:val="20"/>
          <w:color w:val="auto"/>
        </w:rPr>
      </w:pPr>
    </w:p>
    <w:p>
      <w:pPr>
        <w:jc w:val="both"/>
        <w:ind w:firstLine="656"/>
        <w:spacing w:after="0" w:line="272" w:lineRule="auto"/>
        <w:tabs>
          <w:tab w:leader="none" w:pos="1224"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180" w:lineRule="exact"/>
        <w:rPr>
          <w:rFonts w:ascii="Arial" w:cs="Arial" w:eastAsia="Arial" w:hAnsi="Arial"/>
          <w:sz w:val="19"/>
          <w:szCs w:val="19"/>
          <w:color w:val="auto"/>
        </w:rPr>
      </w:pPr>
    </w:p>
    <w:p>
      <w:pPr>
        <w:jc w:val="both"/>
        <w:ind w:firstLine="656"/>
        <w:spacing w:after="0"/>
        <w:tabs>
          <w:tab w:leader="none" w:pos="1278"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9" w:right="239" w:bottom="1440" w:gutter="0" w:footer="0" w:header="0"/>
        </w:sectPr>
      </w:pPr>
    </w:p>
    <w:bookmarkStart w:id="171" w:name="page172"/>
    <w:bookmarkEnd w:id="171"/>
    <w:p>
      <w:pPr>
        <w:jc w:val="both"/>
        <w:ind w:firstLine="656"/>
        <w:spacing w:after="0"/>
        <w:tabs>
          <w:tab w:leader="none" w:pos="1197"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(and, upon delegation by the Committee, the Company)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(or, if applicable, the Company) in good faith shall be final and binding upon the Participant, the Company and all other interested persons, and shall be given the maximum deference permitted by law. No member of the Committee (or, if applicable, officer of the Company) shall be personally liable for any action, determination or interpretation made in good faith with respect to the Plan or this Agreement.</w:t>
      </w:r>
    </w:p>
    <w:p>
      <w:pPr>
        <w:spacing w:after="0" w:line="213" w:lineRule="exact"/>
        <w:rPr>
          <w:rFonts w:ascii="Arial" w:cs="Arial" w:eastAsia="Arial" w:hAnsi="Arial"/>
          <w:sz w:val="20"/>
          <w:szCs w:val="20"/>
          <w:color w:val="auto"/>
        </w:rPr>
      </w:pPr>
    </w:p>
    <w:p>
      <w:pPr>
        <w:ind w:right="20" w:firstLine="656"/>
        <w:spacing w:after="0" w:line="247" w:lineRule="auto"/>
        <w:tabs>
          <w:tab w:leader="none" w:pos="1143"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1" w:lineRule="exact"/>
        <w:rPr>
          <w:rFonts w:ascii="Arial" w:cs="Arial" w:eastAsia="Arial" w:hAnsi="Arial"/>
          <w:sz w:val="20"/>
          <w:szCs w:val="20"/>
          <w:color w:val="auto"/>
        </w:rPr>
      </w:pPr>
    </w:p>
    <w:p>
      <w:pPr>
        <w:jc w:val="both"/>
        <w:ind w:firstLine="656"/>
        <w:spacing w:after="0" w:line="243" w:lineRule="auto"/>
        <w:tabs>
          <w:tab w:leader="none" w:pos="117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656"/>
        <w:spacing w:after="0"/>
        <w:tabs>
          <w:tab w:leader="none" w:pos="1251"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1" w:lineRule="exact"/>
        <w:rPr>
          <w:rFonts w:ascii="Arial" w:cs="Arial" w:eastAsia="Arial" w:hAnsi="Arial"/>
          <w:sz w:val="20"/>
          <w:szCs w:val="20"/>
          <w:color w:val="auto"/>
        </w:rPr>
      </w:pPr>
    </w:p>
    <w:p>
      <w:pPr>
        <w:ind w:left="1160" w:hanging="504"/>
        <w:spacing w:after="0"/>
        <w:tabs>
          <w:tab w:leader="none" w:pos="116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761"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If and to the extent that the Company believes that the RSUs (including, if applicable,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07" w:lineRule="exact"/>
        <w:rPr>
          <w:rFonts w:ascii="Arial" w:cs="Arial" w:eastAsia="Arial" w:hAnsi="Arial"/>
          <w:sz w:val="20"/>
          <w:szCs w:val="20"/>
          <w:color w:val="auto"/>
        </w:rPr>
      </w:pPr>
    </w:p>
    <w:p>
      <w:pPr>
        <w:ind w:left="1760" w:hanging="455"/>
        <w:spacing w:after="0"/>
        <w:tabs>
          <w:tab w:leader="none" w:pos="176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15" w:lineRule="exact"/>
        <w:rPr>
          <w:rFonts w:ascii="Arial" w:cs="Arial" w:eastAsia="Arial" w:hAnsi="Arial"/>
          <w:sz w:val="20"/>
          <w:szCs w:val="20"/>
          <w:color w:val="auto"/>
        </w:rPr>
      </w:pPr>
    </w:p>
    <w:p>
      <w:pPr>
        <w:jc w:val="both"/>
        <w:ind w:firstLine="1953"/>
        <w:spacing w:after="0" w:line="243" w:lineRule="auto"/>
        <w:tabs>
          <w:tab w:leader="none" w:pos="2362" w:val="left"/>
        </w:tabs>
        <w:numPr>
          <w:ilvl w:val="2"/>
          <w:numId w:val="171"/>
        </w:numPr>
        <w:rPr>
          <w:rFonts w:ascii="Arial" w:cs="Arial" w:eastAsia="Arial" w:hAnsi="Arial"/>
          <w:sz w:val="20"/>
          <w:szCs w:val="20"/>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under this Agreement may not be made earlier than (u) the Participant’s “separation from service”, (v) the date the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79" w:right="239" w:bottom="1440" w:gutter="0" w:footer="0" w:header="0"/>
        </w:sectPr>
      </w:pPr>
    </w:p>
    <w:bookmarkStart w:id="172" w:name="page173"/>
    <w:bookmarkEnd w:id="172"/>
    <w:p>
      <w:pPr>
        <w:jc w:val="both"/>
        <w:spacing w:after="0" w:line="243" w:lineRule="auto"/>
        <w:rPr>
          <w:sz w:val="20"/>
          <w:szCs w:val="20"/>
          <w:color w:val="auto"/>
        </w:rPr>
      </w:pPr>
      <w:r>
        <w:rPr>
          <w:rFonts w:ascii="Arial" w:cs="Arial" w:eastAsia="Arial" w:hAnsi="Arial"/>
          <w:sz w:val="20"/>
          <w:szCs w:val="20"/>
          <w:color w:val="auto"/>
        </w:rPr>
        <w:t>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6" w:lineRule="exact"/>
        <w:rPr>
          <w:sz w:val="20"/>
          <w:szCs w:val="20"/>
          <w:color w:val="auto"/>
        </w:rPr>
      </w:pPr>
    </w:p>
    <w:p>
      <w:pPr>
        <w:ind w:right="20" w:firstLine="1953"/>
        <w:spacing w:after="0" w:line="272" w:lineRule="auto"/>
        <w:tabs>
          <w:tab w:leader="none" w:pos="238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180" w:lineRule="exact"/>
        <w:rPr>
          <w:rFonts w:ascii="Arial" w:cs="Arial" w:eastAsia="Arial" w:hAnsi="Arial"/>
          <w:sz w:val="19"/>
          <w:szCs w:val="19"/>
          <w:color w:val="auto"/>
        </w:rPr>
      </w:pPr>
    </w:p>
    <w:p>
      <w:pPr>
        <w:jc w:val="both"/>
        <w:ind w:firstLine="2020"/>
        <w:spacing w:after="0" w:line="243" w:lineRule="auto"/>
        <w:tabs>
          <w:tab w:leader="none" w:pos="257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06" w:lineRule="exact"/>
        <w:rPr>
          <w:sz w:val="20"/>
          <w:szCs w:val="20"/>
          <w:color w:val="auto"/>
        </w:rPr>
      </w:pPr>
    </w:p>
    <w:p>
      <w:pPr>
        <w:jc w:val="both"/>
        <w:ind w:firstLine="1305"/>
        <w:spacing w:after="0"/>
        <w:tabs>
          <w:tab w:leader="none" w:pos="183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3" w:lineRule="exact"/>
        <w:rPr>
          <w:rFonts w:ascii="Arial" w:cs="Arial" w:eastAsia="Arial" w:hAnsi="Arial"/>
          <w:sz w:val="20"/>
          <w:szCs w:val="20"/>
          <w:color w:val="auto"/>
        </w:rPr>
      </w:pPr>
    </w:p>
    <w:p>
      <w:pPr>
        <w:jc w:val="both"/>
        <w:ind w:right="40" w:firstLine="656"/>
        <w:spacing w:after="0" w:line="242" w:lineRule="auto"/>
        <w:tabs>
          <w:tab w:leader="none" w:pos="1143"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RSUs (or, if applicable, consideration corresponding to Acquirer RSUs) and the value of the Participant’s vested Cash Account, if any, shall be unfunded and shall not be greater than the rights of an unsecured general creditor of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79" w:right="239" w:bottom="1440" w:gutter="0" w:footer="0" w:header="0"/>
        </w:sectPr>
      </w:pPr>
    </w:p>
    <w:bookmarkStart w:id="173" w:name="page174"/>
    <w:bookmarkEnd w:id="17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ectPr>
          <w:pgSz w:w="11900" w:h="16838" w:orient="portrait"/>
          <w:cols w:equalWidth="0" w:num="1">
            <w:col w:w="9559"/>
          </w:cols>
          <w:pgMar w:left="900" w:top="747" w:right="1440" w:bottom="1440" w:gutter="0" w:footer="0" w:header="0"/>
        </w:sectPr>
      </w:pP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9"/>
          <w:szCs w:val="19"/>
          <w:b w:val="1"/>
          <w:bCs w:val="1"/>
          <w:u w:val="single" w:color="auto"/>
          <w:color w:val="auto"/>
        </w:rPr>
        <w:t>WORLD FUEL SERVICES CORPORATION</w:t>
      </w:r>
    </w:p>
    <w:p>
      <w:pPr>
        <w:spacing w:after="0" w:line="200" w:lineRule="exact"/>
        <w:rPr>
          <w:sz w:val="20"/>
          <w:szCs w:val="20"/>
          <w:color w:val="auto"/>
        </w:rPr>
      </w:pPr>
    </w:p>
    <w:p>
      <w:pPr>
        <w:spacing w:after="0" w:line="294"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 ____________________________</w:t>
      </w:r>
    </w:p>
    <w:p>
      <w:pPr>
        <w:ind w:left="1860"/>
        <w:spacing w:after="0"/>
        <w:rPr>
          <w:sz w:val="20"/>
          <w:szCs w:val="20"/>
          <w:color w:val="auto"/>
        </w:rPr>
      </w:pPr>
      <w:r>
        <w:rPr>
          <w:rFonts w:ascii="Arial" w:cs="Arial" w:eastAsia="Arial" w:hAnsi="Arial"/>
          <w:sz w:val="20"/>
          <w:szCs w:val="20"/>
          <w:color w:val="auto"/>
        </w:rPr>
        <w:t>Michael J. Kasbar</w:t>
      </w:r>
    </w:p>
    <w:p>
      <w:pPr>
        <w:ind w:left="1860"/>
        <w:spacing w:after="0"/>
        <w:rPr>
          <w:sz w:val="20"/>
          <w:szCs w:val="20"/>
          <w:color w:val="auto"/>
        </w:rPr>
      </w:pPr>
      <w:r>
        <w:rPr>
          <w:rFonts w:ascii="Arial" w:cs="Arial" w:eastAsia="Arial" w:hAnsi="Arial"/>
          <w:sz w:val="20"/>
          <w:szCs w:val="20"/>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6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-22860</wp:posOffset>
            </wp:positionV>
            <wp:extent cx="838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559"/>
          </w:cols>
          <w:pgMar w:left="900" w:top="747" w:right="1440" w:bottom="1440" w:gutter="0" w:footer="0" w:header="0"/>
          <w:type w:val="continuous"/>
        </w:sectPr>
      </w:pPr>
    </w:p>
    <w:bookmarkStart w:id="174" w:name="page175"/>
    <w:bookmarkEnd w:id="174"/>
    <w:p>
      <w:pPr>
        <w:jc w:val="center"/>
        <w:ind w:right="-1200"/>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20"/>
          <w:szCs w:val="20"/>
          <w:b w:val="1"/>
          <w:bCs w:val="1"/>
          <w:u w:val="single" w:color="auto"/>
          <w:color w:val="auto"/>
        </w:rPr>
        <w:t>VESTING SCHEDULE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33%</w:t>
      </w:r>
      <w:r>
        <w:rPr>
          <w:rFonts w:ascii="Arial" w:cs="Arial" w:eastAsia="Arial" w:hAnsi="Arial"/>
          <w:sz w:val="20"/>
          <w:szCs w:val="20"/>
          <w:color w:val="auto"/>
        </w:rPr>
        <w:t xml:space="preserve"> of the RSUs shall vest on the </w:t>
      </w:r>
      <w:r>
        <w:rPr>
          <w:rFonts w:ascii="Arial" w:cs="Arial" w:eastAsia="Arial" w:hAnsi="Arial"/>
          <w:sz w:val="20"/>
          <w:szCs w:val="20"/>
          <w:u w:val="single" w:color="auto"/>
          <w:color w:val="auto"/>
        </w:rPr>
        <w:t>third (3rd) anniversary</w:t>
      </w:r>
      <w:r>
        <w:rPr>
          <w:rFonts w:ascii="Arial" w:cs="Arial" w:eastAsia="Arial" w:hAnsi="Arial"/>
          <w:sz w:val="20"/>
          <w:szCs w:val="20"/>
          <w:color w:val="auto"/>
        </w:rPr>
        <w:t xml:space="preserve"> of the Grant Date.</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33%</w:t>
      </w:r>
      <w:r>
        <w:rPr>
          <w:rFonts w:ascii="Arial" w:cs="Arial" w:eastAsia="Arial" w:hAnsi="Arial"/>
          <w:sz w:val="19"/>
          <w:szCs w:val="19"/>
          <w:color w:val="auto"/>
        </w:rPr>
        <w:t xml:space="preserve"> of the RSUs shall vest on the </w:t>
      </w:r>
      <w:r>
        <w:rPr>
          <w:rFonts w:ascii="Arial" w:cs="Arial" w:eastAsia="Arial" w:hAnsi="Arial"/>
          <w:sz w:val="19"/>
          <w:szCs w:val="19"/>
          <w:u w:val="single" w:color="auto"/>
          <w:color w:val="auto"/>
        </w:rPr>
        <w:t>fourth (4th) anniversary</w:t>
      </w:r>
      <w:r>
        <w:rPr>
          <w:rFonts w:ascii="Arial" w:cs="Arial" w:eastAsia="Arial" w:hAnsi="Arial"/>
          <w:sz w:val="19"/>
          <w:szCs w:val="19"/>
          <w:color w:val="auto"/>
        </w:rPr>
        <w:t xml:space="preserve"> of the Grant Date.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34%</w:t>
      </w:r>
      <w:r>
        <w:rPr>
          <w:rFonts w:ascii="Arial" w:cs="Arial" w:eastAsia="Arial" w:hAnsi="Arial"/>
          <w:sz w:val="20"/>
          <w:szCs w:val="20"/>
          <w:color w:val="auto"/>
        </w:rPr>
        <w:t xml:space="preserve"> of the RSUs shall vest on the </w:t>
      </w:r>
      <w:r>
        <w:rPr>
          <w:rFonts w:ascii="Arial" w:cs="Arial" w:eastAsia="Arial" w:hAnsi="Arial"/>
          <w:sz w:val="20"/>
          <w:szCs w:val="20"/>
          <w:u w:val="single" w:color="auto"/>
          <w:color w:val="auto"/>
        </w:rPr>
        <w:t>fifth (5th) anniversary</w:t>
      </w:r>
      <w:r>
        <w:rPr>
          <w:rFonts w:ascii="Arial" w:cs="Arial" w:eastAsia="Arial" w:hAnsi="Arial"/>
          <w:sz w:val="20"/>
          <w:szCs w:val="20"/>
          <w:color w:val="auto"/>
        </w:rPr>
        <w:t xml:space="preserve"> of the Grant Date.</w:t>
      </w:r>
    </w:p>
    <w:p>
      <w:pPr>
        <w:spacing w:after="0" w:line="200" w:lineRule="exact"/>
        <w:rPr>
          <w:sz w:val="20"/>
          <w:szCs w:val="20"/>
          <w:color w:val="auto"/>
        </w:rPr>
      </w:pPr>
    </w:p>
    <w:p>
      <w:pPr>
        <w:spacing w:after="0" w:line="313"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19"/>
          </w:cols>
          <w:pgMar w:left="240" w:top="355"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t>Exhibit 10.25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PERFORMANCE-BASED RESTRICTED STOCK UNIT GRANT AGREEMENT</w:t>
      </w:r>
    </w:p>
    <w:p>
      <w:pPr>
        <w:spacing w:after="0" w:line="229" w:lineRule="exact"/>
        <w:rPr>
          <w:sz w:val="20"/>
          <w:szCs w:val="20"/>
          <w:color w:val="auto"/>
        </w:rPr>
      </w:pPr>
    </w:p>
    <w:p>
      <w:pPr>
        <w:jc w:val="both"/>
        <w:ind w:firstLine="8"/>
        <w:spacing w:after="0" w:line="272" w:lineRule="auto"/>
        <w:tabs>
          <w:tab w:leader="none" w:pos="882"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World Fuel Services Corporation, a Florida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to Jeffrey P. Smith (the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effective as of November 10, 2017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a target award of 55,949 performance-based restricted stock units (the “</w:t>
      </w:r>
      <w:r>
        <w:rPr>
          <w:rFonts w:ascii="Arial" w:cs="Arial" w:eastAsia="Arial" w:hAnsi="Arial"/>
          <w:sz w:val="20"/>
          <w:szCs w:val="20"/>
          <w:b w:val="1"/>
          <w:bCs w:val="1"/>
          <w:i w:val="1"/>
          <w:iCs w:val="1"/>
          <w:color w:val="auto"/>
        </w:rPr>
        <w:t>PRSUs</w:t>
      </w:r>
      <w:r>
        <w:rPr>
          <w:rFonts w:ascii="Arial" w:cs="Arial" w:eastAsia="Arial" w:hAnsi="Arial"/>
          <w:sz w:val="20"/>
          <w:szCs w:val="20"/>
          <w:color w:val="auto"/>
        </w:rPr>
        <w:t>”) corresponding to the same number of shares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the Company’s common stock, par value US $0.01 per share (the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The PRSUs have been granted under the Company’s 2016 Omnibus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herein for all purposes, and the grant of PRSUs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w:t>
      </w:r>
    </w:p>
    <w:p>
      <w:pPr>
        <w:spacing w:after="0" w:line="194" w:lineRule="exact"/>
        <w:rPr>
          <w:rFonts w:ascii="Arial" w:cs="Arial" w:eastAsia="Arial" w:hAnsi="Arial"/>
          <w:sz w:val="20"/>
          <w:szCs w:val="20"/>
          <w:color w:val="auto"/>
        </w:rPr>
      </w:pPr>
    </w:p>
    <w:p>
      <w:pPr>
        <w:jc w:val="both"/>
        <w:ind w:firstLine="8"/>
        <w:spacing w:after="0" w:line="242" w:lineRule="auto"/>
        <w:tabs>
          <w:tab w:leader="none" w:pos="427"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Capitalized terms and phrases used in this Agreement shall have the meaning set forth below. Capitalized terms used herein and not defined in this Agreement, shall have the meaning set forth in the Plan. Notwithstanding the foregoing, the definitions of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and “</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shall have the meanings set forth in the Employment Arrangement (as defined below).</w:t>
      </w:r>
    </w:p>
    <w:p>
      <w:pPr>
        <w:spacing w:after="0" w:line="182" w:lineRule="exact"/>
        <w:rPr>
          <w:rFonts w:ascii="Arial" w:cs="Arial" w:eastAsia="Arial" w:hAnsi="Arial"/>
          <w:sz w:val="20"/>
          <w:szCs w:val="20"/>
          <w:color w:val="auto"/>
        </w:rPr>
      </w:pPr>
    </w:p>
    <w:p>
      <w:pPr>
        <w:ind w:left="1780" w:hanging="475"/>
        <w:spacing w:after="0"/>
        <w:tabs>
          <w:tab w:leader="none" w:pos="178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of Directors of the Company.</w:t>
      </w:r>
    </w:p>
    <w:p>
      <w:pPr>
        <w:spacing w:after="0" w:line="215" w:lineRule="exact"/>
        <w:rPr>
          <w:rFonts w:ascii="Arial" w:cs="Arial" w:eastAsia="Arial" w:hAnsi="Arial"/>
          <w:sz w:val="20"/>
          <w:szCs w:val="20"/>
          <w:color w:val="auto"/>
        </w:rPr>
      </w:pPr>
    </w:p>
    <w:p>
      <w:pPr>
        <w:jc w:val="both"/>
        <w:ind w:firstLine="1305"/>
        <w:spacing w:after="0" w:line="247" w:lineRule="auto"/>
        <w:tabs>
          <w:tab w:leader="none" w:pos="1881"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xml:space="preserve">” means the date as soon as reasonably practicable following the date on which the Company’s audited financial statements with respect to fiscal year 2020 are available, but in no event later than March 15, 2021, as determined by the Committee, on which the Committee determines whether the Performance Goal has been achieved;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of a Change of Control in which the PRSUs are converted to Acquirer RSUs in accordance with Section 3(b)(i)(B), the Determination Date shall mean December 31, 2020.</w:t>
      </w:r>
    </w:p>
    <w:p>
      <w:pPr>
        <w:spacing w:after="0" w:line="180" w:lineRule="exact"/>
        <w:rPr>
          <w:rFonts w:ascii="Arial" w:cs="Arial" w:eastAsia="Arial" w:hAnsi="Arial"/>
          <w:sz w:val="20"/>
          <w:szCs w:val="20"/>
          <w:color w:val="auto"/>
        </w:rPr>
      </w:pPr>
    </w:p>
    <w:p>
      <w:pPr>
        <w:jc w:val="both"/>
        <w:ind w:firstLine="1305"/>
        <w:spacing w:after="0" w:line="255" w:lineRule="auto"/>
        <w:tabs>
          <w:tab w:leader="none" w:pos="1803"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Arrangement</w:t>
      </w:r>
      <w:r>
        <w:rPr>
          <w:rFonts w:ascii="Arial" w:cs="Arial" w:eastAsia="Arial" w:hAnsi="Arial"/>
          <w:sz w:val="20"/>
          <w:szCs w:val="20"/>
          <w:color w:val="auto"/>
        </w:rPr>
        <w:t>” means any employment agreement or individual severance agreement by and between the Company and the Participant, or severance plan maintained by the Company in which the Participant participates as of the Grant Date, in each case, as in effect on the Grant Date.</w:t>
      </w:r>
    </w:p>
    <w:p>
      <w:pPr>
        <w:spacing w:after="0" w:line="171" w:lineRule="exact"/>
        <w:rPr>
          <w:rFonts w:ascii="Arial" w:cs="Arial" w:eastAsia="Arial" w:hAnsi="Arial"/>
          <w:sz w:val="20"/>
          <w:szCs w:val="20"/>
          <w:color w:val="auto"/>
        </w:rPr>
      </w:pPr>
    </w:p>
    <w:p>
      <w:pPr>
        <w:ind w:left="1780" w:hanging="475"/>
        <w:spacing w:after="0"/>
        <w:tabs>
          <w:tab w:leader="none" w:pos="178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Measurement Period</w:t>
      </w:r>
      <w:r>
        <w:rPr>
          <w:rFonts w:ascii="Arial" w:cs="Arial" w:eastAsia="Arial" w:hAnsi="Arial"/>
          <w:sz w:val="20"/>
          <w:szCs w:val="20"/>
          <w:color w:val="auto"/>
        </w:rPr>
        <w:t>” means the three (3) year period from January 1, 2018 through December 31, 2020.</w:t>
      </w:r>
    </w:p>
    <w:p>
      <w:pPr>
        <w:spacing w:after="0" w:line="215" w:lineRule="exact"/>
        <w:rPr>
          <w:rFonts w:ascii="Arial" w:cs="Arial" w:eastAsia="Arial" w:hAnsi="Arial"/>
          <w:sz w:val="20"/>
          <w:szCs w:val="20"/>
          <w:color w:val="auto"/>
        </w:rPr>
      </w:pPr>
    </w:p>
    <w:p>
      <w:pPr>
        <w:ind w:firstLine="1305"/>
        <w:spacing w:after="0" w:line="272" w:lineRule="auto"/>
        <w:tabs>
          <w:tab w:leader="none" w:pos="1908"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Goal</w:t>
      </w:r>
      <w:r>
        <w:rPr>
          <w:rFonts w:ascii="Arial" w:cs="Arial" w:eastAsia="Arial" w:hAnsi="Arial"/>
          <w:sz w:val="20"/>
          <w:szCs w:val="20"/>
          <w:color w:val="auto"/>
        </w:rPr>
        <w:t xml:space="preserve">” means the goal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the achievement of which determines the number of Shares, if any, that shall be issued pursuant to this Agreement.</w:t>
      </w:r>
    </w:p>
    <w:p>
      <w:pPr>
        <w:spacing w:after="0" w:line="153" w:lineRule="exact"/>
        <w:rPr>
          <w:rFonts w:ascii="Arial" w:cs="Arial" w:eastAsia="Arial" w:hAnsi="Arial"/>
          <w:sz w:val="20"/>
          <w:szCs w:val="20"/>
          <w:color w:val="auto"/>
        </w:rPr>
      </w:pPr>
    </w:p>
    <w:p>
      <w:pPr>
        <w:ind w:firstLine="1305"/>
        <w:spacing w:after="0" w:line="272" w:lineRule="auto"/>
        <w:tabs>
          <w:tab w:leader="none" w:pos="1867"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i w:val="1"/>
          <w:iCs w:val="1"/>
          <w:color w:val="auto"/>
        </w:rPr>
        <w:t>”</w:t>
      </w:r>
      <w:r>
        <w:rPr>
          <w:rFonts w:ascii="Arial" w:cs="Arial" w:eastAsia="Arial" w:hAnsi="Arial"/>
          <w:sz w:val="20"/>
          <w:szCs w:val="20"/>
          <w:color w:val="auto"/>
        </w:rPr>
        <w:t xml:space="preserve"> means Section 409A of the U.S. Internal Revenue Code of 1986, as amended, and the Treasury Regulations thereunder.</w:t>
      </w:r>
    </w:p>
    <w:p>
      <w:pPr>
        <w:spacing w:after="0" w:line="153" w:lineRule="exact"/>
        <w:rPr>
          <w:rFonts w:ascii="Arial" w:cs="Arial" w:eastAsia="Arial" w:hAnsi="Arial"/>
          <w:sz w:val="20"/>
          <w:szCs w:val="20"/>
          <w:color w:val="auto"/>
        </w:rPr>
      </w:pPr>
    </w:p>
    <w:p>
      <w:pPr>
        <w:ind w:left="1860" w:hanging="555"/>
        <w:spacing w:after="0"/>
        <w:tabs>
          <w:tab w:leader="none" w:pos="186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date on which the Participant is no longer an employee of the Company or</w:t>
      </w:r>
    </w:p>
    <w:p>
      <w:pPr>
        <w:spacing w:after="0" w:line="23"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any Subsidiary.</w:t>
      </w:r>
    </w:p>
    <w:p>
      <w:pPr>
        <w:spacing w:after="0" w:line="215" w:lineRule="exact"/>
        <w:rPr>
          <w:rFonts w:ascii="Arial" w:cs="Arial" w:eastAsia="Arial" w:hAnsi="Arial"/>
          <w:sz w:val="20"/>
          <w:szCs w:val="20"/>
          <w:color w:val="auto"/>
        </w:rPr>
      </w:pPr>
    </w:p>
    <w:p>
      <w:pPr>
        <w:jc w:val="both"/>
        <w:ind w:firstLine="8"/>
        <w:spacing w:after="0" w:line="243" w:lineRule="auto"/>
        <w:tabs>
          <w:tab w:leader="none" w:pos="413"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Vesting and Forfeiture of Shares</w:t>
      </w:r>
      <w:r>
        <w:rPr>
          <w:rFonts w:ascii="Arial" w:cs="Arial" w:eastAsia="Arial" w:hAnsi="Arial"/>
          <w:sz w:val="20"/>
          <w:szCs w:val="20"/>
          <w:color w:val="auto"/>
        </w:rPr>
        <w:t>. (%2) (%3)On the Determination Date, the Company shall determine the extent to which the Performance Goal has been achieved. Subject to the provisions of this Section 3, the delivery of Shares with respect to the PRSUs is contingent on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2" w:right="239" w:bottom="1440" w:gutter="0" w:footer="0" w:header="0"/>
        </w:sectPr>
      </w:pPr>
    </w:p>
    <w:bookmarkStart w:id="176" w:name="page177"/>
    <w:bookmarkEnd w:id="176"/>
    <w:p>
      <w:pPr>
        <w:jc w:val="both"/>
        <w:spacing w:after="0"/>
        <w:rPr>
          <w:sz w:val="20"/>
          <w:szCs w:val="20"/>
          <w:color w:val="auto"/>
        </w:rPr>
      </w:pPr>
      <w:r>
        <w:rPr>
          <w:rFonts w:ascii="Arial" w:cs="Arial" w:eastAsia="Arial" w:hAnsi="Arial"/>
          <w:sz w:val="20"/>
          <w:szCs w:val="20"/>
          <w:color w:val="auto"/>
        </w:rPr>
        <w:t>attainment of the Performance Goal and, except as otherwise set forth in this Section 3, all outstanding PRSUs will be immediately forfeited on the Determination Date (and will no longer be considered outstanding PRSUs) unless the Company determines that the Performance Goal has been satisfied. Upon such determination by the Company that the Performance Goal has been satisfied and subject to the provisions of the Plan and this Agreement, the Participant shall have the right to payment of that percentage of the target amount of PRSUs as corresponds to the level of the Performance Goal achieved. Furthermore, except as otherwise provided in this Section 3, in order to be entitled to payment with respect to any PRSUs, the Participant must be employed by the Company or any Subsidiary on the Determination Date. Except as otherwise provided in this Section 3, there shall be no proportionate or partial vesting of the PRSUs prior to the Determination Date.</w:t>
      </w:r>
    </w:p>
    <w:p>
      <w:pPr>
        <w:spacing w:after="0" w:line="213" w:lineRule="exact"/>
        <w:rPr>
          <w:sz w:val="20"/>
          <w:szCs w:val="20"/>
          <w:color w:val="auto"/>
        </w:rPr>
      </w:pPr>
    </w:p>
    <w:p>
      <w:pPr>
        <w:jc w:val="both"/>
        <w:ind w:left="660" w:firstLine="1293"/>
        <w:spacing w:after="0" w:line="241" w:lineRule="auto"/>
        <w:tabs>
          <w:tab w:leader="none" w:pos="2516" w:val="left"/>
        </w:tabs>
        <w:numPr>
          <w:ilvl w:val="2"/>
          <w:numId w:val="176"/>
        </w:numPr>
        <w:rPr>
          <w:rFonts w:ascii="Arial" w:cs="Arial" w:eastAsia="Arial" w:hAnsi="Arial"/>
          <w:sz w:val="20"/>
          <w:szCs w:val="20"/>
          <w:color w:val="auto"/>
        </w:rPr>
      </w:pPr>
      <w:r>
        <w:rPr>
          <w:rFonts w:ascii="Arial" w:cs="Arial" w:eastAsia="Arial" w:hAnsi="Arial"/>
          <w:sz w:val="20"/>
          <w:szCs w:val="20"/>
          <w:color w:val="auto"/>
        </w:rPr>
        <w:t>The PRSUs are intended to qualify as “qualified performance-based compensation” under Section 162(m) of the Code. The Committee retains the sole and plenary discretion to make any adjustment permitted by Section 3.2 of the Plan or to reduce or eliminate the number of PRSUs in accordance with the terms of the Plan for any reason deemed appropriate by the Committee, even if the Performance Goal has been attained and without regard to the Employment Arrangement or any other agreement between the Company and the Participant.</w:t>
      </w:r>
    </w:p>
    <w:p>
      <w:pPr>
        <w:spacing w:after="0" w:line="209" w:lineRule="exact"/>
        <w:rPr>
          <w:rFonts w:ascii="Arial" w:cs="Arial" w:eastAsia="Arial" w:hAnsi="Arial"/>
          <w:sz w:val="20"/>
          <w:szCs w:val="20"/>
          <w:color w:val="auto"/>
        </w:rPr>
      </w:pPr>
    </w:p>
    <w:p>
      <w:pPr>
        <w:jc w:val="both"/>
        <w:ind w:left="660" w:firstLine="1293"/>
        <w:spacing w:after="0" w:line="243" w:lineRule="auto"/>
        <w:tabs>
          <w:tab w:leader="none" w:pos="2654" w:val="left"/>
        </w:tabs>
        <w:numPr>
          <w:ilvl w:val="2"/>
          <w:numId w:val="176"/>
        </w:numPr>
        <w:rPr>
          <w:rFonts w:ascii="Arial" w:cs="Arial" w:eastAsia="Arial" w:hAnsi="Arial"/>
          <w:sz w:val="20"/>
          <w:szCs w:val="20"/>
          <w:color w:val="auto"/>
        </w:rPr>
      </w:pPr>
      <w:r>
        <w:rPr>
          <w:rFonts w:ascii="Arial" w:cs="Arial" w:eastAsia="Arial" w:hAnsi="Arial"/>
          <w:sz w:val="20"/>
          <w:szCs w:val="20"/>
          <w:color w:val="auto"/>
        </w:rPr>
        <w:t>The Participant expressly acknowledges that the terms of this Section 3 shall supersede any inconsistent provision in the Employment Arrangement or any similar agreement between the Participant and the Company or any Subsidiary.</w:t>
      </w:r>
    </w:p>
    <w:p>
      <w:pPr>
        <w:spacing w:after="0" w:line="206" w:lineRule="exact"/>
        <w:rPr>
          <w:rFonts w:ascii="Arial" w:cs="Arial" w:eastAsia="Arial" w:hAnsi="Arial"/>
          <w:sz w:val="20"/>
          <w:szCs w:val="20"/>
          <w:color w:val="auto"/>
        </w:rPr>
      </w:pPr>
    </w:p>
    <w:p>
      <w:pPr>
        <w:ind w:right="20" w:firstLine="1305"/>
        <w:spacing w:after="0" w:line="247" w:lineRule="auto"/>
        <w:tabs>
          <w:tab w:leader="none" w:pos="180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vesting of the PRSUs (or, if applicable, Acquirer RSUs (as defined below)) shall be accelerated if and to the extent provided in this Section 3(b):</w:t>
      </w:r>
    </w:p>
    <w:p>
      <w:pPr>
        <w:spacing w:after="0" w:line="181" w:lineRule="exact"/>
        <w:rPr>
          <w:rFonts w:ascii="Arial" w:cs="Arial" w:eastAsia="Arial" w:hAnsi="Arial"/>
          <w:sz w:val="20"/>
          <w:szCs w:val="20"/>
          <w:color w:val="auto"/>
        </w:rPr>
      </w:pPr>
    </w:p>
    <w:p>
      <w:pPr>
        <w:ind w:left="2380" w:hanging="427"/>
        <w:spacing w:after="0"/>
        <w:tabs>
          <w:tab w:leader="none" w:pos="2380" w:val="left"/>
        </w:tabs>
        <w:numPr>
          <w:ilvl w:val="2"/>
          <w:numId w:val="177"/>
        </w:numPr>
        <w:rPr>
          <w:rFonts w:ascii="Arial" w:cs="Arial" w:eastAsia="Arial" w:hAnsi="Arial"/>
          <w:sz w:val="19"/>
          <w:szCs w:val="19"/>
          <w:color w:val="auto"/>
        </w:rPr>
      </w:pPr>
      <w:r>
        <w:rPr>
          <w:rFonts w:ascii="Arial" w:cs="Arial" w:eastAsia="Arial" w:hAnsi="Arial"/>
          <w:sz w:val="19"/>
          <w:szCs w:val="19"/>
          <w:i w:val="1"/>
          <w:iCs w:val="1"/>
          <w:color w:val="auto"/>
        </w:rPr>
        <w:t xml:space="preserve">Change of Control. </w:t>
      </w:r>
      <w:r>
        <w:rPr>
          <w:rFonts w:ascii="Arial" w:cs="Arial" w:eastAsia="Arial" w:hAnsi="Arial"/>
          <w:sz w:val="19"/>
          <w:szCs w:val="19"/>
          <w:color w:val="auto"/>
        </w:rPr>
        <w:t>(%3)Except as otherwise determined by the Company as set forth in Section 3(b)(i)</w:t>
      </w:r>
    </w:p>
    <w:p>
      <w:pPr>
        <w:spacing w:after="0" w:line="31" w:lineRule="exact"/>
        <w:rPr>
          <w:rFonts w:ascii="Arial" w:cs="Arial" w:eastAsia="Arial" w:hAnsi="Arial"/>
          <w:sz w:val="19"/>
          <w:szCs w:val="19"/>
          <w:color w:val="auto"/>
        </w:rPr>
      </w:pPr>
    </w:p>
    <w:p>
      <w:pPr>
        <w:jc w:val="both"/>
        <w:ind w:left="660" w:hanging="4"/>
        <w:spacing w:after="0" w:line="241" w:lineRule="auto"/>
        <w:tabs>
          <w:tab w:leader="none" w:pos="1021" w:val="left"/>
        </w:tabs>
        <w:numPr>
          <w:ilvl w:val="0"/>
          <w:numId w:val="178"/>
        </w:numPr>
        <w:rPr>
          <w:rFonts w:ascii="Arial" w:cs="Arial" w:eastAsia="Arial" w:hAnsi="Arial"/>
          <w:sz w:val="20"/>
          <w:szCs w:val="20"/>
          <w:color w:val="auto"/>
        </w:rPr>
      </w:pPr>
      <w:r>
        <w:rPr>
          <w:rFonts w:ascii="Arial" w:cs="Arial" w:eastAsia="Arial" w:hAnsi="Arial"/>
          <w:sz w:val="20"/>
          <w:szCs w:val="20"/>
          <w:color w:val="auto"/>
        </w:rPr>
        <w:t>hereof, in the event that a Change of Control occurs while the Participant is employed by the Company or any Subsidiary and the PRSUs are outstanding, the Participant shall immediately become fully vested and nonforfeitable upon the Change of Control in the outstanding PRSUs, with the number of Shares that will be delivered equal to the greater of target performance and actual performance of the Performance Goal as determined by the Committee in its reasonable discretion as of the most recent practicable date prior to the Change of Control.</w:t>
      </w:r>
    </w:p>
    <w:p>
      <w:pPr>
        <w:spacing w:after="0" w:line="236" w:lineRule="exact"/>
        <w:rPr>
          <w:sz w:val="20"/>
          <w:szCs w:val="20"/>
          <w:color w:val="auto"/>
        </w:rPr>
      </w:pPr>
    </w:p>
    <w:p>
      <w:pPr>
        <w:jc w:val="both"/>
        <w:ind w:left="1300" w:firstLine="653"/>
        <w:spacing w:after="0" w:line="266" w:lineRule="auto"/>
        <w:tabs>
          <w:tab w:leader="none" w:pos="2685" w:val="left"/>
        </w:tabs>
        <w:numPr>
          <w:ilvl w:val="0"/>
          <w:numId w:val="179"/>
        </w:numPr>
        <w:rPr>
          <w:rFonts w:ascii="Arial" w:cs="Arial" w:eastAsia="Arial" w:hAnsi="Arial"/>
          <w:sz w:val="22"/>
          <w:szCs w:val="22"/>
          <w:color w:val="auto"/>
        </w:rPr>
      </w:pPr>
      <w:r>
        <w:rPr>
          <w:rFonts w:ascii="Arial" w:cs="Arial" w:eastAsia="Arial" w:hAnsi="Arial"/>
          <w:sz w:val="20"/>
          <w:szCs w:val="20"/>
          <w:color w:val="auto"/>
        </w:rPr>
        <w:t xml:space="preserve">Notwithstanding Section 3(b)(i)(A) hereof, if in the event of a Change of Control the Company determines that the successor company shall assume or substitute the outstanding PRSUs as of the date of the Change of Control, then the vesting of the PRSUs that are assumed or substituted shall not be so accelerated as a result of such Change of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PRSUs are so assumed or substituted, the PRSUs shall no longer be subject to the Performance Goal and, instead a number of PRSUs shall convert to service-based restricted stock units as of the Change of Control based on the greater of target performance and actual performance of the Performance Goal as determined by the Committee in its reasonable discretion as of the most recent practicable date prior to the Change of Control. For this purpose, the PRSUs shall be considered assumed or substituted only if (1) the PRSUs that are assumed or substituted vest at the times that such PRSUs would vest pursuant to this Agreement (based solely on continued service) and (2) immediately following the Change of Control, the PRSUs confer the right to receive for each unvested PRSU held immediately prior to the Change of Control,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9" w:right="239" w:bottom="1440" w:gutter="0" w:footer="0" w:header="0"/>
        </w:sectPr>
      </w:pPr>
    </w:p>
    <w:bookmarkStart w:id="177" w:name="page178"/>
    <w:bookmarkEnd w:id="177"/>
    <w:p>
      <w:pPr>
        <w:jc w:val="both"/>
        <w:ind w:left="100"/>
        <w:spacing w:after="0"/>
        <w:rPr>
          <w:sz w:val="20"/>
          <w:szCs w:val="20"/>
          <w:color w:val="auto"/>
        </w:rPr>
      </w:pPr>
      <w:r>
        <w:rPr>
          <w:rFonts w:ascii="Arial" w:cs="Arial" w:eastAsia="Arial" w:hAnsi="Arial"/>
          <w:sz w:val="20"/>
          <w:szCs w:val="20"/>
          <w:color w:val="auto"/>
        </w:rPr>
        <w:t xml:space="preserve">the consideration (whether stock, cash or other securities or property) received by holders of Shares in the transaction constituting a Change of Control for each Share held on the effective date of such transaction (and if holders were offered a choice of consideration, the type of consideration chosen by the holders of a majority of the outstanding Shares);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consideration received in the transaction constituting a Change of Control is not solely common stock of the successor company or its parent or subsidiary, the Company may provide that the consideration to be received upon the vesting of any PRSU will be solely common stock of the successor company or its parent or subsidiary substantially equal in fair market value to the per share consideration received by holders of Shares in the transaction constituting a Change of Control. The determinations of (1) whether the PRSUs shall be assumed or substituted in accordance with this Section 3(b)(i)(B) or shall accelerate vesting in accordance with Section 3(b)(i)(A) hereof and (2) in the event that this Section 3(b)(i)(B) is applicable, such substantial equality of value of consideration shall be made by the Committee in its sole discretion and its determinations shall be conclusive and binding. The award resulting from the assumption or substitution of the PRSUs by the successor company shall, except as otherwise provided in this Section 3(b), continue to vest after the Change of Control transaction based solely on the Participant’s continued employment with the successor company and its affiliates through the Determination Date, and shall be referred to hereafter as the “</w:t>
      </w:r>
      <w:r>
        <w:rPr>
          <w:rFonts w:ascii="Arial" w:cs="Arial" w:eastAsia="Arial" w:hAnsi="Arial"/>
          <w:sz w:val="20"/>
          <w:szCs w:val="20"/>
          <w:b w:val="1"/>
          <w:bCs w:val="1"/>
          <w:i w:val="1"/>
          <w:iCs w:val="1"/>
          <w:color w:val="auto"/>
        </w:rPr>
        <w:t>Acquirer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w:t>
      </w:r>
    </w:p>
    <w:p>
      <w:pPr>
        <w:spacing w:after="0" w:line="190" w:lineRule="exact"/>
        <w:rPr>
          <w:sz w:val="20"/>
          <w:szCs w:val="20"/>
          <w:color w:val="auto"/>
        </w:rPr>
      </w:pPr>
    </w:p>
    <w:p>
      <w:pPr>
        <w:jc w:val="both"/>
        <w:ind w:left="-540" w:firstLine="1293"/>
        <w:spacing w:after="0" w:line="241" w:lineRule="auto"/>
        <w:tabs>
          <w:tab w:leader="none" w:pos="1427" w:val="left"/>
        </w:tabs>
        <w:numPr>
          <w:ilvl w:val="0"/>
          <w:numId w:val="180"/>
        </w:numPr>
        <w:rPr>
          <w:rFonts w:ascii="Arial" w:cs="Arial" w:eastAsia="Arial" w:hAnsi="Arial"/>
          <w:sz w:val="20"/>
          <w:szCs w:val="20"/>
          <w:color w:val="auto"/>
        </w:rPr>
      </w:pPr>
      <w:r>
        <w:rPr>
          <w:rFonts w:ascii="Arial" w:cs="Arial" w:eastAsia="Arial" w:hAnsi="Arial"/>
          <w:sz w:val="20"/>
          <w:szCs w:val="20"/>
          <w:i w:val="1"/>
          <w:iCs w:val="1"/>
          <w:color w:val="auto"/>
        </w:rPr>
        <w:t>Death and Disability</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due to the Participant’s death or Disability (A) prior to a Change of Control and on or before the 18-month anniversary of the Grant Date, the Participant shall become immediately vested in any outstanding PRSUs assuming achievement of target performance and pro rated in accordance with Section 3(e) hereof, (B) prior to a Change of Control and following the 18-month anniversary of the Grant Date, the Participant shall become vested on the Determination Date in the number of outstanding PRSUs determined by the Committee following the end of the Measurement Period based on the extent to which the Performance Goal has been achieved and pro rated in accordance with Section 3(e) hereof, or (C) on or following a Change of Control, the Participant shall immediately vest upon the Termination Date in all outstanding Acquirer RSUs. Notwithstanding the foregoing sentence, in the event that a Change of Control occurs following the date that the Participant’s employment is terminated due to the Participant’s death or Disability following the 18-month anniversary of the Grant Date in accordance with Section 3(b)(ii)(B), the number of PRSUs shall be determined by the Committee in accordance with Section 3(b)(i) hereof and the Participant shall immediately vest in a pro rated portion of such PRSUs determined in accordance with Section 3(e) hereof.</w:t>
      </w:r>
    </w:p>
    <w:p>
      <w:pPr>
        <w:spacing w:after="0" w:line="198" w:lineRule="exact"/>
        <w:rPr>
          <w:rFonts w:ascii="Arial" w:cs="Arial" w:eastAsia="Arial" w:hAnsi="Arial"/>
          <w:sz w:val="20"/>
          <w:szCs w:val="20"/>
          <w:color w:val="auto"/>
        </w:rPr>
      </w:pPr>
    </w:p>
    <w:p>
      <w:pPr>
        <w:jc w:val="both"/>
        <w:ind w:left="-540" w:firstLine="1293"/>
        <w:spacing w:after="0" w:line="244" w:lineRule="auto"/>
        <w:tabs>
          <w:tab w:leader="none" w:pos="1323" w:val="left"/>
        </w:tabs>
        <w:numPr>
          <w:ilvl w:val="0"/>
          <w:numId w:val="180"/>
        </w:numPr>
        <w:rPr>
          <w:rFonts w:ascii="Arial" w:cs="Arial" w:eastAsia="Arial" w:hAnsi="Arial"/>
          <w:sz w:val="20"/>
          <w:szCs w:val="20"/>
          <w:color w:val="auto"/>
        </w:rPr>
      </w:pPr>
      <w:r>
        <w:rPr>
          <w:rFonts w:ascii="Arial" w:cs="Arial" w:eastAsia="Arial" w:hAnsi="Arial"/>
          <w:sz w:val="20"/>
          <w:szCs w:val="20"/>
          <w:i w:val="1"/>
          <w:iCs w:val="1"/>
          <w:color w:val="auto"/>
        </w:rPr>
        <w:t>Termination without Cause or for Good Reason</w:t>
      </w:r>
      <w:r>
        <w:rPr>
          <w:rFonts w:ascii="Arial" w:cs="Arial" w:eastAsia="Arial" w:hAnsi="Arial"/>
          <w:sz w:val="20"/>
          <w:szCs w:val="20"/>
          <w:color w:val="auto"/>
        </w:rPr>
        <w:t>. (%4)In the event that the Participant’s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Company and its Subsidiaries is terminated by the Company and its Subsidiaries without Cause or, if applicable, by the Participant for Good Reason (1) prior to the Determination Date and prior to a Change of Control, the Participant shall become vested on the Determination Date in the number of outstanding PRSUs determined by the Committee following the end of the Measurement Period based on the extent to which the Performance Goal has been achieved and pro rated in accordance with Section 3(e) hereof, or (2) on or following a Change of Control, the Participant shall immediately vest upon the Termination Date in all outstanding Acquirer RSUs.</w:t>
      </w: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1440" w:top="379" w:right="239" w:bottom="1440" w:gutter="0" w:footer="0" w:header="0"/>
        </w:sectPr>
      </w:pPr>
    </w:p>
    <w:bookmarkStart w:id="178" w:name="page179"/>
    <w:bookmarkEnd w:id="178"/>
    <w:p>
      <w:pPr>
        <w:jc w:val="both"/>
        <w:ind w:left="660"/>
        <w:spacing w:after="0" w:line="241" w:lineRule="auto"/>
        <w:rPr>
          <w:sz w:val="20"/>
          <w:szCs w:val="20"/>
          <w:color w:val="auto"/>
        </w:rPr>
      </w:pPr>
      <w:r>
        <w:rPr>
          <w:rFonts w:ascii="Arial" w:cs="Arial" w:eastAsia="Arial" w:hAnsi="Arial"/>
          <w:sz w:val="20"/>
          <w:szCs w:val="20"/>
          <w:color w:val="auto"/>
        </w:rPr>
        <w:t>Notwithstanding the foregoing sentence, in the event that a Change of Control occurs prior to the Determination Date but following the date that the Participant’s employment is terminated by the Company and its Subsidiaries without Cause or, if applicable, by the Participant for Good Reason pursuant to Section 3(c)(iii)(A)(1), the number of PRSUs shall be determined by the Committee in accordance with Section 3(b)(i) hereof, and the Participant shall immediately vest upon the Change of Control in a pro-rated portion of such PRSUs determined in accordance with Section 3(e) hereof.</w:t>
      </w:r>
    </w:p>
    <w:p>
      <w:pPr>
        <w:spacing w:after="0" w:line="236" w:lineRule="exact"/>
        <w:rPr>
          <w:sz w:val="20"/>
          <w:szCs w:val="20"/>
          <w:color w:val="auto"/>
        </w:rPr>
      </w:pPr>
    </w:p>
    <w:p>
      <w:pPr>
        <w:jc w:val="both"/>
        <w:ind w:left="1300" w:firstLine="653"/>
        <w:spacing w:after="0" w:line="274" w:lineRule="auto"/>
        <w:tabs>
          <w:tab w:leader="none" w:pos="2550" w:val="left"/>
        </w:tabs>
        <w:numPr>
          <w:ilvl w:val="2"/>
          <w:numId w:val="181"/>
        </w:numPr>
        <w:rPr>
          <w:rFonts w:ascii="Arial" w:cs="Arial" w:eastAsia="Arial" w:hAnsi="Arial"/>
          <w:sz w:val="21"/>
          <w:szCs w:val="21"/>
          <w:color w:val="auto"/>
        </w:rPr>
      </w:pPr>
      <w:r>
        <w:rPr>
          <w:rFonts w:ascii="Arial" w:cs="Arial" w:eastAsia="Arial" w:hAnsi="Arial"/>
          <w:sz w:val="19"/>
          <w:szCs w:val="19"/>
          <w:color w:val="auto"/>
        </w:rPr>
        <w:t>Notwithstanding the foregoing, the vesting set forth in Section 3(b)(iii)(A) hereof shall not occur and the PRSUs shall be forfeited if the Participant (1) engages in conduct prior to the Determination Date that constitutes a breach of the Participant’s covenants under the Employment Arrangement or under this Agreement with respect to unfair competition, non-competition, non-solicitation, non-disparagement or cooperation or (2) to the</w:t>
      </w:r>
    </w:p>
    <w:p>
      <w:pPr>
        <w:spacing w:after="0" w:line="2" w:lineRule="exact"/>
        <w:rPr>
          <w:rFonts w:ascii="Arial" w:cs="Arial" w:eastAsia="Arial" w:hAnsi="Arial"/>
          <w:sz w:val="21"/>
          <w:szCs w:val="21"/>
          <w:color w:val="auto"/>
        </w:rPr>
      </w:pPr>
    </w:p>
    <w:p>
      <w:pPr>
        <w:jc w:val="both"/>
        <w:ind w:left="1300"/>
        <w:spacing w:after="0" w:line="269" w:lineRule="auto"/>
        <w:rPr>
          <w:rFonts w:ascii="Arial" w:cs="Arial" w:eastAsia="Arial" w:hAnsi="Arial"/>
          <w:sz w:val="21"/>
          <w:szCs w:val="21"/>
          <w:color w:val="auto"/>
        </w:rPr>
      </w:pPr>
      <w:r>
        <w:rPr>
          <w:rFonts w:ascii="Arial" w:cs="Arial" w:eastAsia="Arial" w:hAnsi="Arial"/>
          <w:sz w:val="20"/>
          <w:szCs w:val="20"/>
          <w:color w:val="auto"/>
        </w:rPr>
        <w:t xml:space="preserve">extent a release is contemplated by the Employment Arrangement, fails to execute a full general release of all claims in favor of the Company and its affiliates as contemplated by such Employment Arrangement. </w:t>
      </w:r>
      <w:r>
        <w:rPr>
          <w:rFonts w:ascii="Arial" w:cs="Arial" w:eastAsia="Arial" w:hAnsi="Arial"/>
          <w:sz w:val="20"/>
          <w:szCs w:val="20"/>
          <w:b w:val="1"/>
          <w:bCs w:val="1"/>
          <w:color w:val="auto"/>
        </w:rPr>
        <w:t>Nothing in</w:t>
      </w:r>
      <w:r>
        <w:rPr>
          <w:rFonts w:ascii="Arial" w:cs="Arial" w:eastAsia="Arial" w:hAnsi="Arial"/>
          <w:sz w:val="20"/>
          <w:szCs w:val="20"/>
          <w:color w:val="auto"/>
        </w:rPr>
        <w:t xml:space="preserve"> </w:t>
      </w:r>
      <w:r>
        <w:rPr>
          <w:rFonts w:ascii="Arial" w:cs="Arial" w:eastAsia="Arial" w:hAnsi="Arial"/>
          <w:sz w:val="20"/>
          <w:szCs w:val="20"/>
          <w:b w:val="1"/>
          <w:bCs w:val="1"/>
          <w:color w:val="auto"/>
        </w:rPr>
        <w:t>this Section 3 or this Agreement shall be deemed to limit or modify the non-competition, confidentiality or non-solicitation restrictions to which the Participant is already subject, which restrictions shall continue to be separately enforceable in accordance with their terms.</w:t>
      </w:r>
    </w:p>
    <w:p>
      <w:pPr>
        <w:spacing w:after="0" w:line="176" w:lineRule="exact"/>
        <w:rPr>
          <w:rFonts w:ascii="Arial" w:cs="Arial" w:eastAsia="Arial" w:hAnsi="Arial"/>
          <w:sz w:val="21"/>
          <w:szCs w:val="21"/>
          <w:color w:val="auto"/>
        </w:rPr>
      </w:pPr>
    </w:p>
    <w:p>
      <w:pPr>
        <w:jc w:val="both"/>
        <w:ind w:firstLine="1305"/>
        <w:spacing w:after="0" w:line="249" w:lineRule="auto"/>
        <w:tabs>
          <w:tab w:leader="none" w:pos="1803" w:val="left"/>
        </w:tabs>
        <w:numPr>
          <w:ilvl w:val="1"/>
          <w:numId w:val="182"/>
        </w:numPr>
        <w:rPr>
          <w:rFonts w:ascii="Arial" w:cs="Arial" w:eastAsia="Arial" w:hAnsi="Arial"/>
          <w:sz w:val="20"/>
          <w:szCs w:val="20"/>
          <w:color w:val="auto"/>
        </w:rPr>
      </w:pPr>
      <w:r>
        <w:rPr>
          <w:rFonts w:ascii="Arial" w:cs="Arial" w:eastAsia="Arial" w:hAnsi="Arial"/>
          <w:sz w:val="20"/>
          <w:szCs w:val="20"/>
          <w:i w:val="1"/>
          <w:iCs w:val="1"/>
          <w:color w:val="auto"/>
        </w:rPr>
        <w:t>Other Terminations of Employment</w:t>
      </w:r>
      <w:r>
        <w:rPr>
          <w:rFonts w:ascii="Arial" w:cs="Arial" w:eastAsia="Arial" w:hAnsi="Arial"/>
          <w:sz w:val="20"/>
          <w:szCs w:val="20"/>
          <w:color w:val="auto"/>
        </w:rPr>
        <w:t>. In the event that the Participant’s employment with the Company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is terminated prior to the Determination Date for any reason other than the Participant’s death or Disability, by the Company and its Subsidiaries without Cause or, if applicable, by the Participant for Good Reason, the Participant shall immediately forfeit all the PRSUs (or, if applicable, Acquirer RSUs) on the Termination Date.</w:t>
      </w:r>
    </w:p>
    <w:p>
      <w:pPr>
        <w:spacing w:after="0" w:line="180" w:lineRule="exact"/>
        <w:rPr>
          <w:rFonts w:ascii="Arial" w:cs="Arial" w:eastAsia="Arial" w:hAnsi="Arial"/>
          <w:sz w:val="20"/>
          <w:szCs w:val="20"/>
          <w:color w:val="auto"/>
        </w:rPr>
      </w:pPr>
    </w:p>
    <w:p>
      <w:pPr>
        <w:jc w:val="both"/>
        <w:ind w:firstLine="1305"/>
        <w:spacing w:after="0" w:line="249" w:lineRule="auto"/>
        <w:tabs>
          <w:tab w:leader="none" w:pos="1922" w:val="left"/>
        </w:tabs>
        <w:numPr>
          <w:ilvl w:val="1"/>
          <w:numId w:val="182"/>
        </w:numPr>
        <w:rPr>
          <w:rFonts w:ascii="Arial" w:cs="Arial" w:eastAsia="Arial" w:hAnsi="Arial"/>
          <w:sz w:val="20"/>
          <w:szCs w:val="20"/>
          <w:color w:val="auto"/>
        </w:rPr>
      </w:pPr>
      <w:r>
        <w:rPr>
          <w:rFonts w:ascii="Arial" w:cs="Arial" w:eastAsia="Arial" w:hAnsi="Arial"/>
          <w:sz w:val="20"/>
          <w:szCs w:val="20"/>
          <w:i w:val="1"/>
          <w:iCs w:val="1"/>
          <w:color w:val="auto"/>
        </w:rPr>
        <w:t>Transfers of Employment</w:t>
      </w:r>
      <w:r>
        <w:rPr>
          <w:rFonts w:ascii="Arial" w:cs="Arial" w:eastAsia="Arial" w:hAnsi="Arial"/>
          <w:sz w:val="20"/>
          <w:szCs w:val="20"/>
          <w:color w:val="auto"/>
        </w:rPr>
        <w:t>. Termination of employment with the Company (or, if applicable, the successor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to accept immediate re-employment with a Subsidiary, or vice-versa, or termination of employment with a Subsidiary to accept immediate re-employment with a different Subsidiary, shall not be deemed termination of employment for purposes of this Section 3.</w:t>
      </w:r>
    </w:p>
    <w:p>
      <w:pPr>
        <w:spacing w:after="0" w:line="180" w:lineRule="exact"/>
        <w:rPr>
          <w:rFonts w:ascii="Arial" w:cs="Arial" w:eastAsia="Arial" w:hAnsi="Arial"/>
          <w:sz w:val="20"/>
          <w:szCs w:val="20"/>
          <w:color w:val="auto"/>
        </w:rPr>
      </w:pPr>
    </w:p>
    <w:p>
      <w:pPr>
        <w:jc w:val="both"/>
        <w:ind w:firstLine="1305"/>
        <w:spacing w:after="0" w:line="245" w:lineRule="auto"/>
        <w:tabs>
          <w:tab w:leader="none" w:pos="1881" w:val="left"/>
        </w:tabs>
        <w:numPr>
          <w:ilvl w:val="1"/>
          <w:numId w:val="182"/>
        </w:numPr>
        <w:rPr>
          <w:rFonts w:ascii="Arial" w:cs="Arial" w:eastAsia="Arial" w:hAnsi="Arial"/>
          <w:sz w:val="20"/>
          <w:szCs w:val="20"/>
          <w:color w:val="auto"/>
        </w:rPr>
      </w:pPr>
      <w:r>
        <w:rPr>
          <w:rFonts w:ascii="Arial" w:cs="Arial" w:eastAsia="Arial" w:hAnsi="Arial"/>
          <w:sz w:val="20"/>
          <w:szCs w:val="20"/>
          <w:i w:val="1"/>
          <w:iCs w:val="1"/>
          <w:color w:val="auto"/>
        </w:rPr>
        <w:t>Pro-Ration of PRSUs</w:t>
      </w:r>
      <w:r>
        <w:rPr>
          <w:rFonts w:ascii="Arial" w:cs="Arial" w:eastAsia="Arial" w:hAnsi="Arial"/>
          <w:sz w:val="20"/>
          <w:szCs w:val="20"/>
          <w:color w:val="auto"/>
        </w:rPr>
        <w:t>. For purposes of clauses (b)(ii) and (b)(iii), the pro-rated portion of PRSUs shall be</w:t>
      </w:r>
      <w:r>
        <w:rPr>
          <w:rFonts w:ascii="Arial" w:cs="Arial" w:eastAsia="Arial" w:hAnsi="Arial"/>
          <w:sz w:val="20"/>
          <w:szCs w:val="20"/>
          <w:i w:val="1"/>
          <w:iCs w:val="1"/>
          <w:color w:val="auto"/>
        </w:rPr>
        <w:t xml:space="preserve"> </w:t>
      </w:r>
      <w:r>
        <w:rPr>
          <w:rFonts w:ascii="Arial" w:cs="Arial" w:eastAsia="Arial" w:hAnsi="Arial"/>
          <w:sz w:val="20"/>
          <w:szCs w:val="20"/>
          <w:color w:val="auto"/>
        </w:rPr>
        <w:t>calculated by multiplying the number of PRSUs determined by the Committee based on the extent to which the Performance Goal has been achieved by a fraction, the numerator of which shall be the number of days that have elapsed between the Grant Date and the Termination Date and the denominator of which shall be the total number of days between the Grant Date and the Determination Date, which for this purpose shall be deemed to be March 15, 2021, and the remaining portion of such PRSUs, if any, shall be forfeited.</w:t>
      </w:r>
    </w:p>
    <w:p>
      <w:pPr>
        <w:spacing w:after="0" w:line="205" w:lineRule="exact"/>
        <w:rPr>
          <w:rFonts w:ascii="Arial" w:cs="Arial" w:eastAsia="Arial" w:hAnsi="Arial"/>
          <w:sz w:val="20"/>
          <w:szCs w:val="20"/>
          <w:color w:val="auto"/>
        </w:rPr>
      </w:pPr>
    </w:p>
    <w:p>
      <w:pPr>
        <w:jc w:val="both"/>
        <w:ind w:firstLine="8"/>
        <w:spacing w:after="0" w:line="242" w:lineRule="auto"/>
        <w:tabs>
          <w:tab w:leader="none" w:pos="40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The number of PRSUs (or, if applicable, Acquirer RSUs) are subject to adjustment by the Committee in the event of any increase or decrease in the number of issued Shares resulting from a subdivision or consolidation of the Common Stock or the payment of a stock dividend on Common Stock, or any other increase or decrease in the number of Shares effected without receipt or payment of consideration by the Company.</w:t>
      </w:r>
    </w:p>
    <w:p>
      <w:pPr>
        <w:spacing w:after="0" w:line="206" w:lineRule="exact"/>
        <w:rPr>
          <w:rFonts w:ascii="Arial" w:cs="Arial" w:eastAsia="Arial" w:hAnsi="Arial"/>
          <w:sz w:val="20"/>
          <w:szCs w:val="20"/>
          <w:color w:val="auto"/>
        </w:rPr>
      </w:pPr>
    </w:p>
    <w:p>
      <w:pPr>
        <w:ind w:left="400" w:hanging="392"/>
        <w:spacing w:after="0"/>
        <w:tabs>
          <w:tab w:leader="none" w:pos="40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Settlement of Awards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5"/>
        <w:spacing w:after="0" w:line="247" w:lineRule="auto"/>
        <w:tabs>
          <w:tab w:leader="none" w:pos="1976"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The Company shall deliver the Shares corresponding to the vested PRSUs (or, if applicable, Acquirer RSUs) to the Participant within 30 days following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179" w:name="page180"/>
    <w:bookmarkEnd w:id="179"/>
    <w:p>
      <w:pPr>
        <w:jc w:val="both"/>
        <w:spacing w:after="0" w:line="252" w:lineRule="auto"/>
        <w:rPr>
          <w:sz w:val="20"/>
          <w:szCs w:val="20"/>
          <w:color w:val="auto"/>
        </w:rPr>
      </w:pPr>
      <w:r>
        <w:rPr>
          <w:rFonts w:ascii="Arial" w:cs="Arial" w:eastAsia="Arial" w:hAnsi="Arial"/>
          <w:sz w:val="19"/>
          <w:szCs w:val="19"/>
          <w:color w:val="auto"/>
        </w:rPr>
        <w:t xml:space="preserve">the Determination Date, but in no event later than March 15 of the calendar year immediately following the calendar year in which the Determination Date occurs;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 in the event of a Change of Control pursuant to which the PRSUs accelerate vesting in accordance with Section 3(b)(i)(A) hereof, the Company shall deliver Shares corresponding to vested PRSUs to the Participant within 10 days following such Change of Control, (ii) in the event of the Participant’s termination of employment</w:t>
      </w:r>
    </w:p>
    <w:p>
      <w:pPr>
        <w:spacing w:after="0" w:line="1" w:lineRule="exact"/>
        <w:rPr>
          <w:sz w:val="20"/>
          <w:szCs w:val="20"/>
          <w:color w:val="auto"/>
        </w:rPr>
      </w:pPr>
    </w:p>
    <w:p>
      <w:pPr>
        <w:jc w:val="both"/>
        <w:ind w:firstLine="8"/>
        <w:spacing w:after="0" w:line="241" w:lineRule="auto"/>
        <w:tabs>
          <w:tab w:leader="none" w:pos="325"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due to death or Disability on or prior to the 18-month anniversary of the Grant Date or following a Change of Control or (B) by the Company without Cause or by the Participant for Good Reason, in either case, following a Change of Control, the Company shall deliver the Shares corresponding to the vested Acquirer RSUs to the Participant within 30 days following such Termination Date. Notwithstanding any provision in this Agreement to the contrary, the PRSUs (or, if applicable, Acquirer RSUs) shall be settled no later than March 15 of the calendar year immediately following the year in which they are no longer subject to a substantial risk of forfeiture (within the meaning of Treasury Regulation Section 1.409A-1(d)).</w:t>
      </w:r>
    </w:p>
    <w:p>
      <w:pPr>
        <w:spacing w:after="0" w:line="207" w:lineRule="exact"/>
        <w:rPr>
          <w:rFonts w:ascii="Arial" w:cs="Arial" w:eastAsia="Arial" w:hAnsi="Arial"/>
          <w:sz w:val="20"/>
          <w:szCs w:val="20"/>
          <w:color w:val="auto"/>
        </w:rPr>
      </w:pPr>
    </w:p>
    <w:p>
      <w:pPr>
        <w:jc w:val="both"/>
        <w:ind w:firstLine="1305"/>
        <w:spacing w:after="0"/>
        <w:tabs>
          <w:tab w:leader="none" w:pos="2017" w:val="left"/>
        </w:tabs>
        <w:numPr>
          <w:ilvl w:val="1"/>
          <w:numId w:val="184"/>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PRSUs (or, if applicable, Acquirer RSUs) and the Participant’s Cash Account (as defined below) shall be transferred upon the death of the Participant. In the absence of such designation, or if no designated beneficiary survives the Participant, such vested PRSUs (or, if applicable, Acquirer RSUs) and the Participant’s Cash Account shall be transferred to the legal representative of the Participant’s estate. No such transfer of the PRSUs (or, if applicable, Acquirer RSUs) shall be effective to bind the Company unless the Company shall have been furnished with (i) written notice thereof, (ii) a copy of the will and/or such evidence as the Company deems necessary to establish the validity of such transfer or right to convert and (iii) an executed agreement by the transferee, administrator, or executor (as applicable) to (A) comply with all the terms of this Agreement that are or would have been applicable to the Participant and (B) be bound by the acknowledgements made by the Participant in connection with this grant.</w:t>
      </w:r>
    </w:p>
    <w:p>
      <w:pPr>
        <w:spacing w:after="0" w:line="212" w:lineRule="exact"/>
        <w:rPr>
          <w:rFonts w:ascii="Arial" w:cs="Arial" w:eastAsia="Arial" w:hAnsi="Arial"/>
          <w:sz w:val="20"/>
          <w:szCs w:val="20"/>
          <w:color w:val="auto"/>
        </w:rPr>
      </w:pPr>
    </w:p>
    <w:p>
      <w:pPr>
        <w:jc w:val="both"/>
        <w:ind w:firstLine="1305"/>
        <w:spacing w:after="0" w:line="242" w:lineRule="auto"/>
        <w:tabs>
          <w:tab w:leader="none" w:pos="1803" w:val="left"/>
        </w:tabs>
        <w:numPr>
          <w:ilvl w:val="1"/>
          <w:numId w:val="184"/>
        </w:numPr>
        <w:rPr>
          <w:rFonts w:ascii="Arial" w:cs="Arial" w:eastAsia="Arial" w:hAnsi="Arial"/>
          <w:sz w:val="20"/>
          <w:szCs w:val="20"/>
          <w:color w:val="auto"/>
        </w:rPr>
      </w:pPr>
      <w:r>
        <w:rPr>
          <w:rFonts w:ascii="Arial" w:cs="Arial" w:eastAsia="Arial" w:hAnsi="Arial"/>
          <w:sz w:val="20"/>
          <w:szCs w:val="20"/>
          <w:u w:val="single" w:color="auto"/>
          <w:color w:val="auto"/>
        </w:rPr>
        <w:t>Settlement Conditioned Upon Satisfaction of Tax Obligations</w:t>
      </w:r>
      <w:r>
        <w:rPr>
          <w:rFonts w:ascii="Arial" w:cs="Arial" w:eastAsia="Arial" w:hAnsi="Arial"/>
          <w:sz w:val="20"/>
          <w:szCs w:val="20"/>
          <w:color w:val="auto"/>
        </w:rPr>
        <w:t>. Notwithstanding the foregoing, the Company’s obligation to deliver any consideration pursuant to this Section 5 shall be subject to, and conditioned upon, satisfaction of the Participant’s obligations relating to the applicable federal, state, local and foreign withholding or other taxes pursuant to Section 9 hereof.</w:t>
      </w:r>
    </w:p>
    <w:p>
      <w:pPr>
        <w:spacing w:after="0" w:line="207" w:lineRule="exact"/>
        <w:rPr>
          <w:sz w:val="20"/>
          <w:szCs w:val="20"/>
          <w:color w:val="auto"/>
        </w:rPr>
      </w:pPr>
    </w:p>
    <w:p>
      <w:pPr>
        <w:ind w:left="400" w:hanging="392"/>
        <w:spacing w:after="0"/>
        <w:tabs>
          <w:tab w:leader="none" w:pos="40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PRSUs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00"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6,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 and the right to receive all dividends, if any, as may be declared on the Shares from time to time.</w:t>
      </w:r>
    </w:p>
    <w:p>
      <w:pPr>
        <w:spacing w:after="0" w:line="209" w:lineRule="exact"/>
        <w:rPr>
          <w:rFonts w:ascii="Arial" w:cs="Arial" w:eastAsia="Arial" w:hAnsi="Arial"/>
          <w:sz w:val="20"/>
          <w:szCs w:val="20"/>
          <w:color w:val="auto"/>
        </w:rPr>
      </w:pPr>
    </w:p>
    <w:p>
      <w:pPr>
        <w:ind w:left="1780" w:hanging="475"/>
        <w:spacing w:after="0"/>
        <w:tabs>
          <w:tab w:leader="none" w:pos="1780"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1293"/>
        <w:spacing w:after="0" w:line="241" w:lineRule="auto"/>
        <w:tabs>
          <w:tab w:leader="none" w:pos="2502" w:val="left"/>
        </w:tabs>
        <w:numPr>
          <w:ilvl w:val="2"/>
          <w:numId w:val="185"/>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As of each date on which the Company pays a cash dividend with respect to its Shares, the Company shall credit to a bookkeeping account (the “</w:t>
      </w:r>
      <w:r>
        <w:rPr>
          <w:rFonts w:ascii="Arial" w:cs="Arial" w:eastAsia="Arial" w:hAnsi="Arial"/>
          <w:sz w:val="20"/>
          <w:szCs w:val="20"/>
          <w:b w:val="1"/>
          <w:bCs w:val="1"/>
          <w:i w:val="1"/>
          <w:iCs w:val="1"/>
          <w:color w:val="auto"/>
        </w:rPr>
        <w:t>Cash Account</w:t>
      </w:r>
      <w:r>
        <w:rPr>
          <w:rFonts w:ascii="Arial" w:cs="Arial" w:eastAsia="Arial" w:hAnsi="Arial"/>
          <w:sz w:val="20"/>
          <w:szCs w:val="20"/>
          <w:color w:val="auto"/>
        </w:rPr>
        <w:t>”) for the Participant an amount equal to the cash dividend that would have been payable with respect to the Shares corresponding to the PRSUs (or, if applicable, shares corresponding to Acquirer RSUs). Upon the vesting of any PRSUs hereunder (or, if applicable, Acquirer RSUs), the Participant shall vest in and have the right to receive that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80" w:name="page181"/>
    <w:bookmarkEnd w:id="180"/>
    <w:p>
      <w:pPr>
        <w:jc w:val="both"/>
        <w:ind w:left="660"/>
        <w:spacing w:after="0" w:line="241" w:lineRule="auto"/>
        <w:rPr>
          <w:sz w:val="20"/>
          <w:szCs w:val="20"/>
          <w:color w:val="auto"/>
        </w:rPr>
      </w:pPr>
      <w:r>
        <w:rPr>
          <w:rFonts w:ascii="Arial" w:cs="Arial" w:eastAsia="Arial" w:hAnsi="Arial"/>
          <w:sz w:val="20"/>
          <w:szCs w:val="20"/>
          <w:color w:val="auto"/>
        </w:rPr>
        <w:t>portion of the Cash Account which relates to any such vested PRSUs (or, if applicable, Acquirer RSUs). The value of the Participant’s Cash Account shall vest and be distributable to the Participant at the same time as the Shares corresponding to the vested PRSUs (or, if applicable, the consideration corresponding to Acquirer RSUs) are distributed to the Participant. For the avoidance of doubt, if, on the Determination Date, the Company determines that the Performance Goal has not been achieved and the PRSUs are forfeited pursuant to Section 3(a)(i) hereof, the Participant’s Cash Account will be immediately forfeited, along with the PRSUs, on the Determination Date.</w:t>
      </w:r>
    </w:p>
    <w:p>
      <w:pPr>
        <w:spacing w:after="0" w:line="208" w:lineRule="exact"/>
        <w:rPr>
          <w:sz w:val="20"/>
          <w:szCs w:val="20"/>
          <w:color w:val="auto"/>
        </w:rPr>
      </w:pPr>
    </w:p>
    <w:p>
      <w:pPr>
        <w:jc w:val="both"/>
        <w:ind w:left="660" w:firstLine="1293"/>
        <w:spacing w:after="0" w:line="241" w:lineRule="auto"/>
        <w:tabs>
          <w:tab w:leader="none" w:pos="2506" w:val="left"/>
        </w:tabs>
        <w:numPr>
          <w:ilvl w:val="2"/>
          <w:numId w:val="186"/>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the Shares corresponding to the PRSUs shall be increased by the stock dividend that would have been payable with respect to the Shares that correspond to the PRSUs, and shall be subject to the same vesting requirements as the PRSUs to which they relate and, to the extent earned and vested, shall be distributed at the same time as the Shares corresponding to the vested PRSUs are distributed.</w:t>
      </w:r>
    </w:p>
    <w:p>
      <w:pPr>
        <w:spacing w:after="0" w:line="209" w:lineRule="exact"/>
        <w:rPr>
          <w:rFonts w:ascii="Arial" w:cs="Arial" w:eastAsia="Arial" w:hAnsi="Arial"/>
          <w:sz w:val="20"/>
          <w:szCs w:val="20"/>
          <w:color w:val="auto"/>
        </w:rPr>
      </w:pPr>
    </w:p>
    <w:p>
      <w:pPr>
        <w:ind w:firstLine="8"/>
        <w:spacing w:after="0" w:line="247" w:lineRule="auto"/>
        <w:tabs>
          <w:tab w:leader="none" w:pos="467"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The Participant may not, directly or indirectly, sell, pledge or otherwise transfer any PRSUs or Acquirer RSUs or any rights with respect to the Cash Account.</w:t>
      </w:r>
    </w:p>
    <w:p>
      <w:pPr>
        <w:spacing w:after="0" w:line="201" w:lineRule="exact"/>
        <w:rPr>
          <w:rFonts w:ascii="Arial" w:cs="Arial" w:eastAsia="Arial" w:hAnsi="Arial"/>
          <w:sz w:val="20"/>
          <w:szCs w:val="20"/>
          <w:color w:val="auto"/>
        </w:rPr>
      </w:pPr>
    </w:p>
    <w:p>
      <w:pPr>
        <w:jc w:val="both"/>
        <w:ind w:firstLine="8"/>
        <w:spacing w:after="0" w:line="241" w:lineRule="auto"/>
        <w:tabs>
          <w:tab w:leader="none" w:pos="467"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Registration Statement</w:t>
      </w:r>
      <w:r>
        <w:rPr>
          <w:rFonts w:ascii="Arial" w:cs="Arial" w:eastAsia="Arial" w:hAnsi="Arial"/>
          <w:sz w:val="20"/>
          <w:szCs w:val="20"/>
          <w:color w:val="auto"/>
        </w:rPr>
        <w:t>. The Participant acknowledges and agrees that the Company has filed a Registration Statement on Form S-8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under the Securities Act of 1933, as amended (the “</w:t>
      </w:r>
      <w:r>
        <w:rPr>
          <w:rFonts w:ascii="Arial" w:cs="Arial" w:eastAsia="Arial" w:hAnsi="Arial"/>
          <w:sz w:val="20"/>
          <w:szCs w:val="20"/>
          <w:b w:val="1"/>
          <w:bCs w:val="1"/>
          <w:i w:val="1"/>
          <w:iCs w:val="1"/>
          <w:color w:val="auto"/>
        </w:rPr>
        <w:t>1933 Act</w:t>
      </w:r>
      <w:r>
        <w:rPr>
          <w:rFonts w:ascii="Arial" w:cs="Arial" w:eastAsia="Arial" w:hAnsi="Arial"/>
          <w:sz w:val="20"/>
          <w:szCs w:val="20"/>
          <w:color w:val="auto"/>
        </w:rPr>
        <w:t>”), to register the Shares under the 1933 Act. The Participant acknowledges receipt of the Prospectus prepared by the Company in connection with the Registration Statement. Prior to conversion of the PRSUs into Shares, the Participant shall execute and deliver to the Company such representations in writing as may be requested by the Company in order for it to comply with the applicable requirements of federal and state securities law.</w:t>
      </w:r>
    </w:p>
    <w:p>
      <w:pPr>
        <w:spacing w:after="0" w:line="207" w:lineRule="exact"/>
        <w:rPr>
          <w:rFonts w:ascii="Arial" w:cs="Arial" w:eastAsia="Arial" w:hAnsi="Arial"/>
          <w:sz w:val="20"/>
          <w:szCs w:val="20"/>
          <w:color w:val="auto"/>
        </w:rPr>
      </w:pPr>
    </w:p>
    <w:p>
      <w:pPr>
        <w:ind w:left="400" w:hanging="392"/>
        <w:spacing w:after="0"/>
        <w:tabs>
          <w:tab w:leader="none" w:pos="40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Taxes; Potential Forfeiture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41" w:lineRule="auto"/>
        <w:tabs>
          <w:tab w:leader="none" w:pos="1841"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On or prior to the date on which any Shares corresponding to any vested PRSUs (or, if applicable, consideration corresponding to Acquirer RSUs) are delivered or the Participant’s vested Cash Account is paid, the Participant shall remit to the Company an amount sufficient to satisfy any applicable federal, state, local and foreign withholding or other taxes. No certificate for any Shares corresponding to any PRSUs (or, if applicable, consideration corresponding to Acquirer RSUs) that have vested, uncertificated shares or any cash attributable to the Participant’s Cash Account, shall be delivered or paid to the Participant until the foregoing obligation has been satisfied.</w:t>
      </w:r>
    </w:p>
    <w:p>
      <w:pPr>
        <w:spacing w:after="0" w:line="207" w:lineRule="exact"/>
        <w:rPr>
          <w:rFonts w:ascii="Arial" w:cs="Arial" w:eastAsia="Arial" w:hAnsi="Arial"/>
          <w:sz w:val="20"/>
          <w:szCs w:val="20"/>
          <w:color w:val="auto"/>
        </w:rPr>
      </w:pPr>
    </w:p>
    <w:p>
      <w:pPr>
        <w:jc w:val="both"/>
        <w:ind w:firstLine="1305"/>
        <w:spacing w:after="0"/>
        <w:tabs>
          <w:tab w:leader="none" w:pos="1773" w:val="left"/>
        </w:tabs>
        <w:numPr>
          <w:ilvl w:val="1"/>
          <w:numId w:val="187"/>
        </w:numPr>
        <w:rPr>
          <w:rFonts w:ascii="Arial" w:cs="Arial" w:eastAsia="Arial" w:hAnsi="Arial"/>
          <w:sz w:val="20"/>
          <w:szCs w:val="20"/>
          <w:color w:val="auto"/>
        </w:rPr>
      </w:pPr>
      <w:r>
        <w:rPr>
          <w:rFonts w:ascii="Arial" w:cs="Arial" w:eastAsia="Arial" w:hAnsi="Arial"/>
          <w:sz w:val="20"/>
          <w:szCs w:val="20"/>
          <w:u w:val="single" w:color="auto"/>
          <w:color w:val="auto"/>
        </w:rPr>
        <w:t>Alternative Payment Methods and Company Rights</w:t>
      </w:r>
      <w:r>
        <w:rPr>
          <w:rFonts w:ascii="Arial" w:cs="Arial" w:eastAsia="Arial" w:hAnsi="Arial"/>
          <w:sz w:val="20"/>
          <w:szCs w:val="20"/>
          <w:color w:val="auto"/>
        </w:rPr>
        <w:t xml:space="preserve">. The Company or Participant may, at its, his or her option, permit the Participant to satisfy his or her obligations under this Section 9, by tendering to the Company a portion of the Shares (or, if applicable, consideration corresponding to Acquirer RSUs) that otherwise would be delivered to the Participant pursuant to the PRSU (or, if applicable, Acquirer RSUs);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elects to satisfy his or her obligations by surrendering a portion of such Shares, such election shall be binding on the Company. In the event that the Participant fails to satisfy his or her obligations under this Section 9, the Participant agrees that the Company shall have the right to satisfy such obligations on the Participant’s behalf by taking any one or more of the following actions (such actions to be in addition to any other remedies available to the Company): (1) withholding payment of any fees or any other amounts payable to the Participant, (2) selling all or a portion of the Shares underlying the PRSUs (or, if applicable, consideration underlying Acquirer RSUs) in the open market or (3) withholding and canceling all or a portion of the Shares corresponding to the vested PRSUs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9" w:right="239" w:bottom="1440" w:gutter="0" w:footer="0" w:header="0"/>
        </w:sectPr>
      </w:pPr>
    </w:p>
    <w:bookmarkStart w:id="181" w:name="page182"/>
    <w:bookmarkEnd w:id="181"/>
    <w:p>
      <w:pPr>
        <w:jc w:val="both"/>
        <w:spacing w:after="0" w:line="243" w:lineRule="auto"/>
        <w:rPr>
          <w:sz w:val="20"/>
          <w:szCs w:val="20"/>
          <w:color w:val="auto"/>
        </w:rPr>
      </w:pPr>
      <w:r>
        <w:rPr>
          <w:rFonts w:ascii="Arial" w:cs="Arial" w:eastAsia="Arial" w:hAnsi="Arial"/>
          <w:sz w:val="20"/>
          <w:szCs w:val="20"/>
          <w:color w:val="auto"/>
        </w:rPr>
        <w:t>(or, if applicable, consideration corresponding to Acquirer RSUs). Any acquisition of Shares corresponding to PRSUs (or, if applicable, consideration corresponding to Acquirer RSUs) by the Company as contemplated hereby is expressly approved by the Committee as part of the approval of this Agreement.</w:t>
      </w:r>
    </w:p>
    <w:p>
      <w:pPr>
        <w:spacing w:after="0" w:line="206" w:lineRule="exact"/>
        <w:rPr>
          <w:sz w:val="20"/>
          <w:szCs w:val="20"/>
          <w:color w:val="auto"/>
        </w:rPr>
      </w:pPr>
    </w:p>
    <w:p>
      <w:pPr>
        <w:jc w:val="both"/>
        <w:ind w:firstLine="1305"/>
        <w:spacing w:after="0"/>
        <w:tabs>
          <w:tab w:leader="none" w:pos="1924" w:val="left"/>
        </w:tabs>
        <w:numPr>
          <w:ilvl w:val="1"/>
          <w:numId w:val="188"/>
        </w:numPr>
        <w:rPr>
          <w:rFonts w:ascii="Arial" w:cs="Arial" w:eastAsia="Arial" w:hAnsi="Arial"/>
          <w:sz w:val="20"/>
          <w:szCs w:val="20"/>
          <w:color w:val="auto"/>
        </w:rPr>
      </w:pPr>
      <w:r>
        <w:rPr>
          <w:rFonts w:ascii="Arial" w:cs="Arial" w:eastAsia="Arial" w:hAnsi="Arial"/>
          <w:sz w:val="20"/>
          <w:szCs w:val="20"/>
          <w:u w:val="single" w:color="auto"/>
          <w:color w:val="auto"/>
        </w:rPr>
        <w:t>Forfeiture for Failure to Pay Taxes</w:t>
      </w:r>
      <w:r>
        <w:rPr>
          <w:rFonts w:ascii="Arial" w:cs="Arial" w:eastAsia="Arial" w:hAnsi="Arial"/>
          <w:sz w:val="20"/>
          <w:szCs w:val="20"/>
          <w:color w:val="auto"/>
        </w:rPr>
        <w:t>. If and to the extent that (i) the Participant fails to satisfy his or her obligations under this Section 9 and (ii) the Company does not exercise its right to satisfy those obligations under Section 9(b) hereof with respect to any PRSUs (or, if applicable, Acquirer RSUs) or any portion of the vested Cash Account within 30 days after the date on which the Shares corresponding to the vested PRSUs (or, if applicable, consideration corresponding to Acquirer RSUs) or vested Cash Account otherwise would be delivered pursuant to Sections 5 and 6(b) hereof, as applicable, the Participant shall immediately forfeit any rights with respect to the portion of the PRSUs (or, if applicable, Acquirer RSUs) or vested Cash Account to which such failure relates.</w:t>
      </w:r>
    </w:p>
    <w:p>
      <w:pPr>
        <w:spacing w:after="0" w:line="213" w:lineRule="exact"/>
        <w:rPr>
          <w:rFonts w:ascii="Arial" w:cs="Arial" w:eastAsia="Arial" w:hAnsi="Arial"/>
          <w:sz w:val="20"/>
          <w:szCs w:val="20"/>
          <w:color w:val="auto"/>
        </w:rPr>
      </w:pPr>
    </w:p>
    <w:p>
      <w:pPr>
        <w:jc w:val="both"/>
        <w:ind w:firstLine="8"/>
        <w:spacing w:after="0" w:line="255" w:lineRule="auto"/>
        <w:tabs>
          <w:tab w:leader="none" w:pos="51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Stock Retention Policy</w:t>
      </w:r>
      <w:r>
        <w:rPr>
          <w:rFonts w:ascii="Arial" w:cs="Arial" w:eastAsia="Arial" w:hAnsi="Arial"/>
          <w:sz w:val="19"/>
          <w:szCs w:val="19"/>
          <w:color w:val="auto"/>
        </w:rPr>
        <w:t>. The Participant understands that the Committee has adopted a policy that requires the Participant to retain ownership of one-half (50%) of the Shares underlying the PRSUs acquired by the Participant hereunder (net of the number of Shares that the Company determines to withhold or that the Participant is permitted to tender, in each case, pursuant to Section 9 hereof to satisfy applicable tax withholding requirements), for a period of three (3) years after vesting of such PRSUs (or until the Participant’s employment with, and services for, the Company and its Subsidiaries terminates, if earlier). The Participant agrees to comply with such policy and any modifications thereof that may be adopted by the Committee from time to time. Notwithstanding the foregoing, such policy shall not apply following a Change of Control to any Shares acquired by the Participant hereunder.</w:t>
      </w:r>
    </w:p>
    <w:p>
      <w:pPr>
        <w:spacing w:after="0" w:line="198" w:lineRule="exact"/>
        <w:rPr>
          <w:rFonts w:ascii="Arial" w:cs="Arial" w:eastAsia="Arial" w:hAnsi="Arial"/>
          <w:sz w:val="19"/>
          <w:szCs w:val="19"/>
          <w:color w:val="auto"/>
        </w:rPr>
      </w:pPr>
    </w:p>
    <w:p>
      <w:pPr>
        <w:jc w:val="both"/>
        <w:ind w:firstLine="8"/>
        <w:spacing w:after="0" w:line="242" w:lineRule="auto"/>
        <w:tabs>
          <w:tab w:leader="none" w:pos="537"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base salary, determined by leadership level, in Shares. The Participant agrees to comply with such policy and any modifications thereof that may be adopted by the Committee from time to time. Notwithstanding the foregoing, such policy shall not apply following a Change of Control.</w:t>
      </w:r>
    </w:p>
    <w:p>
      <w:pPr>
        <w:spacing w:after="0" w:line="206" w:lineRule="exact"/>
        <w:rPr>
          <w:rFonts w:ascii="Arial" w:cs="Arial" w:eastAsia="Arial" w:hAnsi="Arial"/>
          <w:sz w:val="20"/>
          <w:szCs w:val="20"/>
          <w:color w:val="auto"/>
        </w:rPr>
      </w:pPr>
    </w:p>
    <w:p>
      <w:pPr>
        <w:jc w:val="both"/>
        <w:ind w:firstLine="8"/>
        <w:spacing w:after="0"/>
        <w:tabs>
          <w:tab w:leader="none" w:pos="605"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No Effect on Employment</w:t>
      </w:r>
      <w:r>
        <w:rPr>
          <w:rFonts w:ascii="Arial" w:cs="Arial" w:eastAsia="Arial" w:hAnsi="Arial"/>
          <w:sz w:val="20"/>
          <w:szCs w:val="20"/>
          <w:color w:val="auto"/>
        </w:rPr>
        <w:t>. Except as otherwise provided in the Participant’s Employment Arrangement, the Participant’s employment with the Company and any Subsidiary is on an at-will basis only. Accordingly, subject to the terms of such Employment Arrangement, nothing in this Agreement or the Plan shall confer upon the Participant any right to continue to be employed by the Company or any Subsidiary or shall interfere with or restrict in any way the rights of the Company or any Subsidiary, which are hereby expressly reserved, to terminate the employment of the Participant at any time for any lawful reason whatsoever or for no reason, with or without Cause and with or without notice. Such reservation of rights can be modified only in an express written contract executed by a duly authorized officer of the Company.</w:t>
      </w:r>
    </w:p>
    <w:p>
      <w:pPr>
        <w:spacing w:after="0" w:line="213" w:lineRule="exact"/>
        <w:rPr>
          <w:rFonts w:ascii="Arial" w:cs="Arial" w:eastAsia="Arial" w:hAnsi="Arial"/>
          <w:sz w:val="20"/>
          <w:szCs w:val="20"/>
          <w:color w:val="auto"/>
        </w:rPr>
      </w:pPr>
    </w:p>
    <w:p>
      <w:pPr>
        <w:jc w:val="both"/>
        <w:ind w:firstLine="8"/>
        <w:spacing w:after="0" w:line="243" w:lineRule="auto"/>
        <w:tabs>
          <w:tab w:leader="none" w:pos="713"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Except as provided below, nothing contained in this Agreement shall affect the Participant’s right to participate in and receive benefits under and in accordance with the then current provisions of any pension, insurance or other employee welfare plan or program of the Company or any Subsidiary.</w:t>
      </w:r>
    </w:p>
    <w:p>
      <w:pPr>
        <w:spacing w:after="0" w:line="206" w:lineRule="exact"/>
        <w:rPr>
          <w:rFonts w:ascii="Arial" w:cs="Arial" w:eastAsia="Arial" w:hAnsi="Arial"/>
          <w:sz w:val="20"/>
          <w:szCs w:val="20"/>
          <w:color w:val="auto"/>
        </w:rPr>
      </w:pPr>
    </w:p>
    <w:p>
      <w:pPr>
        <w:ind w:firstLine="8"/>
        <w:spacing w:after="0" w:line="247" w:lineRule="auto"/>
        <w:tabs>
          <w:tab w:leader="none" w:pos="794"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legatees, legal representatives, successors and assigns of the parties hereto.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9" w:right="239" w:bottom="1440" w:gutter="0" w:footer="0" w:header="0"/>
        </w:sectPr>
      </w:pPr>
    </w:p>
    <w:bookmarkStart w:id="182" w:name="page183"/>
    <w:bookmarkEnd w:id="182"/>
    <w:p>
      <w:pPr>
        <w:ind w:firstLine="8"/>
        <w:spacing w:after="0" w:line="247" w:lineRule="auto"/>
        <w:tabs>
          <w:tab w:leader="none" w:pos="51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of the terms and provisions of the Plan. In the event of a conflict between one or more provisions of this Agreement and one or more provisions of the Plan, the provisions of the Plan shall govern.</w:t>
      </w:r>
    </w:p>
    <w:p>
      <w:pPr>
        <w:spacing w:after="0" w:line="201" w:lineRule="exact"/>
        <w:rPr>
          <w:rFonts w:ascii="Arial" w:cs="Arial" w:eastAsia="Arial" w:hAnsi="Arial"/>
          <w:sz w:val="20"/>
          <w:szCs w:val="20"/>
          <w:color w:val="auto"/>
        </w:rPr>
      </w:pPr>
    </w:p>
    <w:p>
      <w:pPr>
        <w:jc w:val="both"/>
        <w:ind w:firstLine="8"/>
        <w:spacing w:after="0"/>
        <w:tabs>
          <w:tab w:leader="none" w:pos="551"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The validity and effect of this Agreement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212" w:lineRule="exact"/>
        <w:rPr>
          <w:rFonts w:ascii="Arial" w:cs="Arial" w:eastAsia="Arial" w:hAnsi="Arial"/>
          <w:sz w:val="20"/>
          <w:szCs w:val="20"/>
          <w:color w:val="auto"/>
        </w:rPr>
      </w:pPr>
    </w:p>
    <w:p>
      <w:pPr>
        <w:jc w:val="both"/>
        <w:ind w:firstLine="8"/>
        <w:spacing w:after="0" w:line="241" w:lineRule="auto"/>
        <w:tabs>
          <w:tab w:leader="none" w:pos="605"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Authority</w:t>
      </w:r>
      <w:r>
        <w:rPr>
          <w:rFonts w:ascii="Arial" w:cs="Arial" w:eastAsia="Arial" w:hAnsi="Arial"/>
          <w:sz w:val="20"/>
          <w:szCs w:val="20"/>
          <w:color w:val="auto"/>
        </w:rPr>
        <w:t>.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spacing w:after="0" w:line="207" w:lineRule="exact"/>
        <w:rPr>
          <w:rFonts w:ascii="Arial" w:cs="Arial" w:eastAsia="Arial" w:hAnsi="Arial"/>
          <w:sz w:val="20"/>
          <w:szCs w:val="20"/>
          <w:color w:val="auto"/>
        </w:rPr>
      </w:pPr>
    </w:p>
    <w:p>
      <w:pPr>
        <w:ind w:firstLine="8"/>
        <w:spacing w:after="0" w:line="247" w:lineRule="auto"/>
        <w:tabs>
          <w:tab w:leader="none" w:pos="591"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provided herein are for convenience only and are not to serve as a basis for the interpretation or construction of this Agreement.</w:t>
      </w:r>
    </w:p>
    <w:p>
      <w:pPr>
        <w:spacing w:after="0" w:line="201" w:lineRule="exact"/>
        <w:rPr>
          <w:rFonts w:ascii="Arial" w:cs="Arial" w:eastAsia="Arial" w:hAnsi="Arial"/>
          <w:sz w:val="20"/>
          <w:szCs w:val="20"/>
          <w:color w:val="auto"/>
        </w:rPr>
      </w:pPr>
    </w:p>
    <w:p>
      <w:pPr>
        <w:jc w:val="both"/>
        <w:ind w:firstLine="8"/>
        <w:spacing w:after="0" w:line="243" w:lineRule="auto"/>
        <w:tabs>
          <w:tab w:leader="none" w:pos="672"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6" w:lineRule="exact"/>
        <w:rPr>
          <w:rFonts w:ascii="Arial" w:cs="Arial" w:eastAsia="Arial" w:hAnsi="Arial"/>
          <w:sz w:val="20"/>
          <w:szCs w:val="20"/>
          <w:color w:val="auto"/>
        </w:rPr>
      </w:pPr>
    </w:p>
    <w:p>
      <w:pPr>
        <w:jc w:val="both"/>
        <w:ind w:firstLine="8"/>
        <w:spacing w:after="0"/>
        <w:tabs>
          <w:tab w:leader="none" w:pos="537"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(or, if applicable, officer of the Company).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 This Agreement may be executed and delivered by facsimile or other electronic signature and in two or more counterparts, each of which shall be deemed an original, but all of which together shall constitute one and the same instrument.</w:t>
      </w:r>
    </w:p>
    <w:p>
      <w:pPr>
        <w:spacing w:after="0" w:line="211" w:lineRule="exact"/>
        <w:rPr>
          <w:rFonts w:ascii="Arial" w:cs="Arial" w:eastAsia="Arial" w:hAnsi="Arial"/>
          <w:sz w:val="20"/>
          <w:szCs w:val="20"/>
          <w:color w:val="auto"/>
        </w:rPr>
      </w:pPr>
    </w:p>
    <w:p>
      <w:pPr>
        <w:ind w:left="520" w:hanging="512"/>
        <w:spacing w:after="0"/>
        <w:tabs>
          <w:tab w:leader="none" w:pos="52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62" w:lineRule="auto"/>
        <w:tabs>
          <w:tab w:leader="none" w:pos="1854"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It is intended that the PRSUs awarded pursuant to this Agreement and the Cash Account be exempt from Section 409A, because it is believed that the Agreement does not provide for a deferral of compensation and accordingly that the Agreement does not constitute a nonqualified deferred compensation plan within the meaning of Section 409A. If and to the extent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9" w:right="239" w:bottom="1440" w:gutter="0" w:footer="0" w:header="0"/>
        </w:sectPr>
      </w:pPr>
    </w:p>
    <w:bookmarkStart w:id="183" w:name="page184"/>
    <w:bookmarkEnd w:id="183"/>
    <w:p>
      <w:pPr>
        <w:jc w:val="both"/>
        <w:spacing w:after="0" w:line="241" w:lineRule="auto"/>
        <w:rPr>
          <w:sz w:val="20"/>
          <w:szCs w:val="20"/>
          <w:color w:val="auto"/>
        </w:rPr>
      </w:pPr>
      <w:r>
        <w:rPr>
          <w:rFonts w:ascii="Arial" w:cs="Arial" w:eastAsia="Arial" w:hAnsi="Arial"/>
          <w:sz w:val="20"/>
          <w:szCs w:val="20"/>
          <w:color w:val="auto"/>
        </w:rPr>
        <w:t>that the Company believes that the PRSUs (including, if applicable, the Acquirer RSUs) or rights to the Cash Account may constitute a “nonqualified deferred compensation plan” under Section 409A, the terms and conditions set forth in this Agreement (and/or the provisions of the Plan applicable thereto) shall be interpreted in a manner consistent with the applicable requirements of Section 409A, and the Company, in its sole discretion and without the consent of the Participant, may amend this Agreement (and the provisions of the Plan applicable thereto) if and to the extent that the Company determines necessary or appropriate to comply with applicable requirements of Section 409A.</w:t>
      </w:r>
    </w:p>
    <w:p>
      <w:pPr>
        <w:spacing w:after="0" w:line="208" w:lineRule="exact"/>
        <w:rPr>
          <w:sz w:val="20"/>
          <w:szCs w:val="20"/>
          <w:color w:val="auto"/>
        </w:rPr>
      </w:pPr>
    </w:p>
    <w:p>
      <w:pPr>
        <w:ind w:left="1780" w:hanging="475"/>
        <w:spacing w:after="0"/>
        <w:tabs>
          <w:tab w:leader="none" w:pos="178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If and to the extent required to comply with Section 409A:</w:t>
      </w:r>
    </w:p>
    <w:p>
      <w:pPr>
        <w:spacing w:after="0" w:line="215" w:lineRule="exact"/>
        <w:rPr>
          <w:rFonts w:ascii="Arial" w:cs="Arial" w:eastAsia="Arial" w:hAnsi="Arial"/>
          <w:sz w:val="20"/>
          <w:szCs w:val="20"/>
          <w:color w:val="auto"/>
        </w:rPr>
      </w:pPr>
    </w:p>
    <w:p>
      <w:pPr>
        <w:jc w:val="both"/>
        <w:ind w:left="660" w:firstLine="1293"/>
        <w:spacing w:after="0" w:line="241" w:lineRule="auto"/>
        <w:tabs>
          <w:tab w:leader="none" w:pos="2381" w:val="left"/>
        </w:tabs>
        <w:numPr>
          <w:ilvl w:val="1"/>
          <w:numId w:val="191"/>
        </w:numPr>
        <w:rPr>
          <w:rFonts w:ascii="Arial" w:cs="Arial" w:eastAsia="Arial" w:hAnsi="Arial"/>
          <w:sz w:val="20"/>
          <w:szCs w:val="20"/>
          <w:color w:val="auto"/>
        </w:rPr>
      </w:pPr>
      <w:r>
        <w:rPr>
          <w:rFonts w:ascii="Arial" w:cs="Arial" w:eastAsia="Arial" w:hAnsi="Arial"/>
          <w:sz w:val="20"/>
          <w:szCs w:val="20"/>
          <w:color w:val="auto"/>
        </w:rPr>
        <w:t>Payments or delivery of Shares (or, if applicable, consideration in respect of Acquirer RSUs) or cash in respect of the Participant’s Cash Account under this Agreement may not be made earlier than (u) the Participant’s “separation from service”, (v) the date the Participant becomes “disabled”, (w) the Participant’s death, (x) a “specified time (or pursuant to a fixed schedule)” specified in this Agreement at the date of the deferral of such compensation or (y) a “change in the ownership or effective control” of the corporation, or in the “ownership of a substantial portion of the assets” of the corporation;</w:t>
      </w:r>
    </w:p>
    <w:p>
      <w:pPr>
        <w:spacing w:after="0" w:line="207" w:lineRule="exact"/>
        <w:rPr>
          <w:rFonts w:ascii="Arial" w:cs="Arial" w:eastAsia="Arial" w:hAnsi="Arial"/>
          <w:sz w:val="20"/>
          <w:szCs w:val="20"/>
          <w:color w:val="auto"/>
        </w:rPr>
      </w:pPr>
    </w:p>
    <w:p>
      <w:pPr>
        <w:jc w:val="both"/>
        <w:ind w:left="660" w:firstLine="1293"/>
        <w:spacing w:after="0" w:line="243" w:lineRule="auto"/>
        <w:tabs>
          <w:tab w:leader="none" w:pos="2411" w:val="left"/>
        </w:tabs>
        <w:numPr>
          <w:ilvl w:val="1"/>
          <w:numId w:val="191"/>
        </w:numPr>
        <w:rPr>
          <w:rFonts w:ascii="Arial" w:cs="Arial" w:eastAsia="Arial" w:hAnsi="Arial"/>
          <w:sz w:val="20"/>
          <w:szCs w:val="20"/>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06" w:lineRule="exact"/>
        <w:rPr>
          <w:rFonts w:ascii="Arial" w:cs="Arial" w:eastAsia="Arial" w:hAnsi="Arial"/>
          <w:sz w:val="20"/>
          <w:szCs w:val="20"/>
          <w:color w:val="auto"/>
        </w:rPr>
      </w:pPr>
    </w:p>
    <w:p>
      <w:pPr>
        <w:jc w:val="both"/>
        <w:ind w:left="660" w:firstLine="1293"/>
        <w:spacing w:after="0" w:line="243" w:lineRule="auto"/>
        <w:tabs>
          <w:tab w:leader="none" w:pos="255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(6) months after the date of the Participant’s “separation from service” (or, if earlier, the date of the Participant’s death).</w:t>
      </w:r>
    </w:p>
    <w:p>
      <w:pPr>
        <w:spacing w:after="0" w:line="206" w:lineRule="exact"/>
        <w:rPr>
          <w:sz w:val="20"/>
          <w:szCs w:val="20"/>
          <w:color w:val="auto"/>
        </w:rPr>
      </w:pPr>
    </w:p>
    <w:p>
      <w:pPr>
        <w:jc w:val="both"/>
        <w:ind w:left="1620" w:hanging="323"/>
        <w:spacing w:after="0" w:line="242"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 extent) as shall be necessary to comply with any requirements of Section 409A that are applicable to this Agreement.</w:t>
      </w:r>
    </w:p>
    <w:p>
      <w:pPr>
        <w:spacing w:after="0" w:line="207" w:lineRule="exact"/>
        <w:rPr>
          <w:sz w:val="20"/>
          <w:szCs w:val="20"/>
          <w:color w:val="auto"/>
        </w:rPr>
      </w:pPr>
    </w:p>
    <w:p>
      <w:pPr>
        <w:jc w:val="both"/>
        <w:ind w:firstLine="1305"/>
        <w:spacing w:after="0"/>
        <w:tabs>
          <w:tab w:leader="none" w:pos="1857" w:val="left"/>
        </w:tabs>
        <w:numPr>
          <w:ilvl w:val="1"/>
          <w:numId w:val="192"/>
        </w:numPr>
        <w:rPr>
          <w:rFonts w:ascii="Arial" w:cs="Arial" w:eastAsia="Arial" w:hAnsi="Arial"/>
          <w:sz w:val="20"/>
          <w:szCs w:val="20"/>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213" w:lineRule="exact"/>
        <w:rPr>
          <w:rFonts w:ascii="Arial" w:cs="Arial" w:eastAsia="Arial" w:hAnsi="Arial"/>
          <w:sz w:val="20"/>
          <w:szCs w:val="20"/>
          <w:color w:val="auto"/>
        </w:rPr>
      </w:pPr>
    </w:p>
    <w:p>
      <w:pPr>
        <w:jc w:val="both"/>
        <w:ind w:firstLine="8"/>
        <w:spacing w:after="0" w:line="242" w:lineRule="auto"/>
        <w:tabs>
          <w:tab w:leader="none" w:pos="672"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PRSUs (or, if applicable, consideration corresponding to Acquirer RSUs) and the value of the Participant’s vested Cash Account, if any, shall be unfunded and shall not be greater than the rights of an unsecured general creditor of the Company.</w:t>
      </w:r>
    </w:p>
    <w:p>
      <w:pPr>
        <w:spacing w:after="0" w:line="187" w:lineRule="exact"/>
        <w:rPr>
          <w:sz w:val="20"/>
          <w:szCs w:val="20"/>
          <w:color w:val="auto"/>
        </w:rPr>
      </w:pPr>
    </w:p>
    <w:p>
      <w:pPr>
        <w:ind w:left="494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9" w:right="2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Grant Date.</w:t>
      </w:r>
    </w:p>
    <w:p>
      <w:pPr>
        <w:sectPr>
          <w:pgSz w:w="11900" w:h="16838" w:orient="portrait"/>
          <w:cols w:equalWidth="0" w:num="1">
            <w:col w:w="9559"/>
          </w:cols>
          <w:pgMar w:left="900" w:top="1233" w:right="1440" w:bottom="1440" w:gutter="0" w:footer="0" w:header="0"/>
        </w:sectPr>
      </w:pPr>
    </w:p>
    <w:p>
      <w:pPr>
        <w:spacing w:after="0" w:line="227" w:lineRule="exact"/>
        <w:rPr>
          <w:sz w:val="20"/>
          <w:szCs w:val="20"/>
          <w:color w:val="auto"/>
        </w:rPr>
      </w:pPr>
    </w:p>
    <w:p>
      <w:pPr>
        <w:ind w:left="1860"/>
        <w:spacing w:after="0"/>
        <w:rPr>
          <w:sz w:val="20"/>
          <w:szCs w:val="20"/>
          <w:color w:val="auto"/>
        </w:rPr>
      </w:pPr>
      <w:r>
        <w:rPr>
          <w:rFonts w:ascii="Arial" w:cs="Arial" w:eastAsia="Arial" w:hAnsi="Arial"/>
          <w:sz w:val="19"/>
          <w:szCs w:val="19"/>
          <w:b w:val="1"/>
          <w:bCs w:val="1"/>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161925</wp:posOffset>
            </wp:positionV>
            <wp:extent cx="1560830"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156083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-22860</wp:posOffset>
            </wp:positionV>
            <wp:extent cx="977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J. Kasbar</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60"/>
        <w:spacing w:after="0"/>
        <w:rPr>
          <w:sz w:val="20"/>
          <w:szCs w:val="20"/>
          <w:color w:val="auto"/>
        </w:rPr>
      </w:pPr>
      <w:r>
        <w:rPr>
          <w:rFonts w:ascii="Arial" w:cs="Arial" w:eastAsia="Arial" w:hAnsi="Arial"/>
          <w:sz w:val="20"/>
          <w:szCs w:val="20"/>
          <w:b w:val="1"/>
          <w:bCs w:val="1"/>
          <w:u w:val="single" w:color="auto"/>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Signature: /s/ Jeffrey P. Smith</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Jeffrey P. Smith</w:t>
      </w:r>
    </w:p>
    <w:p>
      <w:pPr>
        <w:spacing w:after="0" w:line="200" w:lineRule="exact"/>
        <w:rPr>
          <w:sz w:val="20"/>
          <w:szCs w:val="20"/>
          <w:color w:val="auto"/>
        </w:r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559"/>
          </w:cols>
          <w:pgMar w:left="900" w:top="1233" w:right="1440" w:bottom="144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20"/>
          <w:szCs w:val="20"/>
          <w:u w:val="single" w:color="auto"/>
          <w:color w:val="auto"/>
        </w:rPr>
        <w:t>SCHEDULE 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Performance Goal</w:t>
      </w:r>
    </w:p>
    <w:p>
      <w:pPr>
        <w:spacing w:after="0" w:line="200" w:lineRule="exact"/>
        <w:rPr>
          <w:sz w:val="20"/>
          <w:szCs w:val="20"/>
          <w:color w:val="auto"/>
        </w:rPr>
      </w:pPr>
    </w:p>
    <w:p>
      <w:pPr>
        <w:spacing w:after="0" w:line="269"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Subject to the terms and conditions set forth in this Agreement (of which this Schedule constitutes a part), the Participant will be eligible to earn a number of Shares that is between 0% and 200% of the target number of PRSUs set forth in Section 1 of this Agreement, such number of earned PRSUs shall be determined as set forth in this Schedule (the “</w:t>
      </w:r>
      <w:r>
        <w:rPr>
          <w:rFonts w:ascii="Arial" w:cs="Arial" w:eastAsia="Arial" w:hAnsi="Arial"/>
          <w:sz w:val="20"/>
          <w:szCs w:val="20"/>
          <w:b w:val="1"/>
          <w:bCs w:val="1"/>
          <w:i w:val="1"/>
          <w:iCs w:val="1"/>
          <w:color w:val="auto"/>
        </w:rPr>
        <w:t>Earned PRSUs</w:t>
      </w:r>
      <w:r>
        <w:rPr>
          <w:rFonts w:ascii="Arial" w:cs="Arial" w:eastAsia="Arial" w:hAnsi="Arial"/>
          <w:sz w:val="20"/>
          <w:szCs w:val="20"/>
          <w:color w:val="auto"/>
        </w:rPr>
        <w:t>”) based on the achievement of the Performance Goal during the Measurement Period.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Measurement Period is the three-year period that begins on January 1, 2018 and ends on December 31, 2020.</w:t>
      </w:r>
    </w:p>
    <w:p>
      <w:pPr>
        <w:spacing w:after="0" w:line="229"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The Earned PRSUs will be based on the Performance Goal that will be established by the Compensation Committee for the 2018 executive compensation program.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9"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color w:val="auto"/>
        </w:rPr>
        <w:t>Exhibit 10.30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FOURTH 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4 TO FOURTH AMENDED AND RESTATED CREDIT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dated as of January 30, 2018, is made by and among </w:t>
      </w:r>
      <w:r>
        <w:rPr>
          <w:rFonts w:ascii="Arial" w:cs="Arial" w:eastAsia="Arial" w:hAnsi="Arial"/>
          <w:sz w:val="19"/>
          <w:szCs w:val="19"/>
          <w:b w:val="1"/>
          <w:bCs w:val="1"/>
          <w:color w:val="auto"/>
        </w:rPr>
        <w:t>WORLD FUEL SERVICES CORPORATION</w:t>
      </w:r>
      <w:r>
        <w:rPr>
          <w:rFonts w:ascii="Arial" w:cs="Arial" w:eastAsia="Arial" w:hAnsi="Arial"/>
          <w:sz w:val="19"/>
          <w:szCs w:val="19"/>
          <w:color w:val="auto"/>
        </w:rPr>
        <w:t>, a Florida corporation (“</w:t>
      </w:r>
      <w:r>
        <w:rPr>
          <w:rFonts w:ascii="Arial" w:cs="Arial" w:eastAsia="Arial" w:hAnsi="Arial"/>
          <w:sz w:val="19"/>
          <w:szCs w:val="19"/>
          <w:u w:val="single" w:color="auto"/>
          <w:color w:val="auto"/>
        </w:rPr>
        <w:t>WFS</w:t>
      </w:r>
      <w:r>
        <w:rPr>
          <w:rFonts w:ascii="Arial" w:cs="Arial" w:eastAsia="Arial" w:hAnsi="Arial"/>
          <w:sz w:val="19"/>
          <w:szCs w:val="19"/>
          <w:color w:val="auto"/>
        </w:rPr>
        <w:t xml:space="preserve">”), </w:t>
      </w:r>
      <w:r>
        <w:rPr>
          <w:rFonts w:ascii="Arial" w:cs="Arial" w:eastAsia="Arial" w:hAnsi="Arial"/>
          <w:sz w:val="19"/>
          <w:szCs w:val="19"/>
          <w:b w:val="1"/>
          <w:bCs w:val="1"/>
          <w:color w:val="auto"/>
        </w:rPr>
        <w:t>WORLD FUEL SERVICES EUROPE, LTD.</w:t>
      </w:r>
      <w:r>
        <w:rPr>
          <w:rFonts w:ascii="Arial" w:cs="Arial" w:eastAsia="Arial" w:hAnsi="Arial"/>
          <w:sz w:val="19"/>
          <w:szCs w:val="19"/>
          <w:color w:val="auto"/>
        </w:rPr>
        <w:t>, a corporation organized and existing under the laws of the United Kingdom (“</w:t>
      </w:r>
      <w:r>
        <w:rPr>
          <w:rFonts w:ascii="Arial" w:cs="Arial" w:eastAsia="Arial" w:hAnsi="Arial"/>
          <w:sz w:val="19"/>
          <w:szCs w:val="19"/>
          <w:u w:val="single" w:color="auto"/>
          <w:color w:val="auto"/>
        </w:rPr>
        <w:t>WFS Europe</w:t>
      </w:r>
      <w:r>
        <w:rPr>
          <w:rFonts w:ascii="Arial" w:cs="Arial" w:eastAsia="Arial" w:hAnsi="Arial"/>
          <w:sz w:val="19"/>
          <w:szCs w:val="19"/>
          <w:color w:val="auto"/>
        </w:rPr>
        <w:t xml:space="preserve">”), and </w:t>
      </w:r>
      <w:r>
        <w:rPr>
          <w:rFonts w:ascii="Arial" w:cs="Arial" w:eastAsia="Arial" w:hAnsi="Arial"/>
          <w:sz w:val="19"/>
          <w:szCs w:val="19"/>
          <w:b w:val="1"/>
          <w:bCs w:val="1"/>
          <w:color w:val="auto"/>
        </w:rPr>
        <w:t>WORLD FUEL SERVICES (SINGAPORE) PTE LTD</w:t>
      </w:r>
      <w:r>
        <w:rPr>
          <w:rFonts w:ascii="Arial" w:cs="Arial" w:eastAsia="Arial" w:hAnsi="Arial"/>
          <w:sz w:val="19"/>
          <w:szCs w:val="19"/>
          <w:color w:val="auto"/>
        </w:rPr>
        <w:t>, a corporation organized and existing under the laws of the Republic of Singapore (“</w:t>
      </w:r>
      <w:r>
        <w:rPr>
          <w:rFonts w:ascii="Arial" w:cs="Arial" w:eastAsia="Arial" w:hAnsi="Arial"/>
          <w:sz w:val="19"/>
          <w:szCs w:val="19"/>
          <w:u w:val="single" w:color="auto"/>
          <w:color w:val="auto"/>
        </w:rPr>
        <w:t>WFS Singapore</w:t>
      </w:r>
      <w:r>
        <w:rPr>
          <w:rFonts w:ascii="Arial" w:cs="Arial" w:eastAsia="Arial" w:hAnsi="Arial"/>
          <w:sz w:val="19"/>
          <w:szCs w:val="19"/>
          <w:color w:val="auto"/>
        </w:rPr>
        <w:t>”, and together with WFS and WFS Europe, each a “</w:t>
      </w:r>
      <w:r>
        <w:rPr>
          <w:rFonts w:ascii="Arial" w:cs="Arial" w:eastAsia="Arial" w:hAnsi="Arial"/>
          <w:sz w:val="19"/>
          <w:szCs w:val="19"/>
          <w:u w:val="single" w:color="auto"/>
          <w:color w:val="auto"/>
        </w:rPr>
        <w:t>Borrower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each of the undersigned Guarantors, </w:t>
      </w:r>
      <w:r>
        <w:rPr>
          <w:rFonts w:ascii="Arial" w:cs="Arial" w:eastAsia="Arial" w:hAnsi="Arial"/>
          <w:sz w:val="19"/>
          <w:szCs w:val="19"/>
          <w:b w:val="1"/>
          <w:bCs w:val="1"/>
          <w:color w:val="auto"/>
        </w:rPr>
        <w:t>BANK OF AMERICA, N.A.</w:t>
      </w:r>
      <w:r>
        <w:rPr>
          <w:rFonts w:ascii="Arial" w:cs="Arial" w:eastAsia="Arial" w:hAnsi="Arial"/>
          <w:sz w:val="19"/>
          <w:szCs w:val="19"/>
          <w:color w:val="auto"/>
        </w:rPr>
        <w:t>, a national banking association organized and existing under the laws of the United States (“</w:t>
      </w:r>
      <w:r>
        <w:rPr>
          <w:rFonts w:ascii="Arial" w:cs="Arial" w:eastAsia="Arial" w:hAnsi="Arial"/>
          <w:sz w:val="19"/>
          <w:szCs w:val="19"/>
          <w:u w:val="single" w:color="auto"/>
          <w:color w:val="auto"/>
        </w:rPr>
        <w:t>Bank of America</w:t>
      </w:r>
      <w:r>
        <w:rPr>
          <w:rFonts w:ascii="Arial" w:cs="Arial" w:eastAsia="Arial" w:hAnsi="Arial"/>
          <w:sz w:val="19"/>
          <w:szCs w:val="19"/>
          <w:color w:val="auto"/>
        </w:rPr>
        <w:t>”), in its capacity as administrative agent for the Lenders generally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w:t>
      </w:r>
      <w:r>
        <w:rPr>
          <w:rFonts w:ascii="Arial" w:cs="Arial" w:eastAsia="Arial" w:hAnsi="Arial"/>
          <w:sz w:val="19"/>
          <w:szCs w:val="19"/>
          <w:b w:val="1"/>
          <w:bCs w:val="1"/>
          <w:color w:val="auto"/>
        </w:rPr>
        <w:t>BANK OF AMERICA, N.A.,</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SINGAPORE BRANCH </w:t>
      </w:r>
      <w:r>
        <w:rPr>
          <w:rFonts w:ascii="Arial" w:cs="Arial" w:eastAsia="Arial" w:hAnsi="Arial"/>
          <w:sz w:val="19"/>
          <w:szCs w:val="19"/>
          <w:color w:val="auto"/>
        </w:rPr>
        <w:t>(“</w:t>
      </w:r>
      <w:r>
        <w:rPr>
          <w:rFonts w:ascii="Arial" w:cs="Arial" w:eastAsia="Arial" w:hAnsi="Arial"/>
          <w:sz w:val="19"/>
          <w:szCs w:val="19"/>
          <w:u w:val="single" w:color="auto"/>
          <w:color w:val="auto"/>
        </w:rPr>
        <w:t>Bank of America Singapore</w:t>
      </w:r>
      <w:r>
        <w:rPr>
          <w:rFonts w:ascii="Arial" w:cs="Arial" w:eastAsia="Arial" w:hAnsi="Arial"/>
          <w:sz w:val="19"/>
          <w:szCs w:val="19"/>
          <w:color w:val="auto"/>
        </w:rPr>
        <w:t>”), in its capacity as administrative agent for the Singapore Term Loan</w:t>
      </w:r>
      <w:r>
        <w:rPr>
          <w:rFonts w:ascii="Arial" w:cs="Arial" w:eastAsia="Arial" w:hAnsi="Arial"/>
          <w:sz w:val="19"/>
          <w:szCs w:val="19"/>
          <w:b w:val="1"/>
          <w:bCs w:val="1"/>
          <w:color w:val="auto"/>
        </w:rPr>
        <w:t xml:space="preserve"> </w:t>
      </w:r>
      <w:r>
        <w:rPr>
          <w:rFonts w:ascii="Arial" w:cs="Arial" w:eastAsia="Arial" w:hAnsi="Arial"/>
          <w:sz w:val="19"/>
          <w:szCs w:val="19"/>
          <w:color w:val="auto"/>
        </w:rPr>
        <w:t>Facility (in such capacity, the “</w:t>
      </w:r>
      <w:r>
        <w:rPr>
          <w:rFonts w:ascii="Arial" w:cs="Arial" w:eastAsia="Arial" w:hAnsi="Arial"/>
          <w:sz w:val="19"/>
          <w:szCs w:val="19"/>
          <w:u w:val="single" w:color="auto"/>
          <w:color w:val="auto"/>
        </w:rPr>
        <w:t>Singapore Agent</w:t>
      </w:r>
      <w:r>
        <w:rPr>
          <w:rFonts w:ascii="Arial" w:cs="Arial" w:eastAsia="Arial" w:hAnsi="Arial"/>
          <w:sz w:val="19"/>
          <w:szCs w:val="19"/>
          <w:color w:val="auto"/>
        </w:rPr>
        <w:t>”), and each of the Lenders under the Fourth Amended Credit Agreement (defined below)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signatory hereto. Except as expressly provided herein, capitalized terms used but not otherwise defined herein have the respective meanings ascribed to them in the Credit Agreement (as defined below).</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Bank of America, as Administrative Agent, Swing Line Lender and L/C-BA Issuer,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Lenders have entered into that Fourth Amended and Restated Credit Agreement dated as of October 10, 2013 (as amended by that certain Amendment No. 1 to Fourth Amended and Restated Credit Agreement, and Joinder Agreement dated as of January 30, 2015, that certain Amendment No. 2 to Fourth Amended and Restated Credit Agreement, and Joinder Agreement dated as of October 26, 2016, that certain Amendment No. 3 to Fourth Amended and Restated Credit Agreement dated as of May 12, 2017, and as further amended, supplemented, restated or otherwise modified prior to the date hereof, the “</w:t>
      </w:r>
      <w:r>
        <w:rPr>
          <w:rFonts w:ascii="Arial" w:cs="Arial" w:eastAsia="Arial" w:hAnsi="Arial"/>
          <w:sz w:val="22"/>
          <w:szCs w:val="22"/>
          <w:u w:val="single" w:color="auto"/>
          <w:color w:val="auto"/>
        </w:rPr>
        <w:t>Fourth Amended 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references herein to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shall mean the Fourth Amended Credit Agreement after giving effect to this Amendment);</w:t>
      </w:r>
    </w:p>
    <w:p>
      <w:pPr>
        <w:spacing w:after="0" w:line="227"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Guarantors and the Administrative Agent entered into that Third Amended and Restated Guaranty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October 10, 2013, pursuant to which the Guarantors agreed to guarantee payment of the Obligations;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requested that the Lenders make certain amendments to the Fourth Amended Credit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set forth herein;</w:t>
      </w:r>
    </w:p>
    <w:p>
      <w:pPr>
        <w:spacing w:after="0" w:line="2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Borrowers have elected, (a)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2.05(a)</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Fourth Amended Credit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prepay certain Term Loans in an amount not less than $300,000,000 (the “</w:t>
      </w:r>
      <w:r>
        <w:rPr>
          <w:rFonts w:ascii="Arial" w:cs="Arial" w:eastAsia="Arial" w:hAnsi="Arial"/>
          <w:sz w:val="22"/>
          <w:szCs w:val="22"/>
          <w:u w:val="single" w:color="auto"/>
          <w:color w:val="auto"/>
        </w:rPr>
        <w:t>Specified Prepayment</w:t>
      </w:r>
      <w:r>
        <w:rPr>
          <w:rFonts w:ascii="Arial" w:cs="Arial" w:eastAsia="Arial" w:hAnsi="Arial"/>
          <w:sz w:val="22"/>
          <w:szCs w:val="22"/>
          <w:color w:val="auto"/>
        </w:rPr>
        <w:t xml:space="preserve">”), and (b)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2.06(a)</w:t>
      </w:r>
      <w:r>
        <w:rPr>
          <w:rFonts w:ascii="Arial" w:cs="Arial" w:eastAsia="Arial" w:hAnsi="Arial"/>
          <w:sz w:val="22"/>
          <w:szCs w:val="22"/>
          <w:color w:val="auto"/>
        </w:rPr>
        <w:t xml:space="preserve"> of the Fourth Amended Credit Agreement, to reduce the Aggregate Revolving Commitments such that immediately after giving</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97592046_9</w:t>
      </w:r>
    </w:p>
    <w:p>
      <w:pPr>
        <w:sectPr>
          <w:pgSz w:w="11900" w:h="16838" w:orient="portrait"/>
          <w:cols w:equalWidth="0" w:num="1">
            <w:col w:w="11420"/>
          </w:cols>
          <w:pgMar w:left="240" w:top="388" w:right="239" w:bottom="1440" w:gutter="0" w:footer="0" w:header="0"/>
        </w:sectPr>
      </w:pPr>
    </w:p>
    <w:bookmarkStart w:id="187" w:name="page188"/>
    <w:bookmarkEnd w:id="187"/>
    <w:p>
      <w:pPr>
        <w:spacing w:after="0" w:line="263" w:lineRule="auto"/>
        <w:rPr>
          <w:sz w:val="20"/>
          <w:szCs w:val="20"/>
          <w:color w:val="auto"/>
        </w:rPr>
      </w:pPr>
      <w:r>
        <w:rPr>
          <w:rFonts w:ascii="Arial" w:cs="Arial" w:eastAsia="Arial" w:hAnsi="Arial"/>
          <w:sz w:val="22"/>
          <w:szCs w:val="22"/>
          <w:color w:val="auto"/>
        </w:rPr>
        <w:t>effect to such reduction the Aggregate Revolving Commitments shall not exceed $1,160,000,000 (the “</w:t>
      </w:r>
      <w:r>
        <w:rPr>
          <w:rFonts w:ascii="Arial" w:cs="Arial" w:eastAsia="Arial" w:hAnsi="Arial"/>
          <w:sz w:val="22"/>
          <w:szCs w:val="22"/>
          <w:u w:val="single" w:color="auto"/>
          <w:color w:val="auto"/>
        </w:rPr>
        <w:t>Specified Commitment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Reduction</w:t>
      </w:r>
      <w:r>
        <w:rPr>
          <w:rFonts w:ascii="Arial" w:cs="Arial" w:eastAsia="Arial" w:hAnsi="Arial"/>
          <w:sz w:val="22"/>
          <w:szCs w:val="22"/>
          <w:color w:val="auto"/>
        </w:rPr>
        <w:t>”);</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Administrative Agent and the Lenders signatory hereto are willing to effect such amendments 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contained in this Amendment;</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further valuable consideration, the receipt and sufficiency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hereby acknowledged, the parties hereto agree as follows:</w:t>
      </w:r>
    </w:p>
    <w:p>
      <w:pPr>
        <w:spacing w:after="0" w:line="209" w:lineRule="exact"/>
        <w:rPr>
          <w:sz w:val="20"/>
          <w:szCs w:val="20"/>
          <w:color w:val="auto"/>
        </w:rPr>
      </w:pPr>
    </w:p>
    <w:p>
      <w:pPr>
        <w:ind w:firstLine="656"/>
        <w:spacing w:after="0" w:line="343" w:lineRule="auto"/>
        <w:tabs>
          <w:tab w:leader="none" w:pos="1459"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Amendments to Fourth Amended Credit Agreement</w:t>
      </w:r>
      <w:r>
        <w:rPr>
          <w:rFonts w:ascii="Arial" w:cs="Arial" w:eastAsia="Arial" w:hAnsi="Arial"/>
          <w:sz w:val="19"/>
          <w:szCs w:val="19"/>
          <w:color w:val="auto"/>
        </w:rPr>
        <w:t>. Subject to the terms and conditions set forth herein, effective as of the Amendment Effective Date (as defined below), the Fourth Amended Credit Agreement is amended as follows:</w:t>
      </w:r>
    </w:p>
    <w:p>
      <w:pPr>
        <w:spacing w:after="0" w:line="105" w:lineRule="exact"/>
        <w:rPr>
          <w:sz w:val="20"/>
          <w:szCs w:val="20"/>
          <w:color w:val="auto"/>
        </w:rPr>
      </w:pPr>
    </w:p>
    <w:p>
      <w:pPr>
        <w:ind w:left="660" w:hanging="4"/>
        <w:spacing w:after="0" w:line="263" w:lineRule="auto"/>
        <w:tabs>
          <w:tab w:leader="none" w:pos="114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following definition of “</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in alphabetical order thereto:</w:t>
      </w:r>
    </w:p>
    <w:p>
      <w:pPr>
        <w:spacing w:after="0" w:line="17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8" w:lineRule="exact"/>
        <w:rPr>
          <w:sz w:val="20"/>
          <w:szCs w:val="20"/>
          <w:color w:val="auto"/>
        </w:rPr>
      </w:pPr>
    </w:p>
    <w:p>
      <w:pPr>
        <w:ind w:left="660" w:hanging="4"/>
        <w:spacing w:after="0" w:line="263" w:lineRule="auto"/>
        <w:tabs>
          <w:tab w:leader="none" w:pos="127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following definition of “</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in alphabetical order thereto: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Fourth Amendment Effective Date</w:t>
      </w:r>
      <w:r>
        <w:rPr>
          <w:rFonts w:ascii="Arial" w:cs="Arial" w:eastAsia="Arial" w:hAnsi="Arial"/>
          <w:sz w:val="22"/>
          <w:szCs w:val="22"/>
          <w:color w:val="auto"/>
        </w:rPr>
        <w:t>” means January 30, 2018.</w:t>
      </w:r>
    </w:p>
    <w:p>
      <w:pPr>
        <w:spacing w:after="0" w:line="220" w:lineRule="exact"/>
        <w:rPr>
          <w:sz w:val="20"/>
          <w:szCs w:val="20"/>
          <w:color w:val="auto"/>
        </w:rPr>
      </w:pPr>
    </w:p>
    <w:p>
      <w:pPr>
        <w:ind w:left="660" w:hanging="4"/>
        <w:spacing w:after="0" w:line="263" w:lineRule="auto"/>
        <w:tabs>
          <w:tab w:leader="none" w:pos="1234"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following definition of “</w:t>
      </w:r>
      <w:r>
        <w:rPr>
          <w:rFonts w:ascii="Arial" w:cs="Arial" w:eastAsia="Arial" w:hAnsi="Arial"/>
          <w:sz w:val="22"/>
          <w:szCs w:val="22"/>
          <w:u w:val="single" w:color="auto"/>
          <w:color w:val="auto"/>
        </w:rPr>
        <w:t>PTE</w:t>
      </w:r>
      <w:r>
        <w:rPr>
          <w:rFonts w:ascii="Arial" w:cs="Arial" w:eastAsia="Arial" w:hAnsi="Arial"/>
          <w:sz w:val="22"/>
          <w:szCs w:val="22"/>
          <w:color w:val="auto"/>
        </w:rPr>
        <w:t xml:space="preserve">” is hereby added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in alphabetical order thereto:</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215" w:lineRule="exact"/>
        <w:rPr>
          <w:sz w:val="20"/>
          <w:szCs w:val="20"/>
          <w:color w:val="auto"/>
        </w:rPr>
      </w:pPr>
    </w:p>
    <w:p>
      <w:pPr>
        <w:ind w:left="660" w:firstLine="10"/>
        <w:spacing w:after="0" w:line="263" w:lineRule="auto"/>
        <w:tabs>
          <w:tab w:leader="none" w:pos="116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Aggregate Revolving Commitments</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is hereby deleted in its entirety and replaced with the following in lieu thereof:</w:t>
      </w:r>
    </w:p>
    <w:p>
      <w:pPr>
        <w:spacing w:after="0" w:line="175" w:lineRule="exact"/>
        <w:rPr>
          <w:sz w:val="20"/>
          <w:szCs w:val="20"/>
          <w:color w:val="auto"/>
        </w:rPr>
      </w:pPr>
    </w:p>
    <w:p>
      <w:pPr>
        <w:ind w:left="660" w:firstLine="621"/>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Revolving Commitments</w:t>
      </w:r>
      <w:r>
        <w:rPr>
          <w:rFonts w:ascii="Arial" w:cs="Arial" w:eastAsia="Arial" w:hAnsi="Arial"/>
          <w:sz w:val="21"/>
          <w:szCs w:val="21"/>
          <w:color w:val="auto"/>
        </w:rPr>
        <w:t>” means the Revolving Commitments of all of the Revolving Lenders. As of the Fourth Amendment Effective Date, the Aggregate Revolving Commitments equal $1,160,000,000.</w:t>
      </w:r>
    </w:p>
    <w:p>
      <w:pPr>
        <w:spacing w:after="0" w:line="152" w:lineRule="exact"/>
        <w:rPr>
          <w:sz w:val="20"/>
          <w:szCs w:val="20"/>
          <w:color w:val="auto"/>
        </w:rPr>
      </w:pPr>
    </w:p>
    <w:p>
      <w:pPr>
        <w:ind w:left="660" w:firstLine="10"/>
        <w:spacing w:after="0" w:line="263" w:lineRule="auto"/>
        <w:tabs>
          <w:tab w:leader="none" w:pos="11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Consolidated EBITDA</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is hereby deleted in its entirety and replaced with the following in lieu thereof: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188" w:name="page189"/>
    <w:bookmarkEnd w:id="188"/>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xml:space="preserve">” means, for any period, for WFS and its Restricted Subsidiaries on a consolidated basis, an amount equal to Consolidated Net Income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 (iii) depreciation and amortization expense for such period, (iv) other non-recurring expenses of WFS and its Restricted Subsidiaries reducing such Consolidated Net Income which do not represent a cash item in such period or any future period, (v) other non-recurring cash expenses (including severance costs) of WFS and its Restricted Subsidiaries incurred in any fiscal quarter, in each case to the extent reducing Consolidated Net Income, publicly disclosed and set forth in reasonable detail in the Compliance Certificate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expenses described in this clause (v) shall only be permitted to be added to Consolidated Net Income for such period to the extent such expenses collectively do not increase Consolidated EBITDA (measured before giving effect to this clause (v)) by more than 15% with respect to the period ending December 31, 2017, or 10% with respect to each period ending thereafter</w:t>
      </w:r>
      <w:r>
        <w:rPr>
          <w:rFonts w:ascii="Arial" w:cs="Arial" w:eastAsia="Arial" w:hAnsi="Arial"/>
          <w:sz w:val="19"/>
          <w:szCs w:val="19"/>
          <w:color w:val="1F497D"/>
        </w:rPr>
        <w:t>;</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following to the extent included in calculating such Consolidated Net Income: (i) Federal, state, local and foreign income tax credits of WFS and its Restricted Subsidiaries for such period and (ii) all non-cash items increasing Consolidated Net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period that includes an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and (y) “Consolidated EBITDA” for any such period shall include the aggregate amount of cash actually distributed by any Unrestricted Subsidiary to WFS or any of its Restricted Subsidiaries during such period.</w:t>
      </w:r>
    </w:p>
    <w:p>
      <w:pPr>
        <w:spacing w:after="0" w:line="208" w:lineRule="exact"/>
        <w:rPr>
          <w:sz w:val="20"/>
          <w:szCs w:val="20"/>
          <w:color w:val="auto"/>
        </w:rPr>
      </w:pPr>
    </w:p>
    <w:p>
      <w:pPr>
        <w:ind w:firstLine="10"/>
        <w:spacing w:after="0" w:line="263" w:lineRule="auto"/>
        <w:tabs>
          <w:tab w:leader="none" w:pos="474"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Consolidated Senior Leverage Ratio</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is hereby deleted in its entirety and replaced with the following in lieu thereof:</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Senior Leverage Ratio</w:t>
      </w:r>
      <w:r>
        <w:rPr>
          <w:rFonts w:ascii="Arial" w:cs="Arial" w:eastAsia="Arial" w:hAnsi="Arial"/>
          <w:sz w:val="19"/>
          <w:szCs w:val="19"/>
          <w:color w:val="auto"/>
        </w:rPr>
        <w:t xml:space="preserve">” means, as of any date of determination, the ratio of (a) (i) Consolidated Funded Indebtedness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all Subordinated Debt as of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all unrestricted cash, cash equivalents and short term investments of WFS and its Subsidiaries in excess of $25,000,000 as of such date, with the total amount included under this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not to exceed $175,000,000 as of any date of determination </w:t>
      </w:r>
      <w:r>
        <w:rPr>
          <w:rFonts w:ascii="Arial" w:cs="Arial" w:eastAsia="Arial" w:hAnsi="Arial"/>
          <w:sz w:val="19"/>
          <w:szCs w:val="19"/>
          <w:i w:val="1"/>
          <w:iCs w:val="1"/>
          <w:color w:val="auto"/>
        </w:rPr>
        <w:t>to</w:t>
      </w:r>
      <w:r>
        <w:rPr>
          <w:rFonts w:ascii="Arial" w:cs="Arial" w:eastAsia="Arial" w:hAnsi="Arial"/>
          <w:sz w:val="19"/>
          <w:szCs w:val="19"/>
          <w:color w:val="auto"/>
        </w:rPr>
        <w:t xml:space="preserve"> (b) Consolidated EBITDA for the period of the four fiscal quarters most recently ended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that includes an Acquisition or Material Disposition such calculation shall be subject to the adjustments set forth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for purposes of calculating the Consolidated Senior Leverage Ratio, the lesser of (i) $300,000,000 and (ii) the outstanding face amount of standby letters of credit issued for the account of WFS and its Restricted Subsidiaries as of such date shall be excluded from Consolidated Funded Indebtedness.</w:t>
      </w:r>
    </w:p>
    <w:p>
      <w:pPr>
        <w:spacing w:after="0" w:line="158" w:lineRule="exact"/>
        <w:rPr>
          <w:sz w:val="20"/>
          <w:szCs w:val="20"/>
          <w:color w:val="auto"/>
        </w:rPr>
      </w:pPr>
    </w:p>
    <w:p>
      <w:pPr>
        <w:ind w:right="20" w:firstLine="10"/>
        <w:spacing w:after="0" w:line="263" w:lineRule="auto"/>
        <w:tabs>
          <w:tab w:leader="none" w:pos="52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of the Fourth Amended Credit Agreement is hereby deleted in its entirety and replaced with the following in lieu thereof:</w:t>
      </w: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632" w:right="239" w:bottom="1440" w:gutter="0" w:footer="0" w:header="0"/>
        </w:sectPr>
      </w:pPr>
    </w:p>
    <w:bookmarkStart w:id="189" w:name="page190"/>
    <w:bookmarkEnd w:id="189"/>
    <w:p>
      <w:pPr>
        <w:jc w:val="both"/>
        <w:ind w:left="66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Leverage Ratio</w:t>
      </w:r>
      <w:r>
        <w:rPr>
          <w:rFonts w:ascii="Arial" w:cs="Arial" w:eastAsia="Arial" w:hAnsi="Arial"/>
          <w:sz w:val="21"/>
          <w:szCs w:val="21"/>
          <w:color w:val="auto"/>
        </w:rPr>
        <w:t xml:space="preserve">” means, as of any date of determination, the ratio of (a) (i) Consolidated Funded Indebtedness as of such date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 all unrestricted cash, cash equivalents and short term investments of WFS and its Subsidiaries in excess of $25,000,000 as of such date, with the total amount included under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not to exceed $175,000,000 as of any date of determination </w:t>
      </w:r>
      <w:r>
        <w:rPr>
          <w:rFonts w:ascii="Arial" w:cs="Arial" w:eastAsia="Arial" w:hAnsi="Arial"/>
          <w:sz w:val="21"/>
          <w:szCs w:val="21"/>
          <w:i w:val="1"/>
          <w:iCs w:val="1"/>
          <w:color w:val="auto"/>
        </w:rPr>
        <w:t>to</w:t>
      </w:r>
      <w:r>
        <w:rPr>
          <w:rFonts w:ascii="Arial" w:cs="Arial" w:eastAsia="Arial" w:hAnsi="Arial"/>
          <w:sz w:val="21"/>
          <w:szCs w:val="21"/>
          <w:color w:val="auto"/>
        </w:rPr>
        <w:t xml:space="preserve"> (b) Consolidated EBITDA for the period of the four fiscal quarters most recently ended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during any period that includes an Acquisition or Material Disposition such calculation shall be subject to the adjustments set forth in </w:t>
      </w:r>
      <w:r>
        <w:rPr>
          <w:rFonts w:ascii="Arial" w:cs="Arial" w:eastAsia="Arial" w:hAnsi="Arial"/>
          <w:sz w:val="21"/>
          <w:szCs w:val="21"/>
          <w:u w:val="single" w:color="auto"/>
          <w:color w:val="auto"/>
        </w:rPr>
        <w:t>Section 1.08</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 further</w:t>
      </w:r>
      <w:r>
        <w:rPr>
          <w:rFonts w:ascii="Arial" w:cs="Arial" w:eastAsia="Arial" w:hAnsi="Arial"/>
          <w:sz w:val="21"/>
          <w:szCs w:val="21"/>
          <w:color w:val="auto"/>
        </w:rPr>
        <w:t>, that, for purposes of calculating the Consolidated Total Leverage Ratio, the lesser of (i) $300,000,000 and (ii) the outstanding face amount of standby letters of credit issued for the account of WFS and its Restricted Subsidiaries as of such date shall be excluded from Consolidated Funded Indebtedness.</w:t>
      </w:r>
    </w:p>
    <w:p>
      <w:pPr>
        <w:spacing w:after="0" w:line="180" w:lineRule="exact"/>
        <w:rPr>
          <w:sz w:val="20"/>
          <w:szCs w:val="20"/>
          <w:color w:val="auto"/>
        </w:rPr>
      </w:pPr>
    </w:p>
    <w:p>
      <w:pPr>
        <w:ind w:firstLine="656"/>
        <w:spacing w:after="0" w:line="263" w:lineRule="auto"/>
        <w:tabs>
          <w:tab w:leader="none" w:pos="1170"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Section 5.12</w:t>
      </w:r>
      <w:r>
        <w:rPr>
          <w:rFonts w:ascii="Arial" w:cs="Arial" w:eastAsia="Arial" w:hAnsi="Arial"/>
          <w:sz w:val="22"/>
          <w:szCs w:val="22"/>
          <w:color w:val="auto"/>
        </w:rPr>
        <w:t xml:space="preserve"> of the Fourth Amended Credit Agreement is hereby amended by adding the following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to the end of such Section:</w:t>
      </w:r>
    </w:p>
    <w:p>
      <w:pPr>
        <w:spacing w:after="0" w:line="215" w:lineRule="exact"/>
        <w:rPr>
          <w:rFonts w:ascii="Arial" w:cs="Arial" w:eastAsia="Arial" w:hAnsi="Arial"/>
          <w:sz w:val="22"/>
          <w:szCs w:val="22"/>
          <w:color w:val="auto"/>
        </w:rPr>
      </w:pPr>
    </w:p>
    <w:p>
      <w:pPr>
        <w:jc w:val="both"/>
        <w:ind w:left="340" w:firstLine="965"/>
        <w:spacing w:after="0" w:line="312" w:lineRule="auto"/>
        <w:tabs>
          <w:tab w:leader="none" w:pos="1807" w:val="left"/>
        </w:tabs>
        <w:numPr>
          <w:ilvl w:val="1"/>
          <w:numId w:val="202"/>
        </w:numPr>
        <w:rPr>
          <w:rFonts w:ascii="Arial" w:cs="Arial" w:eastAsia="Arial" w:hAnsi="Arial"/>
          <w:sz w:val="19"/>
          <w:szCs w:val="19"/>
          <w:color w:val="auto"/>
        </w:rPr>
      </w:pPr>
      <w:r>
        <w:rPr>
          <w:rFonts w:ascii="Arial" w:cs="Arial" w:eastAsia="Arial" w:hAnsi="Arial"/>
          <w:sz w:val="19"/>
          <w:szCs w:val="19"/>
          <w:color w:val="auto"/>
        </w:rPr>
        <w:t>On and as of the Fourth Amendment Effective Date, WFS is not and will not be (a) an employee benefit plan subject to Title I of ERISA, (b) a plan or account subject to Section 4975 of the Code; (c) an entity deemed to hold “plan assets” of any such plans or accounts for purposes of ERISA or the Code; or (d) a “governmental plan” within the meaning of ERISA.</w:t>
      </w:r>
    </w:p>
    <w:p>
      <w:pPr>
        <w:spacing w:after="0" w:line="174" w:lineRule="exact"/>
        <w:rPr>
          <w:rFonts w:ascii="Arial" w:cs="Arial" w:eastAsia="Arial" w:hAnsi="Arial"/>
          <w:sz w:val="19"/>
          <w:szCs w:val="19"/>
          <w:color w:val="auto"/>
        </w:rPr>
      </w:pPr>
    </w:p>
    <w:p>
      <w:pPr>
        <w:jc w:val="both"/>
        <w:ind w:firstLine="656"/>
        <w:spacing w:after="0" w:line="253" w:lineRule="auto"/>
        <w:tabs>
          <w:tab w:leader="none" w:pos="1091"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The following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is hereby added to the Fourth Amended Credit Agreement immediately following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9.11</w:t>
      </w:r>
      <w:r>
        <w:rPr>
          <w:rFonts w:ascii="Arial" w:cs="Arial" w:eastAsia="Arial" w:hAnsi="Arial"/>
          <w:sz w:val="22"/>
          <w:szCs w:val="22"/>
          <w:color w:val="auto"/>
        </w:rPr>
        <w:t xml:space="preserve"> thereof (and each Lender party to this Amendment, by its execution of this Amendment hereby makes the representations and warranties contained in such Section):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9.12 ERISA Provisions.</w:t>
      </w:r>
    </w:p>
    <w:p>
      <w:pPr>
        <w:spacing w:after="0" w:line="226" w:lineRule="exact"/>
        <w:rPr>
          <w:sz w:val="20"/>
          <w:szCs w:val="20"/>
          <w:color w:val="auto"/>
        </w:rPr>
      </w:pPr>
    </w:p>
    <w:p>
      <w:pPr>
        <w:jc w:val="both"/>
        <w:ind w:left="660" w:hanging="4"/>
        <w:spacing w:after="0" w:line="302" w:lineRule="auto"/>
        <w:tabs>
          <w:tab w:leader="none" w:pos="95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Borrowers or any other Loan Party, that at least one of the following is and will be true:</w:t>
      </w:r>
    </w:p>
    <w:p>
      <w:pPr>
        <w:spacing w:after="0" w:line="142" w:lineRule="exact"/>
        <w:rPr>
          <w:rFonts w:ascii="Arial" w:cs="Arial" w:eastAsia="Arial" w:hAnsi="Arial"/>
          <w:sz w:val="19"/>
          <w:szCs w:val="19"/>
          <w:color w:val="auto"/>
        </w:rPr>
      </w:pPr>
    </w:p>
    <w:p>
      <w:pPr>
        <w:jc w:val="both"/>
        <w:ind w:left="1300" w:firstLine="5"/>
        <w:spacing w:after="0" w:line="253" w:lineRule="auto"/>
        <w:tabs>
          <w:tab w:leader="none" w:pos="1584" w:val="left"/>
        </w:tabs>
        <w:numPr>
          <w:ilvl w:val="1"/>
          <w:numId w:val="203"/>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the Letters of Credit, the Bankers’ Acceptance or the Commitments,</w:t>
      </w:r>
    </w:p>
    <w:p>
      <w:pPr>
        <w:spacing w:after="0" w:line="185" w:lineRule="exact"/>
        <w:rPr>
          <w:rFonts w:ascii="Arial" w:cs="Arial" w:eastAsia="Arial" w:hAnsi="Arial"/>
          <w:sz w:val="22"/>
          <w:szCs w:val="22"/>
          <w:color w:val="auto"/>
        </w:rPr>
      </w:pPr>
    </w:p>
    <w:p>
      <w:pPr>
        <w:jc w:val="both"/>
        <w:ind w:left="1300" w:firstLine="5"/>
        <w:spacing w:after="0" w:line="250" w:lineRule="auto"/>
        <w:tabs>
          <w:tab w:leader="none" w:pos="165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190" w:name="page191"/>
    <w:bookmarkEnd w:id="190"/>
    <w:p>
      <w:pPr>
        <w:jc w:val="both"/>
        <w:ind w:left="644"/>
        <w:spacing w:after="0" w:line="250" w:lineRule="auto"/>
        <w:rPr>
          <w:sz w:val="20"/>
          <w:szCs w:val="20"/>
          <w:color w:val="auto"/>
        </w:rPr>
      </w:pPr>
      <w:r>
        <w:rPr>
          <w:rFonts w:ascii="Arial" w:cs="Arial" w:eastAsia="Arial" w:hAnsi="Arial"/>
          <w:sz w:val="22"/>
          <w:szCs w:val="22"/>
          <w:color w:val="auto"/>
        </w:rPr>
        <w:t>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Bankers’ Acceptances, the Commitments and this Agreement,</w:t>
      </w:r>
    </w:p>
    <w:p>
      <w:pPr>
        <w:spacing w:after="0" w:line="188" w:lineRule="exact"/>
        <w:rPr>
          <w:sz w:val="20"/>
          <w:szCs w:val="20"/>
          <w:color w:val="auto"/>
        </w:rPr>
      </w:pPr>
    </w:p>
    <w:p>
      <w:pPr>
        <w:jc w:val="both"/>
        <w:ind w:left="644" w:firstLine="5"/>
        <w:spacing w:after="0" w:line="259" w:lineRule="auto"/>
        <w:tabs>
          <w:tab w:leader="none" w:pos="1061" w:val="left"/>
        </w:tabs>
        <w:numPr>
          <w:ilvl w:val="1"/>
          <w:numId w:val="204"/>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Bankers’ Acceptances,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Bankers’ Acceptances, the Commitments and this Agreement, or</w:t>
      </w:r>
    </w:p>
    <w:p>
      <w:pPr>
        <w:spacing w:after="0" w:line="180" w:lineRule="exact"/>
        <w:rPr>
          <w:rFonts w:ascii="Arial" w:cs="Arial" w:eastAsia="Arial" w:hAnsi="Arial"/>
          <w:sz w:val="21"/>
          <w:szCs w:val="21"/>
          <w:color w:val="auto"/>
        </w:rPr>
      </w:pPr>
    </w:p>
    <w:p>
      <w:pPr>
        <w:ind w:left="644" w:firstLine="5"/>
        <w:spacing w:after="0" w:line="263" w:lineRule="auto"/>
        <w:tabs>
          <w:tab w:leader="none" w:pos="105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rFonts w:ascii="Arial" w:cs="Arial" w:eastAsia="Arial" w:hAnsi="Arial"/>
          <w:sz w:val="22"/>
          <w:szCs w:val="22"/>
          <w:color w:val="auto"/>
        </w:rPr>
      </w:pPr>
    </w:p>
    <w:p>
      <w:pPr>
        <w:jc w:val="both"/>
        <w:ind w:left="4" w:hanging="4"/>
        <w:spacing w:after="0" w:line="288" w:lineRule="auto"/>
        <w:tabs>
          <w:tab w:leader="none" w:pos="31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w:t>
      </w:r>
    </w:p>
    <w:p>
      <w:pPr>
        <w:spacing w:after="0" w:line="1" w:lineRule="exact"/>
        <w:rPr>
          <w:rFonts w:ascii="Arial" w:cs="Arial" w:eastAsia="Arial" w:hAnsi="Arial"/>
          <w:sz w:val="19"/>
          <w:szCs w:val="19"/>
          <w:color w:val="auto"/>
        </w:rPr>
      </w:pPr>
    </w:p>
    <w:p>
      <w:pPr>
        <w:jc w:val="both"/>
        <w:ind w:left="4" w:hanging="4"/>
        <w:spacing w:after="0" w:line="262" w:lineRule="auto"/>
        <w:tabs>
          <w:tab w:leader="none" w:pos="315" w:val="left"/>
        </w:tabs>
        <w:numPr>
          <w:ilvl w:val="0"/>
          <w:numId w:val="206"/>
        </w:numPr>
        <w:rPr>
          <w:rFonts w:ascii="Arial" w:cs="Arial" w:eastAsia="Arial" w:hAnsi="Arial"/>
          <w:sz w:val="21"/>
          <w:szCs w:val="21"/>
          <w:color w:val="auto"/>
        </w:rPr>
      </w:pPr>
      <w:r>
        <w:rPr>
          <w:rFonts w:ascii="Arial" w:cs="Arial" w:eastAsia="Arial" w:hAnsi="Arial"/>
          <w:sz w:val="21"/>
          <w:szCs w:val="21"/>
          <w:color w:val="auto"/>
        </w:rPr>
        <w:t>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Borrowers or any other Loan Party, that:</w:t>
      </w:r>
    </w:p>
    <w:p>
      <w:pPr>
        <w:spacing w:after="0" w:line="177" w:lineRule="exact"/>
        <w:rPr>
          <w:rFonts w:ascii="Arial" w:cs="Arial" w:eastAsia="Arial" w:hAnsi="Arial"/>
          <w:sz w:val="21"/>
          <w:szCs w:val="21"/>
          <w:color w:val="auto"/>
        </w:rPr>
      </w:pPr>
    </w:p>
    <w:p>
      <w:pPr>
        <w:jc w:val="both"/>
        <w:ind w:left="644" w:right="20" w:firstLine="5"/>
        <w:spacing w:after="0" w:line="312" w:lineRule="auto"/>
        <w:tabs>
          <w:tab w:leader="none" w:pos="903"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none of the Administrative Agent,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33" w:lineRule="exact"/>
        <w:rPr>
          <w:rFonts w:ascii="Arial" w:cs="Arial" w:eastAsia="Arial" w:hAnsi="Arial"/>
          <w:sz w:val="19"/>
          <w:szCs w:val="19"/>
          <w:color w:val="auto"/>
        </w:rPr>
      </w:pPr>
    </w:p>
    <w:p>
      <w:pPr>
        <w:jc w:val="both"/>
        <w:ind w:left="644" w:firstLine="5"/>
        <w:spacing w:after="0" w:line="297" w:lineRule="auto"/>
        <w:tabs>
          <w:tab w:leader="none" w:pos="1021"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Bankers’ Acceptances,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6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847" w:right="239" w:bottom="1440" w:gutter="0" w:footer="0" w:header="0"/>
        </w:sectPr>
      </w:pPr>
    </w:p>
    <w:bookmarkStart w:id="191" w:name="page192"/>
    <w:bookmarkEnd w:id="191"/>
    <w:p>
      <w:pPr>
        <w:jc w:val="both"/>
        <w:ind w:left="968" w:firstLine="5"/>
        <w:spacing w:after="0" w:line="302" w:lineRule="auto"/>
        <w:tabs>
          <w:tab w:leader="none" w:pos="1401"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Bankers’ Acceptances, the Commitments and this Agreement is capable of evaluating investment risks independently, both in general and with regard to particular transactions and investment strategies (including in respect of the Obligations),</w:t>
      </w:r>
    </w:p>
    <w:p>
      <w:pPr>
        <w:spacing w:after="0" w:line="142" w:lineRule="exact"/>
        <w:rPr>
          <w:rFonts w:ascii="Arial" w:cs="Arial" w:eastAsia="Arial" w:hAnsi="Arial"/>
          <w:sz w:val="19"/>
          <w:szCs w:val="19"/>
          <w:color w:val="auto"/>
        </w:rPr>
      </w:pPr>
    </w:p>
    <w:p>
      <w:pPr>
        <w:jc w:val="both"/>
        <w:ind w:left="968" w:firstLine="5"/>
        <w:spacing w:after="0" w:line="248" w:lineRule="auto"/>
        <w:tabs>
          <w:tab w:leader="none" w:pos="1389" w:val="left"/>
        </w:tabs>
        <w:numPr>
          <w:ilvl w:val="1"/>
          <w:numId w:val="207"/>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the Letters of Credit, the Bankers’ Acceptances,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92" w:lineRule="exact"/>
        <w:rPr>
          <w:rFonts w:ascii="Arial" w:cs="Arial" w:eastAsia="Arial" w:hAnsi="Arial"/>
          <w:sz w:val="22"/>
          <w:szCs w:val="22"/>
          <w:color w:val="auto"/>
        </w:rPr>
      </w:pPr>
    </w:p>
    <w:p>
      <w:pPr>
        <w:jc w:val="both"/>
        <w:ind w:left="968" w:firstLine="5"/>
        <w:spacing w:after="0" w:line="271" w:lineRule="auto"/>
        <w:tabs>
          <w:tab w:leader="none" w:pos="1280" w:val="left"/>
        </w:tabs>
        <w:numPr>
          <w:ilvl w:val="1"/>
          <w:numId w:val="207"/>
        </w:numPr>
        <w:rPr>
          <w:rFonts w:ascii="Arial" w:cs="Arial" w:eastAsia="Arial" w:hAnsi="Arial"/>
          <w:sz w:val="21"/>
          <w:szCs w:val="21"/>
          <w:color w:val="auto"/>
        </w:rPr>
      </w:pPr>
      <w:r>
        <w:rPr>
          <w:rFonts w:ascii="Arial" w:cs="Arial" w:eastAsia="Arial" w:hAnsi="Arial"/>
          <w:sz w:val="21"/>
          <w:szCs w:val="21"/>
          <w:color w:val="auto"/>
        </w:rPr>
        <w:t>no fee or other compensation is being paid directly to the Administrative Agent, any Joint Lead Arranger or any their respective Affiliates for investment advice (as opposed to other services) in connection with the Loans, the Letters of Credit, Bankers’ Acceptances, the Commitments or this Agreement.</w:t>
      </w:r>
    </w:p>
    <w:p>
      <w:pPr>
        <w:spacing w:after="0" w:line="167" w:lineRule="exact"/>
        <w:rPr>
          <w:rFonts w:ascii="Arial" w:cs="Arial" w:eastAsia="Arial" w:hAnsi="Arial"/>
          <w:sz w:val="21"/>
          <w:szCs w:val="21"/>
          <w:color w:val="auto"/>
        </w:rPr>
      </w:pPr>
    </w:p>
    <w:p>
      <w:pPr>
        <w:jc w:val="both"/>
        <w:ind w:left="8" w:hanging="8"/>
        <w:spacing w:after="0" w:line="258" w:lineRule="auto"/>
        <w:tabs>
          <w:tab w:leader="none" w:pos="35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Bankers’ Acceptances, the Commitments and this Agreement, (ii) may recognize a gain if it extended the Loans, the Letters of Credit, the Bankers’ Acceptances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21" w:lineRule="exact"/>
        <w:rPr>
          <w:sz w:val="20"/>
          <w:szCs w:val="20"/>
          <w:color w:val="auto"/>
        </w:rPr>
      </w:pPr>
    </w:p>
    <w:p>
      <w:pPr>
        <w:ind w:left="8" w:firstLine="640"/>
        <w:spacing w:after="0" w:line="343" w:lineRule="auto"/>
        <w:tabs>
          <w:tab w:leader="none" w:pos="1175"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The form of Compliance Certificate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to the Fourth Amended Credit Agreement is hereby deleted in its entirety and replaced with the form of Compliance Certificate set forth on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hereto in lieu thereof.</w:t>
      </w:r>
    </w:p>
    <w:p>
      <w:pPr>
        <w:spacing w:after="0" w:line="104" w:lineRule="exact"/>
        <w:rPr>
          <w:rFonts w:ascii="Arial" w:cs="Arial" w:eastAsia="Arial" w:hAnsi="Arial"/>
          <w:sz w:val="19"/>
          <w:szCs w:val="19"/>
          <w:color w:val="auto"/>
        </w:rPr>
      </w:pPr>
    </w:p>
    <w:p>
      <w:pPr>
        <w:ind w:left="488" w:hanging="488"/>
        <w:spacing w:after="0"/>
        <w:tabs>
          <w:tab w:leader="none" w:pos="488"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Application of Prepayment and Commitment Reduction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 w:firstLine="640"/>
        <w:spacing w:after="0" w:line="302" w:lineRule="auto"/>
        <w:tabs>
          <w:tab w:leader="none" w:pos="1011" w:val="left"/>
        </w:tabs>
        <w:numPr>
          <w:ilvl w:val="1"/>
          <w:numId w:val="210"/>
        </w:numPr>
        <w:rPr>
          <w:rFonts w:ascii="Arial" w:cs="Arial" w:eastAsia="Arial" w:hAnsi="Arial"/>
          <w:sz w:val="19"/>
          <w:szCs w:val="19"/>
          <w:color w:val="auto"/>
        </w:rPr>
      </w:pPr>
      <w:r>
        <w:rPr>
          <w:rFonts w:ascii="Arial" w:cs="Arial" w:eastAsia="Arial" w:hAnsi="Arial"/>
          <w:sz w:val="19"/>
          <w:szCs w:val="19"/>
          <w:color w:val="auto"/>
        </w:rPr>
        <w:t xml:space="preserve">Each party hereto hereby agrees that the Specified Prepayment shall be applied to the principal repayment installments of the Term Loans in inverse order of maturity (including the final principal payment to be made on the Maturity Date) in accordance with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of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Specified Prepayment shall only be applied as a prepayment of the Outstanding Amounts of the Domestic Term Loans and shall not be</w:t>
      </w:r>
    </w:p>
    <w:p>
      <w:pPr>
        <w:spacing w:after="0" w:line="16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847" w:right="239" w:bottom="1440" w:gutter="0" w:footer="0" w:header="0"/>
        </w:sectPr>
      </w:pPr>
    </w:p>
    <w:bookmarkStart w:id="192" w:name="page193"/>
    <w:bookmarkEnd w:id="192"/>
    <w:p>
      <w:pPr>
        <w:jc w:val="both"/>
        <w:ind w:left="340"/>
        <w:spacing w:after="0" w:line="248" w:lineRule="auto"/>
        <w:rPr>
          <w:sz w:val="20"/>
          <w:szCs w:val="20"/>
          <w:color w:val="auto"/>
        </w:rPr>
      </w:pPr>
      <w:r>
        <w:rPr>
          <w:rFonts w:ascii="Arial" w:cs="Arial" w:eastAsia="Arial" w:hAnsi="Arial"/>
          <w:sz w:val="22"/>
          <w:szCs w:val="22"/>
          <w:color w:val="auto"/>
        </w:rPr>
        <w:t xml:space="preserve">applied to the Outstanding Amounts of the Singapore Term Loans, and each of the Singapore Term Loan Lenders party hereto hereby waives, with respect to the Specified Prepayment, the requirement contained in </w:t>
      </w:r>
      <w:r>
        <w:rPr>
          <w:rFonts w:ascii="Arial" w:cs="Arial" w:eastAsia="Arial" w:hAnsi="Arial"/>
          <w:sz w:val="22"/>
          <w:szCs w:val="22"/>
          <w:u w:val="single" w:color="auto"/>
          <w:color w:val="auto"/>
        </w:rPr>
        <w:t>Section 2.05(a)(iv)</w:t>
      </w:r>
      <w:r>
        <w:rPr>
          <w:rFonts w:ascii="Arial" w:cs="Arial" w:eastAsia="Arial" w:hAnsi="Arial"/>
          <w:sz w:val="22"/>
          <w:szCs w:val="22"/>
          <w:color w:val="auto"/>
        </w:rPr>
        <w:t xml:space="preserve"> of the Credit Agreement that such Specified Prepayment be applied ratably to the Outstanding Amounts of the Domestic Term Loans and the Singapore Term Loans and agrees that the Specified Prepayment shall only be applied to the Outstanding Amounts of the Domestic Term Loans.</w:t>
      </w:r>
    </w:p>
    <w:p>
      <w:pPr>
        <w:spacing w:after="0" w:line="233" w:lineRule="exact"/>
        <w:rPr>
          <w:sz w:val="20"/>
          <w:szCs w:val="20"/>
          <w:color w:val="auto"/>
        </w:rPr>
      </w:pPr>
    </w:p>
    <w:p>
      <w:pPr>
        <w:ind w:left="340" w:right="20" w:firstLine="640"/>
        <w:spacing w:after="0" w:line="263" w:lineRule="auto"/>
        <w:tabs>
          <w:tab w:leader="none" w:pos="1579" w:val="left"/>
        </w:tabs>
        <w:numPr>
          <w:ilvl w:val="2"/>
          <w:numId w:val="211"/>
        </w:numPr>
        <w:rPr>
          <w:rFonts w:ascii="Arial" w:cs="Arial" w:eastAsia="Arial" w:hAnsi="Arial"/>
          <w:sz w:val="22"/>
          <w:szCs w:val="22"/>
          <w:color w:val="auto"/>
        </w:rPr>
      </w:pPr>
      <w:r>
        <w:rPr>
          <w:rFonts w:ascii="Arial" w:cs="Arial" w:eastAsia="Arial" w:hAnsi="Arial"/>
          <w:sz w:val="22"/>
          <w:szCs w:val="22"/>
          <w:color w:val="auto"/>
        </w:rPr>
        <w:t>Each party hereto hereby agrees that the Specified Commitment Reduction shall be applied to the Aggregate Revolving Commitments in effect prior to giving effect to this Amendment on a pro rata basis.</w:t>
      </w:r>
    </w:p>
    <w:p>
      <w:pPr>
        <w:spacing w:after="0" w:line="215" w:lineRule="exact"/>
        <w:rPr>
          <w:rFonts w:ascii="Arial" w:cs="Arial" w:eastAsia="Arial" w:hAnsi="Arial"/>
          <w:sz w:val="22"/>
          <w:szCs w:val="22"/>
          <w:color w:val="auto"/>
        </w:rPr>
      </w:pPr>
    </w:p>
    <w:p>
      <w:pPr>
        <w:ind w:left="340" w:firstLine="640"/>
        <w:spacing w:after="0" w:line="263" w:lineRule="auto"/>
        <w:tabs>
          <w:tab w:leader="none" w:pos="1496" w:val="left"/>
        </w:tabs>
        <w:numPr>
          <w:ilvl w:val="2"/>
          <w:numId w:val="211"/>
        </w:numPr>
        <w:rPr>
          <w:rFonts w:ascii="Arial" w:cs="Arial" w:eastAsia="Arial" w:hAnsi="Arial"/>
          <w:sz w:val="21"/>
          <w:szCs w:val="21"/>
          <w:color w:val="auto"/>
        </w:rPr>
      </w:pPr>
      <w:r>
        <w:rPr>
          <w:rFonts w:ascii="Arial" w:cs="Arial" w:eastAsia="Arial" w:hAnsi="Arial"/>
          <w:sz w:val="21"/>
          <w:szCs w:val="21"/>
          <w:color w:val="auto"/>
        </w:rPr>
        <w:t xml:space="preserve">After giving effect to the Specified Prepayment and the Specified Commitment Reduction,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of the Fourth Amended Credit Agreement will be replaced with the </w:t>
      </w:r>
      <w:r>
        <w:rPr>
          <w:rFonts w:ascii="Arial" w:cs="Arial" w:eastAsia="Arial" w:hAnsi="Arial"/>
          <w:sz w:val="21"/>
          <w:szCs w:val="21"/>
          <w:u w:val="single" w:color="auto"/>
          <w:color w:val="auto"/>
        </w:rPr>
        <w:t>Schedule 2.01</w:t>
      </w:r>
      <w:r>
        <w:rPr>
          <w:rFonts w:ascii="Arial" w:cs="Arial" w:eastAsia="Arial" w:hAnsi="Arial"/>
          <w:sz w:val="21"/>
          <w:szCs w:val="21"/>
          <w:color w:val="auto"/>
        </w:rPr>
        <w:t xml:space="preserve"> attached hereto on </w:t>
      </w:r>
      <w:r>
        <w:rPr>
          <w:rFonts w:ascii="Arial" w:cs="Arial" w:eastAsia="Arial" w:hAnsi="Arial"/>
          <w:sz w:val="21"/>
          <w:szCs w:val="21"/>
          <w:u w:val="single" w:color="auto"/>
          <w:color w:val="auto"/>
        </w:rPr>
        <w:t>Annex I</w:t>
      </w:r>
      <w:r>
        <w:rPr>
          <w:rFonts w:ascii="Arial" w:cs="Arial" w:eastAsia="Arial" w:hAnsi="Arial"/>
          <w:sz w:val="21"/>
          <w:szCs w:val="21"/>
          <w:color w:val="auto"/>
        </w:rPr>
        <w:t>.</w:t>
      </w:r>
    </w:p>
    <w:p>
      <w:pPr>
        <w:spacing w:after="0" w:line="1" w:lineRule="exact"/>
        <w:rPr>
          <w:rFonts w:ascii="Arial" w:cs="Arial" w:eastAsia="Arial" w:hAnsi="Arial"/>
          <w:sz w:val="21"/>
          <w:szCs w:val="21"/>
          <w:color w:val="auto"/>
        </w:rPr>
      </w:pPr>
    </w:p>
    <w:p>
      <w:pPr>
        <w:jc w:val="both"/>
        <w:ind w:firstLine="332"/>
        <w:spacing w:after="0" w:line="245" w:lineRule="auto"/>
        <w:tabs>
          <w:tab w:leader="none" w:pos="81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Effectiveness; Conditions Precedent</w:t>
      </w:r>
      <w:r>
        <w:rPr>
          <w:rFonts w:ascii="Arial" w:cs="Arial" w:eastAsia="Arial" w:hAnsi="Arial"/>
          <w:sz w:val="22"/>
          <w:szCs w:val="22"/>
          <w:color w:val="auto"/>
        </w:rPr>
        <w:t>. The effectiveness of this Amendment and the amendments to the Fourth Amended Credit Agreement herein provided shall be effective as of the date hereof upon each of the following conditions precedent having been satisfied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ind w:left="340" w:right="20" w:firstLine="316"/>
        <w:spacing w:after="0" w:line="263" w:lineRule="auto"/>
        <w:tabs>
          <w:tab w:leader="none" w:pos="114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Administrative Agent shall have received counterparts of this Amendment, duly executed by each Borrower, each Guarantor, the Administrative Agent and the Required Lenders;</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Administrative Agent shall have received the Specified Prepayment; and</w:t>
      </w:r>
    </w:p>
    <w:p>
      <w:pPr>
        <w:spacing w:after="0" w:line="260" w:lineRule="exact"/>
        <w:rPr>
          <w:rFonts w:ascii="Arial" w:cs="Arial" w:eastAsia="Arial" w:hAnsi="Arial"/>
          <w:sz w:val="22"/>
          <w:szCs w:val="22"/>
          <w:color w:val="auto"/>
        </w:rPr>
      </w:pPr>
    </w:p>
    <w:p>
      <w:pPr>
        <w:jc w:val="both"/>
        <w:ind w:left="340" w:firstLine="316"/>
        <w:spacing w:after="0" w:line="271" w:lineRule="auto"/>
        <w:tabs>
          <w:tab w:leader="none" w:pos="1174" w:val="left"/>
        </w:tabs>
        <w:numPr>
          <w:ilvl w:val="1"/>
          <w:numId w:val="212"/>
        </w:numPr>
        <w:rPr>
          <w:rFonts w:ascii="Arial" w:cs="Arial" w:eastAsia="Arial" w:hAnsi="Arial"/>
          <w:sz w:val="21"/>
          <w:szCs w:val="21"/>
          <w:color w:val="auto"/>
        </w:rPr>
      </w:pPr>
      <w:r>
        <w:rPr>
          <w:rFonts w:ascii="Arial" w:cs="Arial" w:eastAsia="Arial" w:hAnsi="Arial"/>
          <w:sz w:val="21"/>
          <w:szCs w:val="21"/>
          <w:color w:val="auto"/>
        </w:rPr>
        <w:t>any fees and expenses payable to the Administrative Agent (unless waived by the Administrative Agent), (including the reasonable fees and expenses of counsel to the Administrative Agent to the extent invoiced prior to the date hereof) shall have been paid in full (without prejudice to final settling of accounts for such fees and expenses).</w:t>
      </w:r>
    </w:p>
    <w:p>
      <w:pPr>
        <w:spacing w:after="0" w:line="208" w:lineRule="exact"/>
        <w:rPr>
          <w:sz w:val="20"/>
          <w:szCs w:val="20"/>
          <w:color w:val="auto"/>
        </w:rPr>
      </w:pPr>
    </w:p>
    <w:p>
      <w:pPr>
        <w:jc w:val="both"/>
        <w:ind w:firstLine="656"/>
        <w:spacing w:after="0" w:line="297" w:lineRule="auto"/>
        <w:tabs>
          <w:tab w:leader="none" w:pos="1459"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Consent and Confirmation of the Guarantors</w:t>
      </w:r>
      <w:r>
        <w:rPr>
          <w:rFonts w:ascii="Arial" w:cs="Arial" w:eastAsia="Arial" w:hAnsi="Arial"/>
          <w:sz w:val="19"/>
          <w:szCs w:val="19"/>
          <w:color w:val="auto"/>
        </w:rPr>
        <w:t>. Each of the Guarantors hereby consents, acknowledges and agrees to the amendments set forth herein and hereby confirms and ratifies in all respects the Collateral Documents to which such Guarantor is a party and the Guaranty (including without limitation the continuation of each such Guarantor’s payment and performance obligations thereunder upon and after the effectiveness of this Amendment and the amendments contemplated hereby) and the enforceability of such Collateral Documents and the Guaranty against such Guarantor in accordance with their respective terms.</w:t>
      </w:r>
    </w:p>
    <w:p>
      <w:pPr>
        <w:spacing w:after="0" w:line="147" w:lineRule="exact"/>
        <w:rPr>
          <w:rFonts w:ascii="Arial" w:cs="Arial" w:eastAsia="Arial" w:hAnsi="Arial"/>
          <w:sz w:val="19"/>
          <w:szCs w:val="19"/>
          <w:color w:val="auto"/>
        </w:rPr>
      </w:pPr>
    </w:p>
    <w:p>
      <w:pPr>
        <w:ind w:firstLine="656"/>
        <w:spacing w:after="0" w:line="263" w:lineRule="auto"/>
        <w:tabs>
          <w:tab w:leader="none" w:pos="1459" w:val="left"/>
        </w:tabs>
        <w:numPr>
          <w:ilvl w:val="0"/>
          <w:numId w:val="21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the Administrative Agent and the Lenders to enter into this Amendment, the Borrowers represent and warrant to the Administrative Agent and the Lenders as follows:</w:t>
      </w:r>
    </w:p>
    <w:p>
      <w:pPr>
        <w:spacing w:after="0" w:line="174" w:lineRule="exact"/>
        <w:rPr>
          <w:rFonts w:ascii="Arial" w:cs="Arial" w:eastAsia="Arial" w:hAnsi="Arial"/>
          <w:sz w:val="22"/>
          <w:szCs w:val="22"/>
          <w:color w:val="auto"/>
        </w:rPr>
      </w:pPr>
    </w:p>
    <w:p>
      <w:pPr>
        <w:ind w:left="660" w:firstLine="645"/>
        <w:spacing w:after="0" w:line="263" w:lineRule="auto"/>
        <w:tabs>
          <w:tab w:leader="none" w:pos="2106" w:val="left"/>
        </w:tabs>
        <w:numPr>
          <w:ilvl w:val="1"/>
          <w:numId w:val="213"/>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of the Credit Agreement and in the other Loan Documents are true and correct on and as of the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1" w:right="239" w:bottom="1440" w:gutter="0" w:footer="0" w:header="0"/>
        </w:sectPr>
      </w:pPr>
    </w:p>
    <w:bookmarkStart w:id="193" w:name="page194"/>
    <w:bookmarkEnd w:id="193"/>
    <w:p>
      <w:pPr>
        <w:ind w:left="660" w:right="20"/>
        <w:spacing w:after="0" w:line="263" w:lineRule="auto"/>
        <w:rPr>
          <w:sz w:val="20"/>
          <w:szCs w:val="20"/>
          <w:color w:val="auto"/>
        </w:rPr>
      </w:pPr>
      <w:r>
        <w:rPr>
          <w:rFonts w:ascii="Arial" w:cs="Arial" w:eastAsia="Arial" w:hAnsi="Arial"/>
          <w:sz w:val="22"/>
          <w:szCs w:val="22"/>
          <w:color w:val="auto"/>
        </w:rPr>
        <w:t>hereof, except to the extent that such representations and warranties specifically refer to an earlier date, in which case they are true and correct as of such earlier date;</w:t>
      </w:r>
    </w:p>
    <w:p>
      <w:pPr>
        <w:spacing w:after="0" w:line="175" w:lineRule="exact"/>
        <w:rPr>
          <w:sz w:val="20"/>
          <w:szCs w:val="20"/>
          <w:color w:val="auto"/>
        </w:rPr>
      </w:pPr>
    </w:p>
    <w:p>
      <w:pPr>
        <w:jc w:val="both"/>
        <w:ind w:left="660" w:firstLine="645"/>
        <w:spacing w:after="0" w:line="302" w:lineRule="auto"/>
        <w:tabs>
          <w:tab w:leader="none" w:pos="2119"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Persons appearing as Guarantors on the signature pages to this Amendment constitute all Persons who are required to be Guarantors pursuant to the terms of the Credit Agreement and the other Loan Documents, including without limitation all Persons who became Material Subsidiaries or were otherwise required to become Guarantors after the Closing Date, and each of such Persons has become and remains a party to the Guaranty as a Guarantor;</w:t>
      </w:r>
    </w:p>
    <w:p>
      <w:pPr>
        <w:spacing w:after="0" w:line="142" w:lineRule="exact"/>
        <w:rPr>
          <w:rFonts w:ascii="Arial" w:cs="Arial" w:eastAsia="Arial" w:hAnsi="Arial"/>
          <w:sz w:val="19"/>
          <w:szCs w:val="19"/>
          <w:color w:val="auto"/>
        </w:rPr>
      </w:pPr>
    </w:p>
    <w:p>
      <w:pPr>
        <w:jc w:val="both"/>
        <w:ind w:left="660" w:firstLine="645"/>
        <w:spacing w:after="0" w:line="250" w:lineRule="auto"/>
        <w:tabs>
          <w:tab w:leader="none" w:pos="2106" w:val="left"/>
        </w:tabs>
        <w:numPr>
          <w:ilvl w:val="1"/>
          <w:numId w:val="214"/>
        </w:numPr>
        <w:rPr>
          <w:rFonts w:ascii="Arial" w:cs="Arial" w:eastAsia="Arial" w:hAnsi="Arial"/>
          <w:sz w:val="22"/>
          <w:szCs w:val="22"/>
          <w:color w:val="auto"/>
        </w:rPr>
      </w:pPr>
      <w:r>
        <w:rPr>
          <w:rFonts w:ascii="Arial" w:cs="Arial" w:eastAsia="Arial" w:hAnsi="Arial"/>
          <w:sz w:val="22"/>
          <w:szCs w:val="22"/>
          <w:color w:val="auto"/>
        </w:rPr>
        <w:t>This Amendment has been duly authorized, executed and delivered by the Borrowers and the Guarantors party hereto and constitutes a legal, valid and binding obligation of such parties, except as may be limited by general principles of equity or by the effect of any applicable bankruptcy, insolvency, reorganization, moratorium or similar law affecting creditors’ rights generally; and</w:t>
      </w:r>
    </w:p>
    <w:p>
      <w:pPr>
        <w:spacing w:after="0" w:line="188" w:lineRule="exact"/>
        <w:rPr>
          <w:rFonts w:ascii="Arial" w:cs="Arial" w:eastAsia="Arial" w:hAnsi="Arial"/>
          <w:sz w:val="22"/>
          <w:szCs w:val="22"/>
          <w:color w:val="auto"/>
        </w:rPr>
      </w:pPr>
    </w:p>
    <w:p>
      <w:pPr>
        <w:ind w:left="2120" w:hanging="815"/>
        <w:spacing w:after="0"/>
        <w:tabs>
          <w:tab w:leader="none" w:pos="212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19" w:lineRule="exact"/>
        <w:rPr>
          <w:rFonts w:ascii="Arial" w:cs="Arial" w:eastAsia="Arial" w:hAnsi="Arial"/>
          <w:sz w:val="22"/>
          <w:szCs w:val="22"/>
          <w:color w:val="auto"/>
        </w:rPr>
      </w:pPr>
    </w:p>
    <w:p>
      <w:pPr>
        <w:jc w:val="both"/>
        <w:ind w:firstLine="656"/>
        <w:spacing w:after="0" w:line="291" w:lineRule="auto"/>
        <w:tabs>
          <w:tab w:leader="none" w:pos="1095" w:val="left"/>
        </w:tabs>
        <w:numPr>
          <w:ilvl w:val="0"/>
          <w:numId w:val="21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is a Loan Document. This Amendment, together with the other Loan Documents (collectively, the “</w:t>
      </w:r>
      <w:r>
        <w:rPr>
          <w:rFonts w:ascii="Arial" w:cs="Arial" w:eastAsia="Arial" w:hAnsi="Arial"/>
          <w:sz w:val="19"/>
          <w:szCs w:val="19"/>
          <w:u w:val="single" w:color="auto"/>
          <w:color w:val="auto"/>
        </w:rPr>
        <w:t>Relevant Documents</w:t>
      </w:r>
      <w:r>
        <w:rPr>
          <w:rFonts w:ascii="Arial" w:cs="Arial" w:eastAsia="Arial" w:hAnsi="Arial"/>
          <w:sz w:val="19"/>
          <w:szCs w:val="19"/>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the Credit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2" w:right="239" w:bottom="1440" w:gutter="0" w:footer="0" w:header="0"/>
        </w:sectPr>
      </w:pPr>
    </w:p>
    <w:bookmarkStart w:id="194" w:name="page195"/>
    <w:bookmarkEnd w:id="194"/>
    <w:p>
      <w:pPr>
        <w:jc w:val="both"/>
        <w:ind w:firstLine="656"/>
        <w:spacing w:after="0" w:line="253" w:lineRule="auto"/>
        <w:tabs>
          <w:tab w:leader="none" w:pos="1459"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 xml:space="preserve">. The Borrowing Agent is hereby deemed to be in compliance with the notice provisions of (i)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2.05(a)</w:t>
      </w:r>
      <w:r>
        <w:rPr>
          <w:rFonts w:ascii="Arial" w:cs="Arial" w:eastAsia="Arial" w:hAnsi="Arial"/>
          <w:sz w:val="22"/>
          <w:szCs w:val="22"/>
          <w:color w:val="auto"/>
        </w:rPr>
        <w:t xml:space="preserve"> of the Fourth Amended Credit Agreement in connection with the Specified Prepayment and (ii) </w:t>
      </w:r>
      <w:r>
        <w:rPr>
          <w:rFonts w:ascii="Arial" w:cs="Arial" w:eastAsia="Arial" w:hAnsi="Arial"/>
          <w:sz w:val="22"/>
          <w:szCs w:val="22"/>
          <w:u w:val="single" w:color="auto"/>
          <w:color w:val="auto"/>
        </w:rPr>
        <w:t>Section 2.06(a)</w:t>
      </w:r>
      <w:r>
        <w:rPr>
          <w:rFonts w:ascii="Arial" w:cs="Arial" w:eastAsia="Arial" w:hAnsi="Arial"/>
          <w:sz w:val="22"/>
          <w:szCs w:val="22"/>
          <w:color w:val="auto"/>
        </w:rPr>
        <w:t xml:space="preserve"> of the Fourth Amended Credit Agreement in connection with the Specified Commitment Reduction.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Full Force and Effect of Amendment</w:t>
      </w:r>
      <w:r>
        <w:rPr>
          <w:rFonts w:ascii="Arial" w:cs="Arial" w:eastAsia="Arial" w:hAnsi="Arial"/>
          <w:sz w:val="22"/>
          <w:szCs w:val="22"/>
          <w:color w:val="auto"/>
        </w:rPr>
        <w:t>. Except as hereby specifically amended, modified or supplemented, the Credit Agreement and all other Loan Documents are hereby confirmed and ratified in all respects and shall be and remain in full force and effect according to their respective terms.</w:t>
      </w:r>
    </w:p>
    <w:p>
      <w:pPr>
        <w:spacing w:after="0" w:line="185" w:lineRule="exact"/>
        <w:rPr>
          <w:rFonts w:ascii="Arial" w:cs="Arial" w:eastAsia="Arial" w:hAnsi="Arial"/>
          <w:sz w:val="22"/>
          <w:szCs w:val="22"/>
          <w:color w:val="auto"/>
        </w:rPr>
      </w:pPr>
    </w:p>
    <w:p>
      <w:pPr>
        <w:jc w:val="both"/>
        <w:ind w:firstLine="656"/>
        <w:spacing w:after="0" w:line="302" w:lineRule="auto"/>
        <w:tabs>
          <w:tab w:leader="none" w:pos="1459"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142" w:lineRule="exact"/>
        <w:rPr>
          <w:rFonts w:ascii="Arial" w:cs="Arial" w:eastAsia="Arial" w:hAnsi="Arial"/>
          <w:sz w:val="19"/>
          <w:szCs w:val="19"/>
          <w:color w:val="auto"/>
        </w:rPr>
      </w:pPr>
    </w:p>
    <w:p>
      <w:pPr>
        <w:ind w:right="20" w:firstLine="656"/>
        <w:spacing w:after="0" w:line="263" w:lineRule="auto"/>
        <w:tabs>
          <w:tab w:leader="none" w:pos="1459"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in all respects be governed by, and construed in accordance with, the laws of the State of New York.</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5" w:lineRule="exact"/>
        <w:rPr>
          <w:rFonts w:ascii="Arial" w:cs="Arial" w:eastAsia="Arial" w:hAnsi="Arial"/>
          <w:sz w:val="22"/>
          <w:szCs w:val="22"/>
          <w:color w:val="auto"/>
        </w:rPr>
      </w:pPr>
    </w:p>
    <w:p>
      <w:pPr>
        <w:ind w:firstLine="656"/>
        <w:spacing w:after="0" w:line="263" w:lineRule="auto"/>
        <w:tabs>
          <w:tab w:leader="none" w:pos="1559"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All references in any of the Loan Documents to the “Credit Agreement” shall mean the Credit Agreement, as amended hereby.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Amendment shall be binding upon and inure to the benefit of Borrowers, the Administrative Agent, the Guarantors, the Lenders and their respective successors and assignees to the extent such assignees are permitted assignees as provided in </w:t>
      </w:r>
      <w:r>
        <w:rPr>
          <w:rFonts w:ascii="Arial" w:cs="Arial" w:eastAsia="Arial" w:hAnsi="Arial"/>
          <w:sz w:val="22"/>
          <w:szCs w:val="22"/>
          <w:u w:val="single" w:color="auto"/>
          <w:color w:val="auto"/>
        </w:rPr>
        <w:t>Section 10.06</w:t>
      </w:r>
      <w:r>
        <w:rPr>
          <w:rFonts w:ascii="Arial" w:cs="Arial" w:eastAsia="Arial" w:hAnsi="Arial"/>
          <w:sz w:val="22"/>
          <w:szCs w:val="22"/>
          <w:color w:val="auto"/>
        </w:rPr>
        <w:t xml:space="preserve"> of the Credit Agreement.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567"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Syndication Agent</w:t>
      </w:r>
      <w:r>
        <w:rPr>
          <w:rFonts w:ascii="Arial" w:cs="Arial" w:eastAsia="Arial" w:hAnsi="Arial"/>
          <w:sz w:val="22"/>
          <w:szCs w:val="22"/>
          <w:color w:val="auto"/>
        </w:rPr>
        <w:t xml:space="preserve">. In connection with this Amendment and the Credit Agreement, on and after the date hereof, and subject to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of the Credit Agreement, TD Bank, N.A. shall serve as a Co-Syndication Agent rather than a Co-Documentation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1" w:right="239" w:bottom="1440" w:gutter="0" w:footer="0" w:header="0"/>
        </w:sectPr>
      </w:pPr>
    </w:p>
    <w:bookmarkStart w:id="195" w:name="page196"/>
    <w:bookmarkEnd w:id="195"/>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instrument to be made,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officers as of the day and year first above written.</w:t>
      </w:r>
    </w:p>
    <w:p>
      <w:pPr>
        <w:spacing w:after="0" w:line="203"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BORROWERS</w:t>
      </w:r>
      <w:r>
        <w:rPr>
          <w:rFonts w:ascii="Arial" w:cs="Arial" w:eastAsia="Arial" w:hAnsi="Arial"/>
          <w:sz w:val="22"/>
          <w:szCs w:val="22"/>
          <w:b w:val="1"/>
          <w:bCs w:val="1"/>
          <w:color w:val="auto"/>
        </w:rPr>
        <w:t>:</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WORLD FUEL SERVICES CORPORATION</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WORLD FUEL SERVICES EUROPE, LTD.</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WORLD FUEL SERVICES (SINGAPORE) PTE LTD</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33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4 to Fourth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20"/>
          </w:cols>
          <w:pgMar w:left="240" w:top="625" w:right="239" w:bottom="1440" w:gutter="0" w:footer="0" w:header="0"/>
        </w:sectPr>
      </w:pPr>
    </w:p>
    <w:bookmarkStart w:id="196" w:name="page197"/>
    <w:bookmarkEnd w:id="196"/>
    <w:p>
      <w:pPr>
        <w:ind w:left="270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WORLD FUEL SERVICES CORPORATION</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WORLD FUEL SERVICES EUROPE, LTD.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jc w:val="right"/>
        <w:ind w:right="1279"/>
        <w:spacing w:after="0"/>
        <w:rPr>
          <w:sz w:val="20"/>
          <w:szCs w:val="20"/>
          <w:color w:val="auto"/>
        </w:rPr>
      </w:pPr>
      <w:r>
        <w:rPr>
          <w:rFonts w:ascii="Arial" w:cs="Arial" w:eastAsia="Arial" w:hAnsi="Arial"/>
          <w:sz w:val="22"/>
          <w:szCs w:val="22"/>
          <w:b w:val="1"/>
          <w:bCs w:val="1"/>
          <w:color w:val="auto"/>
        </w:rPr>
        <w:t>WORLD FUEL SERVICES (SINGAPORE) PTE LTD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197" w:name="page198"/>
    <w:bookmarkEnd w:id="197"/>
    <w:p>
      <w:pPr>
        <w:ind w:left="2700"/>
        <w:spacing w:after="0"/>
        <w:rPr>
          <w:sz w:val="20"/>
          <w:szCs w:val="20"/>
          <w:color w:val="auto"/>
        </w:rPr>
      </w:pPr>
      <w:r>
        <w:rPr>
          <w:rFonts w:ascii="Arial" w:cs="Arial" w:eastAsia="Arial" w:hAnsi="Arial"/>
          <w:sz w:val="22"/>
          <w:szCs w:val="22"/>
          <w:b w:val="1"/>
          <w:bCs w:val="1"/>
          <w:u w:val="single" w:color="auto"/>
          <w:color w:val="auto"/>
        </w:rPr>
        <w:t>DOMESTIC SUBSIDIARIES</w:t>
      </w:r>
      <w:r>
        <w:rPr>
          <w:rFonts w:ascii="Arial" w:cs="Arial" w:eastAsia="Arial" w:hAnsi="Arial"/>
          <w:sz w:val="22"/>
          <w:szCs w:val="22"/>
          <w:b w:val="1"/>
          <w:bCs w:val="1"/>
          <w:color w:val="auto"/>
        </w:rPr>
        <w:t>:</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ADVANCE PETROLEUM, LLC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ALTA FUELS, LLC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ALTA TRANSPORTATION, LLC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ASCENT AVIATION GROUP, INC.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ASSOCIATED PETROLEUM PRODUCTS, INC.</w:t>
      </w:r>
    </w:p>
    <w:p>
      <w:pPr>
        <w:spacing w:after="0" w:line="27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BASEOPS INTERNATIONAL, INC.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198" w:name="page199"/>
    <w:bookmarkEnd w:id="198"/>
    <w:p>
      <w:pPr>
        <w:ind w:left="2700"/>
        <w:spacing w:after="0"/>
        <w:rPr>
          <w:sz w:val="20"/>
          <w:szCs w:val="20"/>
          <w:color w:val="auto"/>
        </w:rPr>
      </w:pPr>
      <w:r>
        <w:rPr>
          <w:rFonts w:ascii="Arial" w:cs="Arial" w:eastAsia="Arial" w:hAnsi="Arial"/>
          <w:sz w:val="22"/>
          <w:szCs w:val="22"/>
          <w:b w:val="1"/>
          <w:bCs w:val="1"/>
          <w:color w:val="auto"/>
        </w:rPr>
        <w:t>COLT INTERNATIONAL, L.L.C.</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KROPP HOLDINGS, INC.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1"/>
          <w:szCs w:val="21"/>
          <w:b w:val="1"/>
          <w:bCs w:val="1"/>
          <w:color w:val="auto"/>
        </w:rPr>
        <w:t>MULTI SERVICE TECHNOLOGY SOLUTIONS, INC.</w:t>
      </w:r>
    </w:p>
    <w:p>
      <w:pPr>
        <w:spacing w:after="0" w:line="27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Brandon C. Spear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80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Brandon C. Spear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President</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PAPCO, INC.</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6">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THE HILLER GROUP INCORPORATED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WESTERN PETROLEUM COMPANY</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8">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199" w:name="page200"/>
    <w:bookmarkEnd w:id="199"/>
    <w:p>
      <w:pPr>
        <w:ind w:left="2700"/>
        <w:spacing w:after="0"/>
        <w:rPr>
          <w:sz w:val="20"/>
          <w:szCs w:val="20"/>
          <w:color w:val="auto"/>
        </w:rPr>
      </w:pPr>
      <w:r>
        <w:rPr>
          <w:rFonts w:ascii="Arial" w:cs="Arial" w:eastAsia="Arial" w:hAnsi="Arial"/>
          <w:sz w:val="22"/>
          <w:szCs w:val="22"/>
          <w:b w:val="1"/>
          <w:bCs w:val="1"/>
          <w:color w:val="auto"/>
        </w:rPr>
        <w:t>WORLD FUEL SERVICES COMPANY, LLC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9">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 and Treasurer</w:t>
      </w:r>
    </w:p>
    <w:p>
      <w:pPr>
        <w:spacing w:after="0" w:line="236" w:lineRule="exact"/>
        <w:rPr>
          <w:sz w:val="20"/>
          <w:szCs w:val="20"/>
          <w:color w:val="auto"/>
        </w:rPr>
      </w:pPr>
    </w:p>
    <w:p>
      <w:pPr>
        <w:ind w:left="2700"/>
        <w:spacing w:after="0" w:line="269" w:lineRule="auto"/>
        <w:rPr>
          <w:sz w:val="20"/>
          <w:szCs w:val="20"/>
          <w:color w:val="auto"/>
        </w:rPr>
      </w:pPr>
      <w:r>
        <w:rPr>
          <w:rFonts w:ascii="Arial" w:cs="Arial" w:eastAsia="Arial" w:hAnsi="Arial"/>
          <w:sz w:val="22"/>
          <w:szCs w:val="22"/>
          <w:b w:val="1"/>
          <w:bCs w:val="1"/>
          <w:color w:val="auto"/>
        </w:rPr>
        <w:t>WORLD FUEL SERVICES CORPORATE AVIATION SUPPORT SERVICES, INC.</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0">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WORLD FUEL SERVICES, INC.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1">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Vice President and Treasurer</w:t>
      </w:r>
    </w:p>
    <w:p>
      <w:pPr>
        <w:spacing w:after="0" w:line="200" w:lineRule="exact"/>
        <w:rPr>
          <w:sz w:val="20"/>
          <w:szCs w:val="20"/>
          <w:color w:val="auto"/>
        </w:rPr>
      </w:pPr>
    </w:p>
    <w:p>
      <w:pPr>
        <w:spacing w:after="0" w:line="27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60"/>
          </w:cols>
          <w:pgMar w:left="1440" w:top="625" w:right="399" w:bottom="1440" w:gutter="0" w:footer="0" w:header="0"/>
        </w:sectPr>
      </w:pPr>
    </w:p>
    <w:bookmarkStart w:id="200" w:name="page201"/>
    <w:bookmarkEnd w:id="200"/>
    <w:p>
      <w:pPr>
        <w:ind w:left="2700"/>
        <w:spacing w:after="0"/>
        <w:rPr>
          <w:sz w:val="20"/>
          <w:szCs w:val="20"/>
          <w:color w:val="auto"/>
        </w:rPr>
      </w:pPr>
      <w:r>
        <w:rPr>
          <w:rFonts w:ascii="Arial" w:cs="Arial" w:eastAsia="Arial" w:hAnsi="Arial"/>
          <w:sz w:val="22"/>
          <w:szCs w:val="22"/>
          <w:b w:val="1"/>
          <w:bCs w:val="1"/>
          <w:u w:val="single" w:color="auto"/>
          <w:color w:val="auto"/>
        </w:rPr>
        <w:t>FOREIGN SUBSIDIARIES</w:t>
      </w:r>
      <w:r>
        <w:rPr>
          <w:rFonts w:ascii="Arial" w:cs="Arial" w:eastAsia="Arial" w:hAnsi="Arial"/>
          <w:sz w:val="22"/>
          <w:szCs w:val="22"/>
          <w:b w:val="1"/>
          <w:bCs w:val="1"/>
          <w:color w:val="auto"/>
        </w:rPr>
        <w:t>:</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FALMOUTH PETROLEUM LIMITED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2">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GIB OIL (UK) LIMITED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798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Paul T. Vian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HENTY OIL LIMITED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3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KINECT ENERGY AS</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J. Crosby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16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6">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Paul T. Vian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KINECT ENERGY GREEN SERVICES AS</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Michael J. Crosby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J. Crosby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Maria Charash Koundina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878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8">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Maria Charash Koundina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201" w:name="page202"/>
    <w:bookmarkEnd w:id="201"/>
    <w:p>
      <w:pPr>
        <w:ind w:left="2700"/>
        <w:spacing w:after="0"/>
        <w:rPr>
          <w:sz w:val="20"/>
          <w:szCs w:val="20"/>
          <w:color w:val="auto"/>
        </w:rPr>
      </w:pPr>
      <w:r>
        <w:rPr>
          <w:rFonts w:ascii="Arial" w:cs="Arial" w:eastAsia="Arial" w:hAnsi="Arial"/>
          <w:sz w:val="22"/>
          <w:szCs w:val="22"/>
          <w:b w:val="1"/>
          <w:bCs w:val="1"/>
          <w:color w:val="auto"/>
        </w:rPr>
        <w:t>MS EUROPE B.V.</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MUILTI SERVICE HOLDING B.V.,</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Its Sole Managing Director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Martha Salinas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64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Martha Salinas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NORDIC CAMP SUPPLY APS</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Richard 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697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Richard D. McMichael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NORDIC CAMP SUPPLY, B.V.</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Edwin Kuiper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11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Edwin Kuiper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36" w:lineRule="exact"/>
        <w:rPr>
          <w:sz w:val="20"/>
          <w:szCs w:val="20"/>
          <w:color w:val="auto"/>
        </w:rPr>
      </w:pPr>
    </w:p>
    <w:p>
      <w:pPr>
        <w:jc w:val="right"/>
        <w:ind w:right="839"/>
        <w:spacing w:after="0"/>
        <w:rPr>
          <w:sz w:val="20"/>
          <w:szCs w:val="20"/>
          <w:color w:val="auto"/>
        </w:rPr>
      </w:pPr>
      <w:r>
        <w:rPr>
          <w:rFonts w:ascii="Arial" w:cs="Arial" w:eastAsia="Arial" w:hAnsi="Arial"/>
          <w:sz w:val="22"/>
          <w:szCs w:val="22"/>
          <w:b w:val="1"/>
          <w:bCs w:val="1"/>
          <w:color w:val="auto"/>
        </w:rPr>
        <w:t>TOBRAS DISTRIBUIDORA DE COMBUSTÍVEIS LTDA.</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Avel de Silva Leitao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59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15595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Abel da Silva Leitao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TRAMP OIL (BRASIL) LTDA.</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Marcio de Silva Minezes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76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Marcio de Silva Minezes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Manager</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WFL (UK) LIMITED</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Paul T. Vian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798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Paul T. Vian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202" w:name="page203"/>
    <w:bookmarkEnd w:id="202"/>
    <w:p>
      <w:pPr>
        <w:ind w:left="2700"/>
        <w:spacing w:after="0"/>
        <w:rPr>
          <w:sz w:val="20"/>
          <w:szCs w:val="20"/>
          <w:color w:val="auto"/>
        </w:rPr>
      </w:pPr>
      <w:r>
        <w:rPr>
          <w:rFonts w:ascii="Arial" w:cs="Arial" w:eastAsia="Arial" w:hAnsi="Arial"/>
          <w:sz w:val="22"/>
          <w:szCs w:val="22"/>
          <w:b w:val="1"/>
          <w:bCs w:val="1"/>
          <w:color w:val="auto"/>
        </w:rPr>
        <w:t>WORLD FUEL SERVICES CANADA, ULC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712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 and Treasurer</w:t>
      </w:r>
    </w:p>
    <w:p>
      <w:pPr>
        <w:spacing w:after="0" w:line="236" w:lineRule="exact"/>
        <w:rPr>
          <w:sz w:val="20"/>
          <w:szCs w:val="20"/>
          <w:color w:val="auto"/>
        </w:rPr>
      </w:pPr>
    </w:p>
    <w:p>
      <w:pPr>
        <w:jc w:val="right"/>
        <w:ind w:right="859"/>
        <w:spacing w:after="0"/>
        <w:rPr>
          <w:sz w:val="20"/>
          <w:szCs w:val="20"/>
          <w:color w:val="auto"/>
        </w:rPr>
      </w:pPr>
      <w:r>
        <w:rPr>
          <w:rFonts w:ascii="Arial" w:cs="Arial" w:eastAsia="Arial" w:hAnsi="Arial"/>
          <w:sz w:val="22"/>
          <w:szCs w:val="22"/>
          <w:b w:val="1"/>
          <w:bCs w:val="1"/>
          <w:color w:val="auto"/>
        </w:rPr>
        <w:t>WORLD FUEL SERVICES MÉXICO, S. DE R.L. DE C.V.</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Adrienne B. Bolan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71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Adrienne B. Bolan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Attorney-in-fact</w:t>
      </w: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WORLD FUEL SERVICES TRADING DMCC</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Riyan Qirbi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531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9531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Riyan Qirbi</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General Manager and Director</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6" w:right="1440" w:bottom="1440" w:gutter="0" w:footer="0" w:header="0"/>
        </w:sectPr>
      </w:pPr>
    </w:p>
    <w:bookmarkStart w:id="203" w:name="page204"/>
    <w:bookmarkEnd w:id="203"/>
    <w:p>
      <w:pPr>
        <w:jc w:val="right"/>
        <w:ind w:right="1479"/>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32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43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Felicia Brinson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Officer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625"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color w:val="auto"/>
        </w:rPr>
        <w:t>BANK OF AMERICA, N.A., SINGAPORE BRANCH, as Singapore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Wynnie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047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Wynnie Lam</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00"/>
          </w:cols>
          <w:pgMar w:left="1440" w:top="631" w:right="1159" w:bottom="1440" w:gutter="0" w:footer="0" w:header="0"/>
        </w:sectPr>
      </w:pPr>
    </w:p>
    <w:bookmarkStart w:id="205" w:name="page206"/>
    <w:bookmarkEnd w:id="205"/>
    <w:p>
      <w:pPr>
        <w:ind w:left="2700"/>
        <w:spacing w:after="0"/>
        <w:rPr>
          <w:sz w:val="20"/>
          <w:szCs w:val="20"/>
          <w:color w:val="auto"/>
        </w:rPr>
      </w:pPr>
      <w:r>
        <w:rPr>
          <w:rFonts w:ascii="Arial" w:cs="Arial" w:eastAsia="Arial" w:hAnsi="Arial"/>
          <w:sz w:val="22"/>
          <w:szCs w:val="22"/>
          <w:b w:val="1"/>
          <w:bCs w:val="1"/>
          <w:u w:val="single" w:color="auto"/>
          <w:color w:val="auto"/>
        </w:rPr>
        <w:t>LENDERS</w:t>
      </w:r>
      <w:r>
        <w:rPr>
          <w:rFonts w:ascii="Arial" w:cs="Arial" w:eastAsia="Arial" w:hAnsi="Arial"/>
          <w:sz w:val="22"/>
          <w:szCs w:val="22"/>
          <w:b w:val="1"/>
          <w:bCs w:val="1"/>
          <w:color w:val="auto"/>
        </w:rPr>
        <w:t>:</w:t>
      </w:r>
    </w:p>
    <w:p>
      <w:pPr>
        <w:spacing w:after="0" w:line="260" w:lineRule="exact"/>
        <w:rPr>
          <w:sz w:val="20"/>
          <w:szCs w:val="20"/>
          <w:color w:val="auto"/>
        </w:rPr>
      </w:pPr>
    </w:p>
    <w:p>
      <w:pPr>
        <w:ind w:left="2700"/>
        <w:spacing w:after="0" w:line="269" w:lineRule="auto"/>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a Revolving Lender, Domestic Term Loan Lender,</w:t>
      </w:r>
      <w:r>
        <w:rPr>
          <w:rFonts w:ascii="Arial" w:cs="Arial" w:eastAsia="Arial" w:hAnsi="Arial"/>
          <w:sz w:val="22"/>
          <w:szCs w:val="22"/>
          <w:b w:val="1"/>
          <w:bCs w:val="1"/>
          <w:color w:val="auto"/>
        </w:rPr>
        <w:t xml:space="preserve"> </w:t>
      </w:r>
      <w:r>
        <w:rPr>
          <w:rFonts w:ascii="Arial" w:cs="Arial" w:eastAsia="Arial" w:hAnsi="Arial"/>
          <w:sz w:val="22"/>
          <w:szCs w:val="22"/>
          <w:color w:val="auto"/>
        </w:rPr>
        <w:t>Swing Line Lender and L/C-BA Issuer</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Julia Rocawich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430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Julia Rocawich</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625" w:right="439" w:bottom="1440" w:gutter="0" w:footer="0" w:header="0"/>
        </w:sectPr>
      </w:pPr>
    </w:p>
    <w:bookmarkStart w:id="206" w:name="page207"/>
    <w:bookmarkEnd w:id="206"/>
    <w:p>
      <w:pPr>
        <w:ind w:left="2700"/>
        <w:spacing w:after="0" w:line="263" w:lineRule="auto"/>
        <w:rPr>
          <w:sz w:val="20"/>
          <w:szCs w:val="20"/>
          <w:color w:val="auto"/>
        </w:rPr>
      </w:pPr>
      <w:r>
        <w:rPr>
          <w:rFonts w:ascii="Arial" w:cs="Arial" w:eastAsia="Arial" w:hAnsi="Arial"/>
          <w:sz w:val="22"/>
          <w:szCs w:val="22"/>
          <w:color w:val="auto"/>
        </w:rPr>
        <w:t>BANK OF AMERICA, N.A., SINGAPORE BRANCH, as Singapore Term Loan Lender</w:t>
      </w:r>
    </w:p>
    <w:p>
      <w:pPr>
        <w:spacing w:after="0" w:line="200" w:lineRule="exact"/>
        <w:rPr>
          <w:sz w:val="20"/>
          <w:szCs w:val="20"/>
          <w:color w:val="auto"/>
        </w:rPr>
      </w:pPr>
    </w:p>
    <w:p>
      <w:pPr>
        <w:spacing w:after="0" w:line="38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Chero Mui Leng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16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121602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Chero Mui Leng</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 Wholesale Credit</w:t>
      </w:r>
    </w:p>
    <w:p>
      <w:pPr>
        <w:spacing w:after="0" w:line="200" w:lineRule="exact"/>
        <w:rPr>
          <w:sz w:val="20"/>
          <w:szCs w:val="20"/>
          <w:color w:val="auto"/>
        </w:rPr>
      </w:pPr>
    </w:p>
    <w:p>
      <w:pPr>
        <w:spacing w:after="0" w:line="279"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20"/>
          </w:cols>
          <w:pgMar w:left="1440" w:top="631" w:right="739" w:bottom="1440" w:gutter="0" w:footer="0" w:header="0"/>
        </w:sectPr>
      </w:pPr>
    </w:p>
    <w:bookmarkStart w:id="207" w:name="page208"/>
    <w:bookmarkEnd w:id="207"/>
    <w:p>
      <w:pPr>
        <w:ind w:left="2700"/>
        <w:spacing w:after="0"/>
        <w:rPr>
          <w:sz w:val="20"/>
          <w:szCs w:val="20"/>
          <w:color w:val="auto"/>
        </w:rPr>
      </w:pPr>
      <w:r>
        <w:rPr>
          <w:rFonts w:ascii="Arial" w:cs="Arial" w:eastAsia="Arial" w:hAnsi="Arial"/>
          <w:sz w:val="22"/>
          <w:szCs w:val="22"/>
          <w:color w:val="auto"/>
        </w:rPr>
        <w:t>HSBC BANK USA,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as a Revolving Lender, Domestic Term Loan Lender and L/C-BA Issuer</w:t>
      </w:r>
    </w:p>
    <w:p>
      <w:pPr>
        <w:spacing w:after="0" w:line="200" w:lineRule="exact"/>
        <w:rPr>
          <w:sz w:val="20"/>
          <w:szCs w:val="20"/>
          <w:color w:val="auto"/>
        </w:rPr>
      </w:pPr>
    </w:p>
    <w:p>
      <w:pPr>
        <w:spacing w:after="0" w:line="3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Peter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8610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Peter Hart</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996" w:right="1440" w:bottom="1440" w:gutter="0" w:footer="0" w:header="0"/>
        </w:sectPr>
      </w:pPr>
    </w:p>
    <w:bookmarkStart w:id="208" w:name="page209"/>
    <w:bookmarkEnd w:id="208"/>
    <w:p>
      <w:pPr>
        <w:ind w:left="2700" w:right="59"/>
        <w:spacing w:after="0" w:line="263" w:lineRule="auto"/>
        <w:rPr>
          <w:sz w:val="20"/>
          <w:szCs w:val="20"/>
          <w:color w:val="auto"/>
        </w:rPr>
      </w:pPr>
      <w:r>
        <w:rPr>
          <w:rFonts w:ascii="Arial" w:cs="Arial" w:eastAsia="Arial" w:hAnsi="Arial"/>
          <w:sz w:val="22"/>
          <w:szCs w:val="22"/>
          <w:color w:val="auto"/>
        </w:rPr>
        <w:t>HONGKONG &amp; SHANGHAI BANKING CORPORATION LIMITED, SINGAPORE, as a Singapore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Alan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052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10052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Alan Turner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 and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Head of Commercial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037" w:right="1440" w:bottom="1440" w:gutter="0" w:footer="0" w:header="0"/>
        </w:sectPr>
      </w:pPr>
    </w:p>
    <w:bookmarkStart w:id="209" w:name="page210"/>
    <w:bookmarkEnd w:id="209"/>
    <w:p>
      <w:pPr>
        <w:ind w:left="2700"/>
        <w:spacing w:after="0"/>
        <w:rPr>
          <w:sz w:val="20"/>
          <w:szCs w:val="20"/>
          <w:color w:val="auto"/>
        </w:rPr>
      </w:pPr>
      <w:r>
        <w:rPr>
          <w:rFonts w:ascii="Arial" w:cs="Arial" w:eastAsia="Arial" w:hAnsi="Arial"/>
          <w:sz w:val="22"/>
          <w:szCs w:val="22"/>
          <w:color w:val="auto"/>
        </w:rPr>
        <w:t>TD BANK, N.A., as a Revolving Lender and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Vijay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975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Vijay Prasad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037" w:right="1440" w:bottom="1440" w:gutter="0" w:footer="0" w:header="0"/>
        </w:sectPr>
      </w:pPr>
    </w:p>
    <w:bookmarkStart w:id="210" w:name="page211"/>
    <w:bookmarkEnd w:id="210"/>
    <w:p>
      <w:pPr>
        <w:ind w:left="2700"/>
        <w:spacing w:after="0" w:line="263" w:lineRule="auto"/>
        <w:rPr>
          <w:sz w:val="20"/>
          <w:szCs w:val="20"/>
          <w:color w:val="auto"/>
        </w:rPr>
      </w:pPr>
      <w:r>
        <w:rPr>
          <w:rFonts w:ascii="Arial" w:cs="Arial" w:eastAsia="Arial" w:hAnsi="Arial"/>
          <w:sz w:val="22"/>
          <w:szCs w:val="22"/>
          <w:color w:val="auto"/>
        </w:rPr>
        <w:t>WELLS FARGO BANK, NATIONAL ASSOCIATION,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Gregory 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8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Gregory Roll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40"/>
          </w:cols>
          <w:pgMar w:left="1440" w:top="1036" w:right="519" w:bottom="1440" w:gutter="0" w:footer="0" w:header="0"/>
        </w:sectPr>
      </w:pPr>
    </w:p>
    <w:bookmarkStart w:id="211" w:name="page212"/>
    <w:bookmarkEnd w:id="211"/>
    <w:p>
      <w:pPr>
        <w:ind w:left="2700"/>
        <w:spacing w:after="0"/>
        <w:rPr>
          <w:sz w:val="20"/>
          <w:szCs w:val="20"/>
          <w:color w:val="auto"/>
        </w:rPr>
      </w:pPr>
      <w:r>
        <w:rPr>
          <w:rFonts w:ascii="Arial" w:cs="Arial" w:eastAsia="Arial" w:hAnsi="Arial"/>
          <w:sz w:val="22"/>
          <w:szCs w:val="22"/>
          <w:color w:val="auto"/>
        </w:rPr>
        <w:t>CITIBANK, N.A., as a Revolving Lender and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Domestic Term Loan Lender</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56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Millie Schild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036" w:right="1440" w:bottom="1440" w:gutter="0" w:footer="0" w:header="0"/>
        </w:sectPr>
      </w:pPr>
    </w:p>
    <w:bookmarkStart w:id="212" w:name="page213"/>
    <w:bookmarkEnd w:id="212"/>
    <w:p>
      <w:pPr>
        <w:ind w:left="2700"/>
        <w:spacing w:after="0"/>
        <w:rPr>
          <w:sz w:val="20"/>
          <w:szCs w:val="20"/>
          <w:color w:val="auto"/>
        </w:rPr>
      </w:pPr>
      <w:r>
        <w:rPr>
          <w:rFonts w:ascii="Arial" w:cs="Arial" w:eastAsia="Arial" w:hAnsi="Arial"/>
          <w:sz w:val="19"/>
          <w:szCs w:val="19"/>
          <w:color w:val="auto"/>
        </w:rPr>
        <w:t>CITIBANK, N.A. SINGAPORE BRANCH, as a Singapore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Millie Schild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17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Millie Schild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20"/>
          </w:cols>
          <w:pgMar w:left="1440" w:top="1037" w:right="939" w:bottom="1440" w:gutter="0" w:footer="0" w:header="0"/>
        </w:sectPr>
      </w:pPr>
    </w:p>
    <w:bookmarkStart w:id="213" w:name="page214"/>
    <w:bookmarkEnd w:id="213"/>
    <w:p>
      <w:pPr>
        <w:ind w:left="2700"/>
        <w:spacing w:after="0" w:line="263" w:lineRule="auto"/>
        <w:rPr>
          <w:sz w:val="20"/>
          <w:szCs w:val="20"/>
          <w:color w:val="auto"/>
        </w:rPr>
      </w:pPr>
      <w:r>
        <w:rPr>
          <w:rFonts w:ascii="Arial" w:cs="Arial" w:eastAsia="Arial" w:hAnsi="Arial"/>
          <w:sz w:val="22"/>
          <w:szCs w:val="22"/>
          <w:color w:val="auto"/>
        </w:rPr>
        <w:t>JPMORGAN CHASE BANK, N.A., as a Revolving Lender and Domestic Term Loan Lender</w:t>
      </w:r>
    </w:p>
    <w:p>
      <w:pPr>
        <w:spacing w:after="0" w:line="200" w:lineRule="exact"/>
        <w:rPr>
          <w:sz w:val="20"/>
          <w:szCs w:val="20"/>
          <w:color w:val="auto"/>
        </w:rPr>
      </w:pPr>
    </w:p>
    <w:p>
      <w:pPr>
        <w:spacing w:after="0" w:line="2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John A. Horst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67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John A. Horst</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1037" w:right="319" w:bottom="1440" w:gutter="0" w:footer="0" w:header="0"/>
        </w:sectPr>
      </w:pPr>
    </w:p>
    <w:bookmarkStart w:id="214" w:name="page215"/>
    <w:bookmarkEnd w:id="214"/>
    <w:p>
      <w:pPr>
        <w:ind w:left="2700"/>
        <w:spacing w:after="0"/>
        <w:rPr>
          <w:sz w:val="20"/>
          <w:szCs w:val="20"/>
          <w:color w:val="auto"/>
        </w:rPr>
      </w:pPr>
      <w:r>
        <w:rPr>
          <w:rFonts w:ascii="Arial" w:cs="Arial" w:eastAsia="Arial" w:hAnsi="Arial"/>
          <w:sz w:val="19"/>
          <w:szCs w:val="19"/>
          <w:b w:val="1"/>
          <w:bCs w:val="1"/>
          <w:color w:val="auto"/>
        </w:rPr>
        <w:t>MIZUHO BANK, N.A.</w:t>
      </w:r>
      <w:r>
        <w:rPr>
          <w:rFonts w:ascii="Arial" w:cs="Arial" w:eastAsia="Arial" w:hAnsi="Arial"/>
          <w:sz w:val="19"/>
          <w:szCs w:val="19"/>
          <w:color w:val="auto"/>
        </w:rPr>
        <w:t>, as a Revolving Lender and Domestic Term Loan Lender</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798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Donna de Magistris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7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800"/>
          </w:cols>
          <w:pgMar w:left="1440" w:top="882" w:right="659" w:bottom="1440" w:gutter="0" w:footer="0" w:header="0"/>
        </w:sectPr>
      </w:pPr>
    </w:p>
    <w:bookmarkStart w:id="215" w:name="page216"/>
    <w:bookmarkEnd w:id="215"/>
    <w:p>
      <w:pPr>
        <w:ind w:left="2700"/>
        <w:spacing w:after="0" w:line="263" w:lineRule="auto"/>
        <w:rPr>
          <w:sz w:val="20"/>
          <w:szCs w:val="20"/>
          <w:color w:val="auto"/>
        </w:rPr>
      </w:pPr>
      <w:r>
        <w:rPr>
          <w:rFonts w:ascii="Arial" w:cs="Arial" w:eastAsia="Arial" w:hAnsi="Arial"/>
          <w:sz w:val="22"/>
          <w:szCs w:val="22"/>
          <w:color w:val="auto"/>
        </w:rPr>
        <w:t>SUMITOMO MITSUI BANKING CORPORATION,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836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James D. Weinstein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79"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20"/>
          </w:cols>
          <w:pgMar w:left="1440" w:top="1036" w:right="739" w:bottom="1440" w:gutter="0" w:footer="0" w:header="0"/>
        </w:sectPr>
      </w:pPr>
    </w:p>
    <w:bookmarkStart w:id="216" w:name="page217"/>
    <w:bookmarkEnd w:id="216"/>
    <w:p>
      <w:pPr>
        <w:ind w:left="2700"/>
        <w:spacing w:after="0" w:line="263" w:lineRule="auto"/>
        <w:rPr>
          <w:sz w:val="20"/>
          <w:szCs w:val="20"/>
          <w:color w:val="auto"/>
        </w:rPr>
      </w:pPr>
      <w:r>
        <w:rPr>
          <w:rFonts w:ascii="Arial" w:cs="Arial" w:eastAsia="Arial" w:hAnsi="Arial"/>
          <w:sz w:val="22"/>
          <w:szCs w:val="22"/>
          <w:color w:val="auto"/>
        </w:rPr>
        <w:t>PNC BANK, NATIONAL ASSOCIATION,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James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-17780</wp:posOffset>
            </wp:positionV>
            <wp:extent cx="10706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107061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James Cullen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AVP</w:t>
      </w:r>
    </w:p>
    <w:p>
      <w:pPr>
        <w:spacing w:after="0" w:line="200" w:lineRule="exact"/>
        <w:rPr>
          <w:sz w:val="20"/>
          <w:szCs w:val="20"/>
          <w:color w:val="auto"/>
        </w:rPr>
      </w:pPr>
    </w:p>
    <w:p>
      <w:pPr>
        <w:spacing w:after="0" w:line="279"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60"/>
          </w:cols>
          <w:pgMar w:left="1440" w:top="1037" w:right="699" w:bottom="1440" w:gutter="0" w:footer="0" w:header="0"/>
        </w:sectPr>
      </w:pPr>
    </w:p>
    <w:bookmarkStart w:id="217" w:name="page218"/>
    <w:bookmarkEnd w:id="217"/>
    <w:p>
      <w:pPr>
        <w:ind w:left="2700"/>
        <w:spacing w:after="0" w:line="263" w:lineRule="auto"/>
        <w:rPr>
          <w:sz w:val="20"/>
          <w:szCs w:val="20"/>
          <w:color w:val="auto"/>
        </w:rPr>
      </w:pPr>
      <w:r>
        <w:rPr>
          <w:rFonts w:ascii="Arial" w:cs="Arial" w:eastAsia="Arial" w:hAnsi="Arial"/>
          <w:sz w:val="22"/>
          <w:szCs w:val="22"/>
          <w:color w:val="auto"/>
        </w:rPr>
        <w:t>CREDIT SUISSE AG, Cayman Islands Branch,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505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150558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Mikhail Faybusovich</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Christopher Zybrick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179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14179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Zybrick</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7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00"/>
          </w:cols>
          <w:pgMar w:left="1440" w:top="1037" w:right="359" w:bottom="1440" w:gutter="0" w:footer="0" w:header="0"/>
        </w:sectPr>
      </w:pPr>
    </w:p>
    <w:bookmarkStart w:id="218" w:name="page219"/>
    <w:bookmarkEnd w:id="218"/>
    <w:p>
      <w:pPr>
        <w:ind w:left="2700"/>
        <w:spacing w:after="0" w:line="263" w:lineRule="auto"/>
        <w:rPr>
          <w:sz w:val="20"/>
          <w:szCs w:val="20"/>
          <w:color w:val="auto"/>
        </w:rPr>
      </w:pPr>
      <w:r>
        <w:rPr>
          <w:rFonts w:ascii="Arial" w:cs="Arial" w:eastAsia="Arial" w:hAnsi="Arial"/>
          <w:sz w:val="22"/>
          <w:szCs w:val="22"/>
          <w:color w:val="auto"/>
        </w:rPr>
        <w:t>BRANCH BANKING AND TRUST COMPANY,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Melinda de la Vegas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17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Melinda de la Vegas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20"/>
          </w:cols>
          <w:pgMar w:left="1440" w:top="1036" w:right="1039" w:bottom="1440" w:gutter="0" w:footer="0" w:header="0"/>
        </w:sectPr>
      </w:pPr>
    </w:p>
    <w:bookmarkStart w:id="219" w:name="page220"/>
    <w:bookmarkEnd w:id="219"/>
    <w:p>
      <w:pPr>
        <w:ind w:left="2700"/>
        <w:spacing w:after="0" w:line="263" w:lineRule="auto"/>
        <w:rPr>
          <w:sz w:val="20"/>
          <w:szCs w:val="20"/>
          <w:color w:val="auto"/>
        </w:rPr>
      </w:pPr>
      <w:r>
        <w:rPr>
          <w:rFonts w:ascii="Arial" w:cs="Arial" w:eastAsia="Arial" w:hAnsi="Arial"/>
          <w:sz w:val="22"/>
          <w:szCs w:val="22"/>
          <w:color w:val="auto"/>
        </w:rPr>
        <w:t>THE BANK OF TOKYO MITSUBISHI UFJ, LTD.,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Richard J. Wernli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617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Richard J. Wernli</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7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20"/>
          </w:cols>
          <w:pgMar w:left="1440" w:top="1037" w:right="839" w:bottom="1440" w:gutter="0" w:footer="0" w:header="0"/>
        </w:sectPr>
      </w:pPr>
    </w:p>
    <w:bookmarkStart w:id="220" w:name="page221"/>
    <w:bookmarkEnd w:id="220"/>
    <w:p>
      <w:pPr>
        <w:ind w:left="2700"/>
        <w:spacing w:after="0" w:line="263" w:lineRule="auto"/>
        <w:rPr>
          <w:sz w:val="20"/>
          <w:szCs w:val="20"/>
          <w:color w:val="auto"/>
        </w:rPr>
      </w:pPr>
      <w:r>
        <w:rPr>
          <w:rFonts w:ascii="Arial" w:cs="Arial" w:eastAsia="Arial" w:hAnsi="Arial"/>
          <w:sz w:val="22"/>
          <w:szCs w:val="22"/>
          <w:color w:val="auto"/>
        </w:rPr>
        <w:t>STANDARD CHARTERED BANK,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Giancarlo Braccia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95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Giancarlo Braccia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6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80"/>
          </w:cols>
          <w:pgMar w:left="1440" w:top="1036" w:right="279" w:bottom="1440" w:gutter="0" w:footer="0" w:header="0"/>
        </w:sectPr>
      </w:pPr>
    </w:p>
    <w:bookmarkStart w:id="221" w:name="page222"/>
    <w:bookmarkEnd w:id="221"/>
    <w:p>
      <w:pPr>
        <w:ind w:left="2700"/>
        <w:spacing w:after="0"/>
        <w:rPr>
          <w:sz w:val="20"/>
          <w:szCs w:val="20"/>
          <w:color w:val="auto"/>
        </w:rPr>
      </w:pPr>
      <w:r>
        <w:rPr>
          <w:rFonts w:ascii="Arial" w:cs="Arial" w:eastAsia="Arial" w:hAnsi="Arial"/>
          <w:sz w:val="19"/>
          <w:szCs w:val="19"/>
          <w:color w:val="auto"/>
        </w:rPr>
        <w:t>BANKUNITED N.A., as a Revolving Lender and Domestic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Jose R. Valdes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322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Jose R. Valdes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EVP, Managing Director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(on behalf of Chuck Klenk)</w:t>
      </w:r>
    </w:p>
    <w:p>
      <w:pPr>
        <w:spacing w:after="0" w:line="200" w:lineRule="exact"/>
        <w:rPr>
          <w:sz w:val="20"/>
          <w:szCs w:val="20"/>
          <w:color w:val="auto"/>
        </w:rPr>
      </w:pP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60"/>
          </w:cols>
          <w:pgMar w:left="1440" w:top="1037" w:right="89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color w:val="auto"/>
        </w:rPr>
        <w:t>REGIONS BANK, as a Revolving Lender and Domestic Term Loan Lender</w:t>
      </w:r>
    </w:p>
    <w:p>
      <w:pPr>
        <w:spacing w:after="0" w:line="200" w:lineRule="exact"/>
        <w:rPr>
          <w:sz w:val="20"/>
          <w:szCs w:val="20"/>
          <w:color w:val="auto"/>
        </w:rPr>
      </w:pPr>
    </w:p>
    <w:p>
      <w:pPr>
        <w:spacing w:after="0" w:line="3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Joe K. Dancy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439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Joe K. Dancy</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280"/>
          </w:cols>
          <w:pgMar w:left="1440" w:top="1037" w:right="1179" w:bottom="1440" w:gutter="0" w:footer="0" w:header="0"/>
        </w:sectPr>
      </w:pPr>
    </w:p>
    <w:bookmarkStart w:id="223" w:name="page224"/>
    <w:bookmarkEnd w:id="223"/>
    <w:p>
      <w:pPr>
        <w:ind w:left="2700"/>
        <w:spacing w:after="0"/>
        <w:rPr>
          <w:sz w:val="20"/>
          <w:szCs w:val="20"/>
          <w:color w:val="auto"/>
        </w:rPr>
      </w:pPr>
      <w:r>
        <w:rPr>
          <w:rFonts w:ascii="Arial" w:cs="Arial" w:eastAsia="Arial" w:hAnsi="Arial"/>
          <w:sz w:val="19"/>
          <w:szCs w:val="19"/>
          <w:b w:val="1"/>
          <w:bCs w:val="1"/>
          <w:color w:val="auto"/>
        </w:rPr>
        <w:t xml:space="preserve">COMERICA BANK, </w:t>
      </w:r>
      <w:r>
        <w:rPr>
          <w:rFonts w:ascii="Arial" w:cs="Arial" w:eastAsia="Arial" w:hAnsi="Arial"/>
          <w:sz w:val="19"/>
          <w:szCs w:val="19"/>
          <w:color w:val="auto"/>
        </w:rPr>
        <w:t>as a Revolving Lender and Domestic Term Loan Lender</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Gerald R. Finney,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357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14357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Gerald R. Finney, Jr.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80"/>
          </w:cols>
          <w:pgMar w:left="1440" w:top="1031" w:right="879" w:bottom="1440" w:gutter="0" w:footer="0" w:header="0"/>
        </w:sectPr>
      </w:pPr>
    </w:p>
    <w:bookmarkStart w:id="224" w:name="page225"/>
    <w:bookmarkEnd w:id="224"/>
    <w:p>
      <w:pPr>
        <w:ind w:left="2700"/>
        <w:spacing w:after="0" w:line="263" w:lineRule="auto"/>
        <w:rPr>
          <w:sz w:val="20"/>
          <w:szCs w:val="20"/>
          <w:color w:val="auto"/>
        </w:rPr>
      </w:pPr>
      <w:r>
        <w:rPr>
          <w:rFonts w:ascii="Arial" w:cs="Arial" w:eastAsia="Arial" w:hAnsi="Arial"/>
          <w:sz w:val="22"/>
          <w:szCs w:val="22"/>
          <w:color w:val="auto"/>
        </w:rPr>
        <w:t>CITY NATIONAL BANK OF FLORIDA,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Jose Mazariegos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11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Jose Mazariegos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SVP &amp; Market Executive Central Florida</w:t>
      </w: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1037" w:right="319" w:bottom="1440" w:gutter="0" w:footer="0" w:header="0"/>
        </w:sectPr>
      </w:pPr>
    </w:p>
    <w:bookmarkStart w:id="225" w:name="page226"/>
    <w:bookmarkEnd w:id="225"/>
    <w:p>
      <w:pPr>
        <w:ind w:left="2700"/>
        <w:spacing w:after="0" w:line="269" w:lineRule="auto"/>
        <w:rPr>
          <w:sz w:val="20"/>
          <w:szCs w:val="20"/>
          <w:color w:val="auto"/>
        </w:rPr>
      </w:pPr>
      <w:r>
        <w:rPr>
          <w:rFonts w:ascii="Arial" w:cs="Arial" w:eastAsia="Arial" w:hAnsi="Arial"/>
          <w:sz w:val="22"/>
          <w:szCs w:val="22"/>
          <w:b w:val="1"/>
          <w:bCs w:val="1"/>
          <w:color w:val="auto"/>
        </w:rPr>
        <w:t xml:space="preserve">FLORIDA COMMUNITY BANK, N.A., </w:t>
      </w:r>
      <w:r>
        <w:rPr>
          <w:rFonts w:ascii="Arial" w:cs="Arial" w:eastAsia="Arial" w:hAnsi="Arial"/>
          <w:sz w:val="22"/>
          <w:szCs w:val="22"/>
          <w:color w:val="auto"/>
        </w:rPr>
        <w:t>as a Revolving Lender and Domestic Term</w:t>
      </w:r>
      <w:r>
        <w:rPr>
          <w:rFonts w:ascii="Arial" w:cs="Arial" w:eastAsia="Arial" w:hAnsi="Arial"/>
          <w:sz w:val="22"/>
          <w:szCs w:val="22"/>
          <w:b w:val="1"/>
          <w:bCs w:val="1"/>
          <w:color w:val="auto"/>
        </w:rPr>
        <w:t xml:space="preserve"> </w:t>
      </w:r>
      <w:r>
        <w:rPr>
          <w:rFonts w:ascii="Arial" w:cs="Arial" w:eastAsia="Arial" w:hAnsi="Arial"/>
          <w:sz w:val="22"/>
          <w:szCs w:val="22"/>
          <w:color w:val="auto"/>
        </w:rPr>
        <w:t>Loan Lender</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Irene A.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725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Irene A. Marshall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Sr. V.P. and C&amp;I Credit Director</w:t>
      </w:r>
    </w:p>
    <w:p>
      <w:pPr>
        <w:spacing w:after="0" w:line="200" w:lineRule="exact"/>
        <w:rPr>
          <w:sz w:val="20"/>
          <w:szCs w:val="20"/>
          <w:color w:val="auto"/>
        </w:rPr>
      </w:pPr>
    </w:p>
    <w:p>
      <w:pPr>
        <w:spacing w:after="0" w:line="27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00"/>
          </w:cols>
          <w:pgMar w:left="1440" w:top="1030" w:right="259" w:bottom="1440" w:gutter="0" w:footer="0" w:header="0"/>
        </w:sectPr>
      </w:pPr>
    </w:p>
    <w:bookmarkStart w:id="226" w:name="page227"/>
    <w:bookmarkEnd w:id="226"/>
    <w:p>
      <w:pPr>
        <w:ind w:left="2700"/>
        <w:spacing w:after="0"/>
        <w:rPr>
          <w:sz w:val="20"/>
          <w:szCs w:val="20"/>
          <w:color w:val="auto"/>
        </w:rPr>
      </w:pPr>
      <w:r>
        <w:rPr>
          <w:rFonts w:ascii="Arial" w:cs="Arial" w:eastAsia="Arial" w:hAnsi="Arial"/>
          <w:sz w:val="19"/>
          <w:szCs w:val="19"/>
          <w:color w:val="auto"/>
        </w:rPr>
        <w:t>BARCLAYS BANK PLC, as a Revolving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Louise Brechin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430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Louise Brechin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Executed in New York, 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1036" w:right="1440" w:bottom="1440" w:gutter="0" w:footer="0" w:header="0"/>
        </w:sectPr>
      </w:pPr>
    </w:p>
    <w:bookmarkStart w:id="227" w:name="page228"/>
    <w:bookmarkEnd w:id="227"/>
    <w:p>
      <w:pPr>
        <w:ind w:left="2700"/>
        <w:spacing w:after="0" w:line="263" w:lineRule="auto"/>
        <w:rPr>
          <w:sz w:val="20"/>
          <w:szCs w:val="20"/>
          <w:color w:val="auto"/>
        </w:rPr>
      </w:pPr>
      <w:r>
        <w:rPr>
          <w:rFonts w:ascii="Arial" w:cs="Arial" w:eastAsia="Arial" w:hAnsi="Arial"/>
          <w:sz w:val="22"/>
          <w:szCs w:val="22"/>
          <w:color w:val="auto"/>
        </w:rPr>
        <w:t>ISRAEL DISCOUNT BANK OF NEW YORK,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Christopher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906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Christopher Meade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9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Alexander Birr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27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Alexander Birr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20"/>
          </w:cols>
          <w:pgMar w:left="1440" w:top="1037" w:right="339" w:bottom="1440" w:gutter="0" w:footer="0" w:header="0"/>
        </w:sectPr>
      </w:pPr>
    </w:p>
    <w:bookmarkStart w:id="228" w:name="page229"/>
    <w:bookmarkEnd w:id="228"/>
    <w:p>
      <w:pPr>
        <w:ind w:left="2700"/>
        <w:spacing w:after="0"/>
        <w:rPr>
          <w:sz w:val="20"/>
          <w:szCs w:val="20"/>
          <w:color w:val="auto"/>
        </w:rPr>
      </w:pPr>
      <w:r>
        <w:rPr>
          <w:rFonts w:ascii="Arial" w:cs="Arial" w:eastAsia="Arial" w:hAnsi="Arial"/>
          <w:sz w:val="19"/>
          <w:szCs w:val="19"/>
          <w:color w:val="auto"/>
        </w:rPr>
        <w:t>SUNTRUST BANK, as a Revolving Lender and Domestic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Jonathan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668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Jonathan Hart</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60"/>
          </w:cols>
          <w:pgMar w:left="1440" w:top="1037" w:right="999" w:bottom="1440" w:gutter="0" w:footer="0" w:header="0"/>
        </w:sectPr>
      </w:pPr>
    </w:p>
    <w:bookmarkStart w:id="229" w:name="page230"/>
    <w:bookmarkEnd w:id="229"/>
    <w:p>
      <w:pPr>
        <w:ind w:left="2700"/>
        <w:spacing w:after="0"/>
        <w:rPr>
          <w:sz w:val="20"/>
          <w:szCs w:val="20"/>
          <w:color w:val="auto"/>
        </w:rPr>
      </w:pPr>
      <w:r>
        <w:rPr>
          <w:rFonts w:ascii="Arial" w:cs="Arial" w:eastAsia="Arial" w:hAnsi="Arial"/>
          <w:sz w:val="19"/>
          <w:szCs w:val="19"/>
          <w:color w:val="auto"/>
        </w:rPr>
        <w:t>FIFTH THIRD BANK, as a Revolving Lender and Domestic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Jonathan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92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Jonathan James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7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60"/>
          </w:cols>
          <w:pgMar w:left="1440" w:top="1036" w:right="799" w:bottom="1440" w:gutter="0" w:footer="0" w:header="0"/>
        </w:sectPr>
      </w:pPr>
    </w:p>
    <w:bookmarkStart w:id="230" w:name="page231"/>
    <w:bookmarkEnd w:id="230"/>
    <w:p>
      <w:pPr>
        <w:ind w:left="2700"/>
        <w:spacing w:after="0" w:line="263" w:lineRule="auto"/>
        <w:rPr>
          <w:sz w:val="20"/>
          <w:szCs w:val="20"/>
          <w:color w:val="auto"/>
        </w:rPr>
      </w:pPr>
      <w:r>
        <w:rPr>
          <w:rFonts w:ascii="Arial" w:cs="Arial" w:eastAsia="Arial" w:hAnsi="Arial"/>
          <w:sz w:val="22"/>
          <w:szCs w:val="22"/>
          <w:color w:val="auto"/>
        </w:rPr>
        <w:t>CITIZENS BANK OF PENNSYLVANIA,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William J.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970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William J. O’Meara</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1037" w:right="319" w:bottom="1440" w:gutter="0" w:footer="0" w:header="0"/>
        </w:sectPr>
      </w:pPr>
    </w:p>
    <w:bookmarkStart w:id="231" w:name="page232"/>
    <w:bookmarkEnd w:id="231"/>
    <w:p>
      <w:pPr>
        <w:jc w:val="both"/>
        <w:ind w:left="2700"/>
        <w:spacing w:after="0" w:line="253" w:lineRule="auto"/>
        <w:rPr>
          <w:sz w:val="20"/>
          <w:szCs w:val="20"/>
          <w:color w:val="auto"/>
        </w:rPr>
      </w:pPr>
      <w:r>
        <w:rPr>
          <w:rFonts w:ascii="Arial" w:cs="Arial" w:eastAsia="Arial" w:hAnsi="Arial"/>
          <w:sz w:val="22"/>
          <w:szCs w:val="22"/>
          <w:color w:val="auto"/>
        </w:rPr>
        <w:t>CAPITAL BANK-FIRST TENNESSEE BANK a division of FIRST NORIZON NATIONAL CORPORATION, as a Revolving Lender and Domestic Term Loan Lender</w:t>
      </w:r>
    </w:p>
    <w:p>
      <w:pPr>
        <w:spacing w:after="0" w:line="200" w:lineRule="exact"/>
        <w:rPr>
          <w:sz w:val="20"/>
          <w:szCs w:val="20"/>
          <w:color w:val="auto"/>
        </w:rPr>
      </w:pPr>
    </w:p>
    <w:p>
      <w:pPr>
        <w:spacing w:after="0" w:line="28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Dilian G.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192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Dilian G. Schulz</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79"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60"/>
          </w:cols>
          <w:pgMar w:left="1440" w:top="1036" w:right="799" w:bottom="1440" w:gutter="0" w:footer="0" w:header="0"/>
        </w:sectPr>
      </w:pPr>
    </w:p>
    <w:bookmarkStart w:id="232" w:name="page233"/>
    <w:bookmarkEnd w:id="232"/>
    <w:p>
      <w:pPr>
        <w:ind w:left="2700"/>
        <w:spacing w:after="0" w:line="263" w:lineRule="auto"/>
        <w:rPr>
          <w:sz w:val="20"/>
          <w:szCs w:val="20"/>
          <w:color w:val="auto"/>
        </w:rPr>
      </w:pPr>
      <w:r>
        <w:rPr>
          <w:rFonts w:ascii="Arial" w:cs="Arial" w:eastAsia="Arial" w:hAnsi="Arial"/>
          <w:sz w:val="22"/>
          <w:szCs w:val="22"/>
          <w:color w:val="auto"/>
        </w:rPr>
        <w:t>RAYMOND JAMES BANK, N.A., as a Revolving Lender and Domestic Term Loan Lender</w:t>
      </w: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Jason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722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117221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Jason Williams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40"/>
          </w:cols>
          <w:pgMar w:left="1440" w:top="1037" w:right="419" w:bottom="1440" w:gutter="0" w:footer="0" w:header="0"/>
        </w:sectPr>
      </w:pPr>
    </w:p>
    <w:bookmarkStart w:id="233" w:name="page234"/>
    <w:bookmarkEnd w:id="233"/>
    <w:p>
      <w:pPr>
        <w:ind w:left="2700"/>
        <w:spacing w:after="0"/>
        <w:rPr>
          <w:sz w:val="20"/>
          <w:szCs w:val="20"/>
          <w:color w:val="auto"/>
        </w:rPr>
      </w:pPr>
      <w:r>
        <w:rPr>
          <w:rFonts w:ascii="Arial" w:cs="Arial" w:eastAsia="Arial" w:hAnsi="Arial"/>
          <w:sz w:val="19"/>
          <w:szCs w:val="19"/>
          <w:color w:val="auto"/>
        </w:rPr>
        <w:t>SYNOVUS BANK, as a Revolving Lender and Domestic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Lauren A. Falgiano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716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Lauren A. Falgiano</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Portfolio Manager</w:t>
      </w:r>
    </w:p>
    <w:p>
      <w:pPr>
        <w:spacing w:after="0" w:line="200" w:lineRule="exact"/>
        <w:rPr>
          <w:sz w:val="20"/>
          <w:szCs w:val="20"/>
          <w:color w:val="auto"/>
        </w:rPr>
      </w:pPr>
    </w:p>
    <w:p>
      <w:pPr>
        <w:spacing w:after="0" w:line="27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60"/>
          </w:cols>
          <w:pgMar w:left="1440" w:top="1037" w:right="1099" w:bottom="1440" w:gutter="0" w:footer="0" w:header="0"/>
        </w:sectPr>
      </w:pPr>
    </w:p>
    <w:bookmarkStart w:id="234" w:name="page235"/>
    <w:bookmarkEnd w:id="234"/>
    <w:p>
      <w:pPr>
        <w:ind w:left="2700"/>
        <w:spacing w:after="0"/>
        <w:rPr>
          <w:sz w:val="20"/>
          <w:szCs w:val="20"/>
          <w:color w:val="auto"/>
        </w:rPr>
      </w:pPr>
      <w:r>
        <w:rPr>
          <w:rFonts w:ascii="Arial" w:cs="Arial" w:eastAsia="Arial" w:hAnsi="Arial"/>
          <w:sz w:val="19"/>
          <w:szCs w:val="19"/>
          <w:color w:val="auto"/>
        </w:rPr>
        <w:t>STIFEL BANK &amp; TRUST, as a Revolving Lender and Domestic Term Loan Lender</w:t>
      </w:r>
    </w:p>
    <w:p>
      <w:pPr>
        <w:spacing w:after="0" w:line="200" w:lineRule="exact"/>
        <w:rPr>
          <w:sz w:val="20"/>
          <w:szCs w:val="20"/>
          <w:color w:val="auto"/>
        </w:rPr>
      </w:pPr>
    </w:p>
    <w:p>
      <w:pPr>
        <w:spacing w:after="0" w:line="35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280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Matthew L. Diehl</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Amendment No. 4 to Fourth Amended and Restated Credit Agreement</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00"/>
          </w:cols>
          <w:pgMar w:left="1440" w:top="1036" w:right="4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22"/>
          <w:szCs w:val="22"/>
          <w:b w:val="1"/>
          <w:bCs w:val="1"/>
          <w:color w:val="auto"/>
        </w:rPr>
        <w:t>Annex I</w:t>
      </w:r>
    </w:p>
    <w:p>
      <w:pPr>
        <w:spacing w:after="0" w:line="28" w:lineRule="exact"/>
        <w:rPr>
          <w:sz w:val="20"/>
          <w:szCs w:val="20"/>
          <w:color w:val="auto"/>
        </w:rPr>
      </w:pPr>
    </w:p>
    <w:tbl>
      <w:tblPr>
        <w:tblLayout w:type="fixed"/>
        <w:tblInd w:w="530" w:type="dxa"/>
        <w:tblCellMar>
          <w:top w:w="0" w:type="dxa"/>
          <w:left w:w="0" w:type="dxa"/>
          <w:bottom w:w="0" w:type="dxa"/>
          <w:right w:w="0" w:type="dxa"/>
        </w:tblCellMar>
      </w:tblPr>
      <w:tr>
        <w:trPr>
          <w:trHeight w:val="275"/>
        </w:trPr>
        <w:tc>
          <w:tcPr>
            <w:tcW w:w="3500" w:type="dxa"/>
            <w:vAlign w:val="bottom"/>
          </w:tcPr>
          <w:p>
            <w:pPr>
              <w:spacing w:after="0"/>
              <w:rPr>
                <w:sz w:val="23"/>
                <w:szCs w:val="23"/>
                <w:color w:val="auto"/>
              </w:rPr>
            </w:pPr>
          </w:p>
        </w:tc>
        <w:tc>
          <w:tcPr>
            <w:tcW w:w="4520" w:type="dxa"/>
            <w:vAlign w:val="bottom"/>
            <w:gridSpan w:val="3"/>
            <w:vMerge w:val="restart"/>
          </w:tcPr>
          <w:p>
            <w:pPr>
              <w:jc w:val="right"/>
              <w:ind w:right="1861"/>
              <w:spacing w:after="0"/>
              <w:rPr>
                <w:sz w:val="20"/>
                <w:szCs w:val="20"/>
                <w:color w:val="auto"/>
              </w:rPr>
            </w:pPr>
            <w:r>
              <w:rPr>
                <w:rFonts w:ascii="Arial" w:cs="Arial" w:eastAsia="Arial" w:hAnsi="Arial"/>
                <w:sz w:val="22"/>
                <w:szCs w:val="22"/>
                <w:b w:val="1"/>
                <w:bCs w:val="1"/>
                <w:color w:val="auto"/>
              </w:rPr>
              <w:t>COMMITMENTS;</w:t>
            </w:r>
          </w:p>
        </w:tc>
        <w:tc>
          <w:tcPr>
            <w:tcW w:w="2880" w:type="dxa"/>
            <w:vAlign w:val="bottom"/>
            <w:gridSpan w:val="2"/>
          </w:tcPr>
          <w:p>
            <w:pPr>
              <w:ind w:left="1280"/>
              <w:spacing w:after="0"/>
              <w:rPr>
                <w:sz w:val="20"/>
                <w:szCs w:val="20"/>
                <w:color w:val="auto"/>
              </w:rPr>
            </w:pPr>
            <w:r>
              <w:rPr>
                <w:rFonts w:ascii="Arial" w:cs="Arial" w:eastAsia="Arial" w:hAnsi="Arial"/>
                <w:sz w:val="22"/>
                <w:szCs w:val="22"/>
                <w:b w:val="1"/>
                <w:bCs w:val="1"/>
                <w:i w:val="1"/>
                <w:iCs w:val="1"/>
                <w:color w:val="auto"/>
                <w:w w:val="92"/>
              </w:rPr>
              <w:t>SCHEDULE 2.01</w:t>
            </w: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4520" w:type="dxa"/>
            <w:vAlign w:val="bottom"/>
            <w:gridSpan w:val="3"/>
            <w:vMerge w:val="continue"/>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4520" w:type="dxa"/>
            <w:vAlign w:val="bottom"/>
            <w:gridSpan w:val="3"/>
          </w:tcPr>
          <w:p>
            <w:pPr>
              <w:jc w:val="right"/>
              <w:ind w:right="1221"/>
              <w:spacing w:after="0"/>
              <w:rPr>
                <w:sz w:val="20"/>
                <w:szCs w:val="20"/>
                <w:color w:val="auto"/>
              </w:rPr>
            </w:pPr>
            <w:r>
              <w:rPr>
                <w:rFonts w:ascii="Arial" w:cs="Arial" w:eastAsia="Arial" w:hAnsi="Arial"/>
                <w:sz w:val="22"/>
                <w:szCs w:val="22"/>
                <w:b w:val="1"/>
                <w:bCs w:val="1"/>
                <w:color w:val="auto"/>
              </w:rPr>
              <w:t>APPLICABLE PERCENTAGES</w:t>
            </w:r>
          </w:p>
        </w:tc>
        <w:tc>
          <w:tcPr>
            <w:tcW w:w="2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tcPr>
          <w:p>
            <w:pPr>
              <w:spacing w:after="0"/>
              <w:rPr>
                <w:sz w:val="24"/>
                <w:szCs w:val="24"/>
                <w:color w:val="auto"/>
              </w:rPr>
            </w:pPr>
          </w:p>
        </w:tc>
        <w:tc>
          <w:tcPr>
            <w:tcW w:w="4520" w:type="dxa"/>
            <w:vAlign w:val="bottom"/>
            <w:gridSpan w:val="3"/>
          </w:tcPr>
          <w:p>
            <w:pPr>
              <w:jc w:val="right"/>
              <w:ind w:right="1101"/>
              <w:spacing w:after="0"/>
              <w:rPr>
                <w:sz w:val="20"/>
                <w:szCs w:val="20"/>
                <w:color w:val="auto"/>
              </w:rPr>
            </w:pPr>
            <w:r>
              <w:rPr>
                <w:rFonts w:ascii="Arial" w:cs="Arial" w:eastAsia="Arial" w:hAnsi="Arial"/>
                <w:sz w:val="22"/>
                <w:szCs w:val="22"/>
                <w:b w:val="1"/>
                <w:bCs w:val="1"/>
                <w:color w:val="auto"/>
                <w:w w:val="98"/>
              </w:rPr>
              <w:t>AND PRO RATA TERM SHARES</w:t>
            </w: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00" w:type="dxa"/>
            <w:vAlign w:val="bottom"/>
            <w:tcBorders>
              <w:top w:val="single" w:sz="8" w:color="00000A"/>
              <w:left w:val="single" w:sz="8" w:color="00000A"/>
            </w:tcBorders>
          </w:tcPr>
          <w:p>
            <w:pPr>
              <w:spacing w:after="0"/>
              <w:rPr>
                <w:sz w:val="19"/>
                <w:szCs w:val="19"/>
                <w:color w:val="auto"/>
              </w:rPr>
            </w:pPr>
          </w:p>
        </w:tc>
        <w:tc>
          <w:tcPr>
            <w:tcW w:w="2040" w:type="dxa"/>
            <w:vAlign w:val="bottom"/>
            <w:tcBorders>
              <w:top w:val="single" w:sz="8" w:color="00000A"/>
              <w:right w:val="single" w:sz="8" w:color="00000A"/>
            </w:tcBorders>
          </w:tcPr>
          <w:p>
            <w:pPr>
              <w:spacing w:after="0"/>
              <w:rPr>
                <w:sz w:val="19"/>
                <w:szCs w:val="19"/>
                <w:color w:val="auto"/>
              </w:rPr>
            </w:pPr>
          </w:p>
        </w:tc>
        <w:tc>
          <w:tcPr>
            <w:tcW w:w="300" w:type="dxa"/>
            <w:vAlign w:val="bottom"/>
            <w:tcBorders>
              <w:top w:val="single" w:sz="8" w:color="00000A"/>
            </w:tcBorders>
          </w:tcPr>
          <w:p>
            <w:pPr>
              <w:spacing w:after="0"/>
              <w:rPr>
                <w:sz w:val="19"/>
                <w:szCs w:val="19"/>
                <w:color w:val="auto"/>
              </w:rPr>
            </w:pPr>
          </w:p>
        </w:tc>
        <w:tc>
          <w:tcPr>
            <w:tcW w:w="2180" w:type="dxa"/>
            <w:vAlign w:val="bottom"/>
            <w:tcBorders>
              <w:top w:val="single" w:sz="8" w:color="00000A"/>
              <w:right w:val="single" w:sz="8" w:color="00000A"/>
            </w:tcBorders>
          </w:tcPr>
          <w:p>
            <w:pPr>
              <w:jc w:val="right"/>
              <w:ind w:right="441"/>
              <w:spacing w:after="0" w:line="228" w:lineRule="exact"/>
              <w:rPr>
                <w:sz w:val="20"/>
                <w:szCs w:val="20"/>
                <w:color w:val="auto"/>
              </w:rPr>
            </w:pPr>
            <w:r>
              <w:rPr>
                <w:rFonts w:ascii="Arial" w:cs="Arial" w:eastAsia="Arial" w:hAnsi="Arial"/>
                <w:sz w:val="20"/>
                <w:szCs w:val="20"/>
                <w:b w:val="1"/>
                <w:bCs w:val="1"/>
                <w:color w:val="auto"/>
              </w:rPr>
              <w:t>Revolving Credit</w:t>
            </w:r>
          </w:p>
        </w:tc>
        <w:tc>
          <w:tcPr>
            <w:tcW w:w="2400" w:type="dxa"/>
            <w:vAlign w:val="bottom"/>
            <w:tcBorders>
              <w:top w:val="single" w:sz="8" w:color="00000A"/>
              <w:right w:val="single" w:sz="8" w:color="00000A"/>
            </w:tcBorders>
          </w:tcPr>
          <w:p>
            <w:pPr>
              <w:jc w:val="right"/>
              <w:ind w:right="221"/>
              <w:spacing w:after="0" w:line="228" w:lineRule="exact"/>
              <w:rPr>
                <w:sz w:val="20"/>
                <w:szCs w:val="20"/>
                <w:color w:val="auto"/>
              </w:rPr>
            </w:pPr>
            <w:r>
              <w:rPr>
                <w:rFonts w:ascii="Arial" w:cs="Arial" w:eastAsia="Arial" w:hAnsi="Arial"/>
                <w:sz w:val="20"/>
                <w:szCs w:val="20"/>
                <w:b w:val="1"/>
                <w:bCs w:val="1"/>
                <w:color w:val="auto"/>
              </w:rPr>
              <w:t>Applicable Revolving</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00" w:type="dxa"/>
            <w:vAlign w:val="bottom"/>
            <w:tcBorders>
              <w:left w:val="single" w:sz="8" w:color="00000A"/>
            </w:tcBorders>
          </w:tcPr>
          <w:p>
            <w:pPr>
              <w:ind w:left="2440"/>
              <w:spacing w:after="0"/>
              <w:rPr>
                <w:sz w:val="20"/>
                <w:szCs w:val="20"/>
                <w:color w:val="auto"/>
              </w:rPr>
            </w:pPr>
            <w:r>
              <w:rPr>
                <w:rFonts w:ascii="Arial" w:cs="Arial" w:eastAsia="Arial" w:hAnsi="Arial"/>
                <w:sz w:val="20"/>
                <w:szCs w:val="20"/>
                <w:b w:val="1"/>
                <w:bCs w:val="1"/>
                <w:color w:val="auto"/>
              </w:rPr>
              <w:t>Lender</w:t>
            </w:r>
          </w:p>
        </w:tc>
        <w:tc>
          <w:tcPr>
            <w:tcW w:w="2040" w:type="dxa"/>
            <w:vAlign w:val="bottom"/>
            <w:tcBorders>
              <w:right w:val="single" w:sz="8" w:color="00000A"/>
            </w:tcBorders>
          </w:tcPr>
          <w:p>
            <w:pPr>
              <w:spacing w:after="0"/>
              <w:rPr>
                <w:sz w:val="22"/>
                <w:szCs w:val="22"/>
                <w:color w:val="auto"/>
              </w:rPr>
            </w:pPr>
          </w:p>
        </w:tc>
        <w:tc>
          <w:tcPr>
            <w:tcW w:w="300" w:type="dxa"/>
            <w:vAlign w:val="bottom"/>
          </w:tcPr>
          <w:p>
            <w:pPr>
              <w:spacing w:after="0"/>
              <w:rPr>
                <w:sz w:val="22"/>
                <w:szCs w:val="22"/>
                <w:color w:val="auto"/>
              </w:rPr>
            </w:pPr>
          </w:p>
        </w:tc>
        <w:tc>
          <w:tcPr>
            <w:tcW w:w="2180" w:type="dxa"/>
            <w:vAlign w:val="bottom"/>
            <w:tcBorders>
              <w:right w:val="single" w:sz="8" w:color="00000A"/>
            </w:tcBorders>
          </w:tcPr>
          <w:p>
            <w:pPr>
              <w:jc w:val="right"/>
              <w:ind w:right="601"/>
              <w:spacing w:after="0"/>
              <w:rPr>
                <w:sz w:val="20"/>
                <w:szCs w:val="20"/>
                <w:color w:val="auto"/>
              </w:rPr>
            </w:pPr>
            <w:r>
              <w:rPr>
                <w:rFonts w:ascii="Arial" w:cs="Arial" w:eastAsia="Arial" w:hAnsi="Arial"/>
                <w:sz w:val="20"/>
                <w:szCs w:val="20"/>
                <w:b w:val="1"/>
                <w:bCs w:val="1"/>
                <w:color w:val="auto"/>
              </w:rPr>
              <w:t>Commitment</w:t>
            </w:r>
          </w:p>
        </w:tc>
        <w:tc>
          <w:tcPr>
            <w:tcW w:w="2400" w:type="dxa"/>
            <w:vAlign w:val="bottom"/>
            <w:tcBorders>
              <w:right w:val="single" w:sz="8" w:color="00000A"/>
            </w:tcBorders>
          </w:tcPr>
          <w:p>
            <w:pPr>
              <w:jc w:val="right"/>
              <w:ind w:right="361"/>
              <w:spacing w:after="0"/>
              <w:rPr>
                <w:sz w:val="20"/>
                <w:szCs w:val="20"/>
                <w:color w:val="auto"/>
              </w:rPr>
            </w:pPr>
            <w:r>
              <w:rPr>
                <w:rFonts w:ascii="Arial" w:cs="Arial" w:eastAsia="Arial" w:hAnsi="Arial"/>
                <w:sz w:val="20"/>
                <w:szCs w:val="20"/>
                <w:b w:val="1"/>
                <w:bCs w:val="1"/>
                <w:color w:val="auto"/>
              </w:rPr>
              <w:t>Credit Percentage</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00000A"/>
              <w:bottom w:val="single" w:sz="8" w:color="00000A"/>
            </w:tcBorders>
          </w:tcPr>
          <w:p>
            <w:pPr>
              <w:spacing w:after="0"/>
              <w:rPr>
                <w:sz w:val="4"/>
                <w:szCs w:val="4"/>
                <w:color w:val="auto"/>
              </w:rPr>
            </w:pPr>
          </w:p>
        </w:tc>
        <w:tc>
          <w:tcPr>
            <w:tcW w:w="2040" w:type="dxa"/>
            <w:vAlign w:val="bottom"/>
            <w:tcBorders>
              <w:bottom w:val="single" w:sz="8" w:color="00000A"/>
              <w:right w:val="single" w:sz="8" w:color="00000A"/>
            </w:tcBorders>
          </w:tcPr>
          <w:p>
            <w:pPr>
              <w:spacing w:after="0"/>
              <w:rPr>
                <w:sz w:val="4"/>
                <w:szCs w:val="4"/>
                <w:color w:val="auto"/>
              </w:rPr>
            </w:pPr>
          </w:p>
        </w:tc>
        <w:tc>
          <w:tcPr>
            <w:tcW w:w="300" w:type="dxa"/>
            <w:vAlign w:val="bottom"/>
            <w:tcBorders>
              <w:bottom w:val="single" w:sz="8" w:color="00000A"/>
            </w:tcBorders>
          </w:tcPr>
          <w:p>
            <w:pPr>
              <w:spacing w:after="0"/>
              <w:rPr>
                <w:sz w:val="4"/>
                <w:szCs w:val="4"/>
                <w:color w:val="auto"/>
              </w:rPr>
            </w:pPr>
          </w:p>
        </w:tc>
        <w:tc>
          <w:tcPr>
            <w:tcW w:w="2180" w:type="dxa"/>
            <w:vAlign w:val="bottom"/>
            <w:tcBorders>
              <w:bottom w:val="single" w:sz="8" w:color="00000A"/>
              <w:right w:val="single" w:sz="8" w:color="00000A"/>
            </w:tcBorders>
          </w:tcPr>
          <w:p>
            <w:pPr>
              <w:spacing w:after="0"/>
              <w:rPr>
                <w:sz w:val="4"/>
                <w:szCs w:val="4"/>
                <w:color w:val="auto"/>
              </w:rPr>
            </w:pPr>
          </w:p>
        </w:tc>
        <w:tc>
          <w:tcPr>
            <w:tcW w:w="2400" w:type="dxa"/>
            <w:vAlign w:val="bottom"/>
            <w:tcBorders>
              <w:bottom w:val="single" w:sz="8" w:color="00000A"/>
              <w:right w:val="single" w:sz="8" w:color="00000A"/>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w w:val="98"/>
              </w:rPr>
              <w:t>Wells Fargo Bank, National Association</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109,162,413.03</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9.410552848%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TD 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106,453,668.31</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9.177040372%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Bank of America,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103,067,737.37</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8.885149773%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w w:val="99"/>
              </w:rPr>
              <w:t>HSBC Bank USA, National Association</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103,067,737.37</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8.885149773%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w w:val="91"/>
              </w:rPr>
              <w:t>Credit Suisse AG, Cayman Islands Branch</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60,761,904.76</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5.238095238%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Citibank,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60,215,395.57</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5.190982377%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JPMorgan Chase 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59,592,384.28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5.137274507%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Mizuho 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59,592,384.28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5.137274507%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Sumitomo Mitsui Banking Corporation</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59,592,384.28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5.137274507%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Standard Chartered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44,190,476.19</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3.809523809%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PNC Bank, National Association</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43,339,915.85</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3.736199642%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Branch Banking and Trust Company</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37,922,426.36</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3.269174686%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SunTrust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32,504,936.88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2.802149731%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Fifth Third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32,504,936.88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2.802149731%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BankUnited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31,421,438.99</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2.708744741%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w w:val="98"/>
              </w:rPr>
              <w:t>The Bank of Tokyo-Mitsubishi UFJ, Ltd.</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30,744,252.80</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2.650366621%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Regions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24,378,702.66</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2.101612298%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Citizens Bank of Pennsylvania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23,620,254.14</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2.036228805%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Barclays Bank Plc</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23,015,873.02</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1.984126984%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Comerica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21,128,208.97</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1.821397325%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40" w:type="dxa"/>
            <w:vAlign w:val="bottom"/>
            <w:tcBorders>
              <w:left w:val="single" w:sz="8" w:color="00000A"/>
              <w:bottom w:val="single" w:sz="8" w:color="00000A"/>
              <w:right w:val="single" w:sz="8" w:color="00000A"/>
            </w:tcBorders>
            <w:gridSpan w:val="2"/>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540" w:type="dxa"/>
            <w:vAlign w:val="bottom"/>
            <w:tcBorders>
              <w:left w:val="single" w:sz="8" w:color="00000A"/>
              <w:right w:val="single" w:sz="8" w:color="00000A"/>
            </w:tcBorders>
            <w:gridSpan w:val="2"/>
          </w:tcPr>
          <w:p>
            <w:pPr>
              <w:ind w:left="40"/>
              <w:spacing w:after="0"/>
              <w:rPr>
                <w:sz w:val="20"/>
                <w:szCs w:val="20"/>
                <w:color w:val="auto"/>
              </w:rPr>
            </w:pPr>
            <w:r>
              <w:rPr>
                <w:rFonts w:ascii="Arial" w:cs="Arial" w:eastAsia="Arial" w:hAnsi="Arial"/>
                <w:sz w:val="20"/>
                <w:szCs w:val="20"/>
                <w:color w:val="auto"/>
              </w:rPr>
              <w:t>Capital Bank-First Tennessee Bank a division of First Horizon</w:t>
            </w:r>
          </w:p>
        </w:tc>
        <w:tc>
          <w:tcPr>
            <w:tcW w:w="300" w:type="dxa"/>
            <w:vAlign w:val="bottom"/>
          </w:tcPr>
          <w:p>
            <w:pPr>
              <w:spacing w:after="0"/>
              <w:rPr>
                <w:sz w:val="20"/>
                <w:szCs w:val="20"/>
                <w:color w:val="auto"/>
              </w:rPr>
            </w:pPr>
          </w:p>
        </w:tc>
        <w:tc>
          <w:tcPr>
            <w:tcW w:w="2180" w:type="dxa"/>
            <w:vAlign w:val="bottom"/>
            <w:tcBorders>
              <w:right w:val="single" w:sz="8" w:color="00000A"/>
            </w:tcBorders>
          </w:tcPr>
          <w:p>
            <w:pPr>
              <w:spacing w:after="0"/>
              <w:rPr>
                <w:sz w:val="20"/>
                <w:szCs w:val="20"/>
                <w:color w:val="auto"/>
              </w:rPr>
            </w:pPr>
          </w:p>
        </w:tc>
        <w:tc>
          <w:tcPr>
            <w:tcW w:w="2400" w:type="dxa"/>
            <w:vAlign w:val="bottom"/>
            <w:tcBorders>
              <w:right w:val="single" w:sz="8" w:color="00000A"/>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National Corporation</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18,961,213.18</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1.634587343%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City National Bank of Florida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15,168,970.55</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1.307669875%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Florida Community 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13,543,723.70</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1.167562388%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Israel Discount Bank of New York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13,543,723.70</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1.167562388%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Raymond James Bank, N.A.</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13,543,723.70</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1.167562388%</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Synovus Bank</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10,834,978.96</w:t>
            </w:r>
          </w:p>
        </w:tc>
        <w:tc>
          <w:tcPr>
            <w:tcW w:w="2400" w:type="dxa"/>
            <w:vAlign w:val="bottom"/>
            <w:tcBorders>
              <w:right w:val="single" w:sz="8" w:color="00000A"/>
            </w:tcBorders>
          </w:tcPr>
          <w:p>
            <w:pPr>
              <w:jc w:val="right"/>
              <w:ind w:right="101"/>
              <w:spacing w:after="0"/>
              <w:rPr>
                <w:sz w:val="20"/>
                <w:szCs w:val="20"/>
                <w:color w:val="auto"/>
              </w:rPr>
            </w:pPr>
            <w:r>
              <w:rPr>
                <w:rFonts w:ascii="Arial" w:cs="Arial" w:eastAsia="Arial" w:hAnsi="Arial"/>
                <w:sz w:val="20"/>
                <w:szCs w:val="20"/>
                <w:color w:val="auto"/>
              </w:rPr>
              <w:t>0.934049910%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color w:val="auto"/>
              </w:rPr>
              <w:t>Stifel Bank &amp; Trust</w:t>
            </w:r>
          </w:p>
        </w:tc>
        <w:tc>
          <w:tcPr>
            <w:tcW w:w="2040" w:type="dxa"/>
            <w:vAlign w:val="bottom"/>
            <w:tcBorders>
              <w:right w:val="single" w:sz="8" w:color="00000A"/>
            </w:tcBorders>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8,126,234.22</w:t>
            </w:r>
          </w:p>
        </w:tc>
        <w:tc>
          <w:tcPr>
            <w:tcW w:w="24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0.700537433  %</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Borders>
              <w:left w:val="single" w:sz="8" w:color="00000A"/>
              <w:bottom w:val="single" w:sz="8" w:color="00000A"/>
            </w:tcBorders>
          </w:tcPr>
          <w:p>
            <w:pPr>
              <w:spacing w:after="0"/>
              <w:rPr>
                <w:sz w:val="2"/>
                <w:szCs w:val="2"/>
                <w:color w:val="auto"/>
              </w:rPr>
            </w:pPr>
          </w:p>
        </w:tc>
        <w:tc>
          <w:tcPr>
            <w:tcW w:w="2040" w:type="dxa"/>
            <w:vAlign w:val="bottom"/>
            <w:tcBorders>
              <w:bottom w:val="single" w:sz="8" w:color="00000A"/>
              <w:right w:val="single" w:sz="8" w:color="00000A"/>
            </w:tcBorders>
          </w:tcPr>
          <w:p>
            <w:pPr>
              <w:spacing w:after="0"/>
              <w:rPr>
                <w:sz w:val="2"/>
                <w:szCs w:val="2"/>
                <w:color w:val="auto"/>
              </w:rPr>
            </w:pPr>
          </w:p>
        </w:tc>
        <w:tc>
          <w:tcPr>
            <w:tcW w:w="300" w:type="dxa"/>
            <w:vAlign w:val="bottom"/>
            <w:tcBorders>
              <w:bottom w:val="single" w:sz="8" w:color="00000A"/>
            </w:tcBorders>
          </w:tcPr>
          <w:p>
            <w:pPr>
              <w:spacing w:after="0"/>
              <w:rPr>
                <w:sz w:val="2"/>
                <w:szCs w:val="2"/>
                <w:color w:val="auto"/>
              </w:rPr>
            </w:pPr>
          </w:p>
        </w:tc>
        <w:tc>
          <w:tcPr>
            <w:tcW w:w="2180" w:type="dxa"/>
            <w:vAlign w:val="bottom"/>
            <w:tcBorders>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3500" w:type="dxa"/>
            <w:vAlign w:val="bottom"/>
            <w:tcBorders>
              <w:left w:val="single" w:sz="8" w:color="00000A"/>
            </w:tcBorders>
          </w:tcPr>
          <w:p>
            <w:pPr>
              <w:ind w:left="40"/>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right w:val="single" w:sz="8" w:color="00000A"/>
            </w:tcBorders>
          </w:tcPr>
          <w:p>
            <w:pPr>
              <w:spacing w:after="0"/>
              <w:rPr>
                <w:sz w:val="22"/>
                <w:szCs w:val="22"/>
                <w:color w:val="auto"/>
              </w:rPr>
            </w:pPr>
          </w:p>
        </w:tc>
        <w:tc>
          <w:tcPr>
            <w:tcW w:w="300" w:type="dxa"/>
            <w:vAlign w:val="bottom"/>
          </w:tcPr>
          <w:p>
            <w:pPr>
              <w:spacing w:after="0"/>
              <w:rPr>
                <w:sz w:val="22"/>
                <w:szCs w:val="22"/>
                <w:color w:val="auto"/>
              </w:rPr>
            </w:pPr>
          </w:p>
        </w:tc>
        <w:tc>
          <w:tcPr>
            <w:tcW w:w="218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b w:val="1"/>
                <w:bCs w:val="1"/>
                <w:color w:val="auto"/>
              </w:rPr>
              <w:t>$1,160,000,000.00</w:t>
            </w:r>
          </w:p>
        </w:tc>
        <w:tc>
          <w:tcPr>
            <w:tcW w:w="2400" w:type="dxa"/>
            <w:vAlign w:val="bottom"/>
            <w:tcBorders>
              <w:right w:val="single" w:sz="8" w:color="00000A"/>
            </w:tcBorders>
          </w:tcPr>
          <w:p>
            <w:pPr>
              <w:jc w:val="right"/>
              <w:ind w:right="61"/>
              <w:spacing w:after="0"/>
              <w:rPr>
                <w:sz w:val="20"/>
                <w:szCs w:val="20"/>
                <w:color w:val="auto"/>
              </w:rPr>
            </w:pPr>
            <w:r>
              <w:rPr>
                <w:rFonts w:ascii="Arial" w:cs="Arial" w:eastAsia="Arial" w:hAnsi="Arial"/>
                <w:sz w:val="20"/>
                <w:szCs w:val="20"/>
                <w:b w:val="1"/>
                <w:bCs w:val="1"/>
                <w:color w:val="auto"/>
              </w:rPr>
              <w:t>100.000000000%</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00000A"/>
              <w:bottom w:val="single" w:sz="8" w:color="00000A"/>
            </w:tcBorders>
          </w:tcPr>
          <w:p>
            <w:pPr>
              <w:spacing w:after="0"/>
              <w:rPr>
                <w:sz w:val="4"/>
                <w:szCs w:val="4"/>
                <w:color w:val="auto"/>
              </w:rPr>
            </w:pPr>
          </w:p>
        </w:tc>
        <w:tc>
          <w:tcPr>
            <w:tcW w:w="2040" w:type="dxa"/>
            <w:vAlign w:val="bottom"/>
            <w:tcBorders>
              <w:bottom w:val="single" w:sz="8" w:color="00000A"/>
              <w:right w:val="single" w:sz="8" w:color="00000A"/>
            </w:tcBorders>
          </w:tcPr>
          <w:p>
            <w:pPr>
              <w:spacing w:after="0"/>
              <w:rPr>
                <w:sz w:val="4"/>
                <w:szCs w:val="4"/>
                <w:color w:val="auto"/>
              </w:rPr>
            </w:pPr>
          </w:p>
        </w:tc>
        <w:tc>
          <w:tcPr>
            <w:tcW w:w="300" w:type="dxa"/>
            <w:vAlign w:val="bottom"/>
            <w:tcBorders>
              <w:bottom w:val="single" w:sz="8" w:color="00000A"/>
            </w:tcBorders>
          </w:tcPr>
          <w:p>
            <w:pPr>
              <w:spacing w:after="0"/>
              <w:rPr>
                <w:sz w:val="4"/>
                <w:szCs w:val="4"/>
                <w:color w:val="auto"/>
              </w:rPr>
            </w:pPr>
          </w:p>
        </w:tc>
        <w:tc>
          <w:tcPr>
            <w:tcW w:w="2180" w:type="dxa"/>
            <w:vAlign w:val="bottom"/>
            <w:tcBorders>
              <w:bottom w:val="single" w:sz="8" w:color="00000A"/>
              <w:right w:val="single" w:sz="8" w:color="00000A"/>
            </w:tcBorders>
          </w:tcPr>
          <w:p>
            <w:pPr>
              <w:spacing w:after="0"/>
              <w:rPr>
                <w:sz w:val="4"/>
                <w:szCs w:val="4"/>
                <w:color w:val="auto"/>
              </w:rPr>
            </w:pPr>
          </w:p>
        </w:tc>
        <w:tc>
          <w:tcPr>
            <w:tcW w:w="2400" w:type="dxa"/>
            <w:vAlign w:val="bottom"/>
            <w:tcBorders>
              <w:bottom w:val="single" w:sz="8" w:color="00000A"/>
              <w:right w:val="single" w:sz="8" w:color="00000A"/>
            </w:tcBorders>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97592046_9</w:t>
      </w:r>
    </w:p>
    <w:p>
      <w:pPr>
        <w:sectPr>
          <w:pgSz w:w="11900" w:h="16838" w:orient="portrait"/>
          <w:cols w:equalWidth="0" w:num="1">
            <w:col w:w="11420"/>
          </w:cols>
          <w:pgMar w:left="240" w:top="625" w:right="239" w:bottom="1440" w:gutter="0" w:footer="0" w:header="0"/>
        </w:sectPr>
      </w:pPr>
    </w:p>
    <w:bookmarkStart w:id="236" w:name="page237"/>
    <w:bookmarkEnd w:id="236"/>
    <w:tbl>
      <w:tblPr>
        <w:tblLayout w:type="fixed"/>
        <w:tblInd w:w="530" w:type="dxa"/>
        <w:tblCellMar>
          <w:top w:w="0" w:type="dxa"/>
          <w:left w:w="0" w:type="dxa"/>
          <w:bottom w:w="0" w:type="dxa"/>
          <w:right w:w="0" w:type="dxa"/>
        </w:tblCellMar>
      </w:tblPr>
      <w:tr>
        <w:trPr>
          <w:trHeight w:val="247"/>
        </w:trPr>
        <w:tc>
          <w:tcPr>
            <w:tcW w:w="5620" w:type="dxa"/>
            <w:vAlign w:val="bottom"/>
            <w:tcBorders>
              <w:top w:val="single" w:sz="8" w:color="00000A"/>
              <w:left w:val="single" w:sz="8" w:color="00000A"/>
              <w:right w:val="single" w:sz="8" w:color="00000A"/>
            </w:tcBorders>
          </w:tcPr>
          <w:p>
            <w:pPr>
              <w:spacing w:after="0"/>
              <w:rPr>
                <w:sz w:val="21"/>
                <w:szCs w:val="21"/>
                <w:color w:val="auto"/>
              </w:rPr>
            </w:pPr>
          </w:p>
        </w:tc>
        <w:tc>
          <w:tcPr>
            <w:tcW w:w="180" w:type="dxa"/>
            <w:vAlign w:val="bottom"/>
            <w:tcBorders>
              <w:top w:val="single" w:sz="8" w:color="00000A"/>
            </w:tcBorders>
          </w:tcPr>
          <w:p>
            <w:pPr>
              <w:spacing w:after="0"/>
              <w:rPr>
                <w:sz w:val="21"/>
                <w:szCs w:val="21"/>
                <w:color w:val="auto"/>
              </w:rPr>
            </w:pPr>
          </w:p>
        </w:tc>
        <w:tc>
          <w:tcPr>
            <w:tcW w:w="2100" w:type="dxa"/>
            <w:vAlign w:val="bottom"/>
            <w:tcBorders>
              <w:top w:val="single" w:sz="8" w:color="00000A"/>
              <w:right w:val="single" w:sz="8" w:color="00000A"/>
            </w:tcBorders>
          </w:tcPr>
          <w:p>
            <w:pPr>
              <w:jc w:val="right"/>
              <w:ind w:right="161"/>
              <w:spacing w:after="0"/>
              <w:rPr>
                <w:sz w:val="20"/>
                <w:szCs w:val="20"/>
                <w:color w:val="auto"/>
              </w:rPr>
            </w:pPr>
            <w:r>
              <w:rPr>
                <w:rFonts w:ascii="Arial" w:cs="Arial" w:eastAsia="Arial" w:hAnsi="Arial"/>
                <w:sz w:val="20"/>
                <w:szCs w:val="20"/>
                <w:b w:val="1"/>
                <w:bCs w:val="1"/>
                <w:color w:val="auto"/>
                <w:w w:val="91"/>
              </w:rPr>
              <w:t>Domestic Term Loan</w:t>
            </w:r>
          </w:p>
        </w:tc>
        <w:tc>
          <w:tcPr>
            <w:tcW w:w="2500" w:type="dxa"/>
            <w:vAlign w:val="bottom"/>
            <w:tcBorders>
              <w:top w:val="single" w:sz="8" w:color="00000A"/>
              <w:right w:val="single" w:sz="8" w:color="00000A"/>
            </w:tcBorders>
          </w:tcPr>
          <w:p>
            <w:pPr>
              <w:jc w:val="right"/>
              <w:ind w:right="141"/>
              <w:spacing w:after="0"/>
              <w:rPr>
                <w:sz w:val="20"/>
                <w:szCs w:val="20"/>
                <w:color w:val="auto"/>
              </w:rPr>
            </w:pPr>
            <w:r>
              <w:rPr>
                <w:rFonts w:ascii="Arial" w:cs="Arial" w:eastAsia="Arial" w:hAnsi="Arial"/>
                <w:sz w:val="20"/>
                <w:szCs w:val="20"/>
                <w:b w:val="1"/>
                <w:bCs w:val="1"/>
                <w:color w:val="auto"/>
              </w:rPr>
              <w:t>Pro Rata Term Share of</w:t>
            </w:r>
          </w:p>
        </w:tc>
      </w:tr>
      <w:tr>
        <w:trPr>
          <w:trHeight w:val="256"/>
        </w:trPr>
        <w:tc>
          <w:tcPr>
            <w:tcW w:w="5620" w:type="dxa"/>
            <w:vAlign w:val="bottom"/>
            <w:tcBorders>
              <w:left w:val="single" w:sz="8" w:color="00000A"/>
              <w:right w:val="single" w:sz="8" w:color="00000A"/>
            </w:tcBorders>
          </w:tcPr>
          <w:p>
            <w:pPr>
              <w:ind w:left="2500"/>
              <w:spacing w:after="0"/>
              <w:rPr>
                <w:sz w:val="20"/>
                <w:szCs w:val="20"/>
                <w:color w:val="auto"/>
              </w:rPr>
            </w:pPr>
            <w:r>
              <w:rPr>
                <w:rFonts w:ascii="Arial" w:cs="Arial" w:eastAsia="Arial" w:hAnsi="Arial"/>
                <w:sz w:val="20"/>
                <w:szCs w:val="20"/>
                <w:b w:val="1"/>
                <w:bCs w:val="1"/>
                <w:color w:val="auto"/>
              </w:rPr>
              <w:t>Lender</w:t>
            </w:r>
          </w:p>
        </w:tc>
        <w:tc>
          <w:tcPr>
            <w:tcW w:w="180" w:type="dxa"/>
            <w:vAlign w:val="bottom"/>
          </w:tcPr>
          <w:p>
            <w:pPr>
              <w:spacing w:after="0"/>
              <w:rPr>
                <w:sz w:val="22"/>
                <w:szCs w:val="22"/>
                <w:color w:val="auto"/>
              </w:rPr>
            </w:pPr>
          </w:p>
        </w:tc>
        <w:tc>
          <w:tcPr>
            <w:tcW w:w="2100" w:type="dxa"/>
            <w:vAlign w:val="bottom"/>
            <w:tcBorders>
              <w:right w:val="single" w:sz="8" w:color="00000A"/>
            </w:tcBorders>
          </w:tcPr>
          <w:p>
            <w:pPr>
              <w:jc w:val="right"/>
              <w:ind w:right="501"/>
              <w:spacing w:after="0"/>
              <w:rPr>
                <w:sz w:val="20"/>
                <w:szCs w:val="20"/>
                <w:color w:val="auto"/>
              </w:rPr>
            </w:pPr>
            <w:r>
              <w:rPr>
                <w:rFonts w:ascii="Arial" w:cs="Arial" w:eastAsia="Arial" w:hAnsi="Arial"/>
                <w:sz w:val="20"/>
                <w:szCs w:val="20"/>
                <w:b w:val="1"/>
                <w:bCs w:val="1"/>
                <w:color w:val="auto"/>
              </w:rPr>
              <w:t>Commitment</w:t>
            </w:r>
          </w:p>
        </w:tc>
        <w:tc>
          <w:tcPr>
            <w:tcW w:w="2500" w:type="dxa"/>
            <w:vAlign w:val="bottom"/>
            <w:tcBorders>
              <w:right w:val="single" w:sz="8" w:color="00000A"/>
            </w:tcBorders>
          </w:tcPr>
          <w:p>
            <w:pPr>
              <w:jc w:val="right"/>
              <w:ind w:right="261"/>
              <w:spacing w:after="0"/>
              <w:rPr>
                <w:sz w:val="20"/>
                <w:szCs w:val="20"/>
                <w:color w:val="auto"/>
              </w:rPr>
            </w:pPr>
            <w:r>
              <w:rPr>
                <w:rFonts w:ascii="Arial" w:cs="Arial" w:eastAsia="Arial" w:hAnsi="Arial"/>
                <w:sz w:val="20"/>
                <w:szCs w:val="20"/>
                <w:b w:val="1"/>
                <w:bCs w:val="1"/>
                <w:color w:val="auto"/>
              </w:rPr>
              <w:t>Domestic Term Loan</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Wells Fargo Bank, National Association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51,219,178.53</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10.431073480%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TD 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49,948,231.16</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10.172237900%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Bank of America,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48,359,546.96</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9.848693439%</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Sumitomo Mitsui Banking Corporation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40,313,672.06</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8.210105811%</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HSBC Bank USA, National Association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29,830,301.69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6.075108536%</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Citibank,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28,253,159.77</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5.753914723%</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JPMorgan Chase 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27,960,841.88</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5.694382543%</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Mizuho 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27,960,841.88</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5.694382543%</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PNC Bank, National Association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20,335,157.73</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4.141369122%</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Branch Banking and Trust Company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20,263,829.05</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4.126842635%</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SunTrust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15,251,368.30</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3.106026842%</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Fifth Third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15,251,368.30</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3.106026842%</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BankUnited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14,742,989.35</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3.002492612%</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The Bank of Tokyo-Mitsubishi UFJ, Ltd.</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14,425,252.52</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2.937783722%</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Regions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11,438,526.22</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2.329520130%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Citizens Bank of Pennsylvania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11,082,660.96</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2.257046171%</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Comerica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9,913,389.39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2.018917446%</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33"/>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Capital Bank-First Tennessee Bank a division of First Horizon</w:t>
            </w:r>
          </w:p>
        </w:tc>
        <w:tc>
          <w:tcPr>
            <w:tcW w:w="180" w:type="dxa"/>
            <w:vAlign w:val="bottom"/>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2500" w:type="dxa"/>
            <w:vAlign w:val="bottom"/>
            <w:tcBorders>
              <w:right w:val="single" w:sz="8" w:color="00000A"/>
            </w:tcBorders>
          </w:tcPr>
          <w:p>
            <w:pPr>
              <w:spacing w:after="0"/>
              <w:rPr>
                <w:sz w:val="20"/>
                <w:szCs w:val="20"/>
                <w:color w:val="auto"/>
              </w:rPr>
            </w:pPr>
          </w:p>
        </w:tc>
      </w:tr>
      <w:tr>
        <w:trPr>
          <w:trHeight w:val="250"/>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National Corporation</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8,896,631.51</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1.811848991%</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City National Bank of Florida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7,117,305.20</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1.449479191%</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Florida Community 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6,354,736.79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1.294177850%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Israel Discount Bank of New York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6,354,736.79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1.294177850%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Raymond James Bank, N.A.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6,354,736.79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1.294177850%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IBERIABANK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6,176,415.09</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1.257861634%</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Synovus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5,083,789.43</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1.035342280%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Standard Chartered Bank</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4,323,490.57</w:t>
            </w:r>
          </w:p>
        </w:tc>
        <w:tc>
          <w:tcPr>
            <w:tcW w:w="2500" w:type="dxa"/>
            <w:vAlign w:val="bottom"/>
            <w:tcBorders>
              <w:right w:val="single" w:sz="8" w:color="00000A"/>
            </w:tcBorders>
          </w:tcPr>
          <w:p>
            <w:pPr>
              <w:jc w:val="right"/>
              <w:ind w:right="141"/>
              <w:spacing w:after="0"/>
              <w:rPr>
                <w:sz w:val="20"/>
                <w:szCs w:val="20"/>
                <w:color w:val="auto"/>
              </w:rPr>
            </w:pPr>
            <w:r>
              <w:rPr>
                <w:rFonts w:ascii="Arial" w:cs="Arial" w:eastAsia="Arial" w:hAnsi="Arial"/>
                <w:sz w:val="20"/>
                <w:szCs w:val="20"/>
                <w:color w:val="auto"/>
              </w:rPr>
              <w:t>.880503145%</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Stifel Bank &amp; Trust</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3,812,842.08</w:t>
            </w:r>
          </w:p>
        </w:tc>
        <w:tc>
          <w:tcPr>
            <w:tcW w:w="2500" w:type="dxa"/>
            <w:vAlign w:val="bottom"/>
            <w:tcBorders>
              <w:right w:val="single" w:sz="8" w:color="00000A"/>
            </w:tcBorders>
          </w:tcPr>
          <w:p>
            <w:pPr>
              <w:jc w:val="right"/>
              <w:ind w:right="141"/>
              <w:spacing w:after="0"/>
              <w:rPr>
                <w:sz w:val="20"/>
                <w:szCs w:val="20"/>
                <w:color w:val="auto"/>
              </w:rPr>
            </w:pPr>
            <w:r>
              <w:rPr>
                <w:rFonts w:ascii="Arial" w:cs="Arial" w:eastAsia="Arial" w:hAnsi="Arial"/>
                <w:sz w:val="20"/>
                <w:szCs w:val="20"/>
                <w:color w:val="auto"/>
              </w:rPr>
              <w:t>.776506711%</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r>
        <w:trPr>
          <w:trHeight w:val="254"/>
        </w:trPr>
        <w:tc>
          <w:tcPr>
            <w:tcW w:w="56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22"/>
                <w:szCs w:val="22"/>
                <w:color w:val="auto"/>
              </w:rPr>
            </w:pPr>
          </w:p>
        </w:tc>
        <w:tc>
          <w:tcPr>
            <w:tcW w:w="210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b w:val="1"/>
                <w:bCs w:val="1"/>
                <w:color w:val="auto"/>
              </w:rPr>
              <w:t>$491,025,000.00</w:t>
            </w:r>
          </w:p>
        </w:tc>
        <w:tc>
          <w:tcPr>
            <w:tcW w:w="2500" w:type="dxa"/>
            <w:vAlign w:val="bottom"/>
            <w:tcBorders>
              <w:right w:val="single" w:sz="8" w:color="00000A"/>
            </w:tcBorders>
          </w:tcPr>
          <w:p>
            <w:pPr>
              <w:jc w:val="right"/>
              <w:spacing w:after="0"/>
              <w:rPr>
                <w:sz w:val="20"/>
                <w:szCs w:val="20"/>
                <w:color w:val="auto"/>
              </w:rPr>
            </w:pPr>
            <w:r>
              <w:rPr>
                <w:rFonts w:ascii="Arial" w:cs="Arial" w:eastAsia="Arial" w:hAnsi="Arial"/>
                <w:sz w:val="20"/>
                <w:szCs w:val="20"/>
                <w:b w:val="1"/>
                <w:bCs w:val="1"/>
                <w:color w:val="auto"/>
              </w:rPr>
              <w:t>100.000000000%</w:t>
            </w:r>
          </w:p>
        </w:tc>
      </w:tr>
      <w:tr>
        <w:trPr>
          <w:trHeight w:val="50"/>
        </w:trPr>
        <w:tc>
          <w:tcPr>
            <w:tcW w:w="5620" w:type="dxa"/>
            <w:vAlign w:val="bottom"/>
            <w:tcBorders>
              <w:left w:val="single" w:sz="8" w:color="00000A"/>
              <w:bottom w:val="single" w:sz="8" w:color="00000A"/>
              <w:right w:val="single" w:sz="8" w:color="00000A"/>
            </w:tcBorders>
          </w:tcPr>
          <w:p>
            <w:pPr>
              <w:spacing w:after="0"/>
              <w:rPr>
                <w:sz w:val="4"/>
                <w:szCs w:val="4"/>
                <w:color w:val="auto"/>
              </w:rPr>
            </w:pPr>
          </w:p>
        </w:tc>
        <w:tc>
          <w:tcPr>
            <w:tcW w:w="180" w:type="dxa"/>
            <w:vAlign w:val="bottom"/>
            <w:tcBorders>
              <w:bottom w:val="single" w:sz="8" w:color="00000A"/>
            </w:tcBorders>
          </w:tcPr>
          <w:p>
            <w:pPr>
              <w:spacing w:after="0"/>
              <w:rPr>
                <w:sz w:val="4"/>
                <w:szCs w:val="4"/>
                <w:color w:val="auto"/>
              </w:rPr>
            </w:pPr>
          </w:p>
        </w:tc>
        <w:tc>
          <w:tcPr>
            <w:tcW w:w="2100" w:type="dxa"/>
            <w:vAlign w:val="bottom"/>
            <w:tcBorders>
              <w:bottom w:val="single" w:sz="8" w:color="00000A"/>
              <w:right w:val="single" w:sz="8" w:color="00000A"/>
            </w:tcBorders>
          </w:tcPr>
          <w:p>
            <w:pPr>
              <w:spacing w:after="0"/>
              <w:rPr>
                <w:sz w:val="4"/>
                <w:szCs w:val="4"/>
                <w:color w:val="auto"/>
              </w:rPr>
            </w:pPr>
          </w:p>
        </w:tc>
        <w:tc>
          <w:tcPr>
            <w:tcW w:w="250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97592046_9</w:t>
      </w:r>
    </w:p>
    <w:p>
      <w:pPr>
        <w:sectPr>
          <w:pgSz w:w="11900" w:h="16838" w:orient="portrait"/>
          <w:cols w:equalWidth="0" w:num="1">
            <w:col w:w="10920"/>
          </w:cols>
          <w:pgMar w:left="240" w:top="754" w:right="739" w:bottom="1440" w:gutter="0" w:footer="0" w:header="0"/>
        </w:sectPr>
      </w:pPr>
    </w:p>
    <w:bookmarkStart w:id="237" w:name="page238"/>
    <w:bookmarkEnd w:id="237"/>
    <w:tbl>
      <w:tblPr>
        <w:tblLayout w:type="fixed"/>
        <w:tblInd w:w="550" w:type="dxa"/>
        <w:tblCellMar>
          <w:top w:w="0" w:type="dxa"/>
          <w:left w:w="0" w:type="dxa"/>
          <w:bottom w:w="0" w:type="dxa"/>
          <w:right w:w="0" w:type="dxa"/>
        </w:tblCellMar>
      </w:tblPr>
      <w:tr>
        <w:trPr>
          <w:trHeight w:val="328"/>
        </w:trPr>
        <w:tc>
          <w:tcPr>
            <w:tcW w:w="5560" w:type="dxa"/>
            <w:vAlign w:val="bottom"/>
            <w:tcBorders>
              <w:top w:val="single" w:sz="8" w:color="00000A"/>
              <w:left w:val="single" w:sz="8" w:color="00000A"/>
              <w:right w:val="single" w:sz="8" w:color="00000A"/>
            </w:tcBorders>
          </w:tcPr>
          <w:p>
            <w:pPr>
              <w:spacing w:after="0"/>
              <w:rPr>
                <w:sz w:val="24"/>
                <w:szCs w:val="24"/>
                <w:color w:val="auto"/>
              </w:rPr>
            </w:pPr>
          </w:p>
        </w:tc>
        <w:tc>
          <w:tcPr>
            <w:tcW w:w="160" w:type="dxa"/>
            <w:vAlign w:val="bottom"/>
            <w:tcBorders>
              <w:top w:val="single" w:sz="8" w:color="00000A"/>
            </w:tcBorders>
          </w:tcPr>
          <w:p>
            <w:pPr>
              <w:spacing w:after="0"/>
              <w:rPr>
                <w:sz w:val="24"/>
                <w:szCs w:val="24"/>
                <w:color w:val="auto"/>
              </w:rPr>
            </w:pPr>
          </w:p>
        </w:tc>
        <w:tc>
          <w:tcPr>
            <w:tcW w:w="2120" w:type="dxa"/>
            <w:vAlign w:val="bottom"/>
            <w:tcBorders>
              <w:top w:val="single" w:sz="8" w:color="00000A"/>
              <w:right w:val="single" w:sz="8" w:color="00000A"/>
            </w:tcBorders>
          </w:tcPr>
          <w:p>
            <w:pPr>
              <w:jc w:val="right"/>
              <w:ind w:right="121"/>
              <w:spacing w:after="0"/>
              <w:rPr>
                <w:sz w:val="20"/>
                <w:szCs w:val="20"/>
                <w:color w:val="auto"/>
              </w:rPr>
            </w:pPr>
            <w:r>
              <w:rPr>
                <w:rFonts w:ascii="Arial" w:cs="Arial" w:eastAsia="Arial" w:hAnsi="Arial"/>
                <w:sz w:val="20"/>
                <w:szCs w:val="20"/>
                <w:b w:val="1"/>
                <w:bCs w:val="1"/>
                <w:color w:val="auto"/>
                <w:w w:val="91"/>
              </w:rPr>
              <w:t>Singapore Term Loan</w:t>
            </w:r>
          </w:p>
        </w:tc>
        <w:tc>
          <w:tcPr>
            <w:tcW w:w="2520" w:type="dxa"/>
            <w:vAlign w:val="bottom"/>
            <w:tcBorders>
              <w:top w:val="single" w:sz="8" w:color="00000A"/>
              <w:right w:val="single" w:sz="8" w:color="00000A"/>
            </w:tcBorders>
          </w:tcPr>
          <w:p>
            <w:pPr>
              <w:jc w:val="right"/>
              <w:ind w:right="161"/>
              <w:spacing w:after="0"/>
              <w:rPr>
                <w:sz w:val="20"/>
                <w:szCs w:val="20"/>
                <w:color w:val="auto"/>
              </w:rPr>
            </w:pPr>
            <w:r>
              <w:rPr>
                <w:rFonts w:ascii="Arial" w:cs="Arial" w:eastAsia="Arial" w:hAnsi="Arial"/>
                <w:sz w:val="20"/>
                <w:szCs w:val="20"/>
                <w:b w:val="1"/>
                <w:bCs w:val="1"/>
                <w:color w:val="auto"/>
              </w:rPr>
              <w:t>Pro Rata Term Share of</w:t>
            </w:r>
          </w:p>
        </w:tc>
      </w:tr>
      <w:tr>
        <w:trPr>
          <w:trHeight w:val="256"/>
        </w:trPr>
        <w:tc>
          <w:tcPr>
            <w:tcW w:w="5560" w:type="dxa"/>
            <w:vAlign w:val="bottom"/>
            <w:tcBorders>
              <w:left w:val="single" w:sz="8" w:color="00000A"/>
              <w:right w:val="single" w:sz="8" w:color="00000A"/>
            </w:tcBorders>
          </w:tcPr>
          <w:p>
            <w:pPr>
              <w:ind w:left="2460"/>
              <w:spacing w:after="0"/>
              <w:rPr>
                <w:sz w:val="20"/>
                <w:szCs w:val="20"/>
                <w:color w:val="auto"/>
              </w:rPr>
            </w:pPr>
            <w:r>
              <w:rPr>
                <w:rFonts w:ascii="Arial" w:cs="Arial" w:eastAsia="Arial" w:hAnsi="Arial"/>
                <w:sz w:val="20"/>
                <w:szCs w:val="20"/>
                <w:b w:val="1"/>
                <w:bCs w:val="1"/>
                <w:color w:val="auto"/>
              </w:rPr>
              <w:t>Lender</w:t>
            </w:r>
          </w:p>
        </w:tc>
        <w:tc>
          <w:tcPr>
            <w:tcW w:w="160" w:type="dxa"/>
            <w:vAlign w:val="bottom"/>
          </w:tcPr>
          <w:p>
            <w:pPr>
              <w:spacing w:after="0"/>
              <w:rPr>
                <w:sz w:val="22"/>
                <w:szCs w:val="22"/>
                <w:color w:val="auto"/>
              </w:rPr>
            </w:pPr>
          </w:p>
        </w:tc>
        <w:tc>
          <w:tcPr>
            <w:tcW w:w="2120" w:type="dxa"/>
            <w:vAlign w:val="bottom"/>
            <w:tcBorders>
              <w:right w:val="single" w:sz="8" w:color="00000A"/>
            </w:tcBorders>
          </w:tcPr>
          <w:p>
            <w:pPr>
              <w:jc w:val="right"/>
              <w:ind w:right="501"/>
              <w:spacing w:after="0"/>
              <w:rPr>
                <w:sz w:val="20"/>
                <w:szCs w:val="20"/>
                <w:color w:val="auto"/>
              </w:rPr>
            </w:pPr>
            <w:r>
              <w:rPr>
                <w:rFonts w:ascii="Arial" w:cs="Arial" w:eastAsia="Arial" w:hAnsi="Arial"/>
                <w:sz w:val="20"/>
                <w:szCs w:val="20"/>
                <w:b w:val="1"/>
                <w:bCs w:val="1"/>
                <w:color w:val="auto"/>
              </w:rPr>
              <w:t>Commitment</w:t>
            </w:r>
          </w:p>
        </w:tc>
        <w:tc>
          <w:tcPr>
            <w:tcW w:w="2520" w:type="dxa"/>
            <w:vAlign w:val="bottom"/>
            <w:tcBorders>
              <w:right w:val="single" w:sz="8" w:color="00000A"/>
            </w:tcBorders>
          </w:tcPr>
          <w:p>
            <w:pPr>
              <w:jc w:val="right"/>
              <w:ind w:right="241"/>
              <w:spacing w:after="0"/>
              <w:rPr>
                <w:sz w:val="20"/>
                <w:szCs w:val="20"/>
                <w:color w:val="auto"/>
              </w:rPr>
            </w:pPr>
            <w:r>
              <w:rPr>
                <w:rFonts w:ascii="Arial" w:cs="Arial" w:eastAsia="Arial" w:hAnsi="Arial"/>
                <w:sz w:val="20"/>
                <w:szCs w:val="20"/>
                <w:b w:val="1"/>
                <w:bCs w:val="1"/>
                <w:color w:val="auto"/>
              </w:rPr>
              <w:t>Singapore Term Loan</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r>
        <w:trPr>
          <w:trHeight w:val="254"/>
        </w:trPr>
        <w:tc>
          <w:tcPr>
            <w:tcW w:w="5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Bank of America, N.A., Singapore Branch</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11,193,750.00</w:t>
            </w:r>
          </w:p>
        </w:tc>
        <w:tc>
          <w:tcPr>
            <w:tcW w:w="252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25.000000000%</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r>
        <w:trPr>
          <w:trHeight w:val="281"/>
        </w:trPr>
        <w:tc>
          <w:tcPr>
            <w:tcW w:w="5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w w:val="96"/>
              </w:rPr>
              <w:t>Hong Kong &amp; Shanghai Banking Corporation Limited, Singapore</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11,193,750.00</w:t>
            </w:r>
          </w:p>
        </w:tc>
        <w:tc>
          <w:tcPr>
            <w:tcW w:w="252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25.000000000%</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r>
        <w:trPr>
          <w:trHeight w:val="254"/>
        </w:trPr>
        <w:tc>
          <w:tcPr>
            <w:tcW w:w="5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Citibank, N.A., Singapore Branch</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11,193,750.00</w:t>
            </w:r>
          </w:p>
        </w:tc>
        <w:tc>
          <w:tcPr>
            <w:tcW w:w="2520" w:type="dxa"/>
            <w:vAlign w:val="bottom"/>
            <w:tcBorders>
              <w:right w:val="single" w:sz="8" w:color="00000A"/>
            </w:tcBorders>
          </w:tcPr>
          <w:p>
            <w:pPr>
              <w:jc w:val="right"/>
              <w:ind w:right="21"/>
              <w:spacing w:after="0"/>
              <w:rPr>
                <w:sz w:val="20"/>
                <w:szCs w:val="20"/>
                <w:color w:val="auto"/>
              </w:rPr>
            </w:pPr>
            <w:r>
              <w:rPr>
                <w:rFonts w:ascii="Arial" w:cs="Arial" w:eastAsia="Arial" w:hAnsi="Arial"/>
                <w:sz w:val="20"/>
                <w:szCs w:val="20"/>
                <w:color w:val="auto"/>
              </w:rPr>
              <w:t>25.000000000%</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r>
        <w:trPr>
          <w:trHeight w:val="281"/>
        </w:trPr>
        <w:tc>
          <w:tcPr>
            <w:tcW w:w="5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The Bank of Tokyo-Mitsubishi UFJ, Ltd., Singapore Branch</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color w:val="auto"/>
              </w:rPr>
              <w:t>11,193,750.00</w:t>
            </w:r>
          </w:p>
        </w:tc>
        <w:tc>
          <w:tcPr>
            <w:tcW w:w="2520" w:type="dxa"/>
            <w:vAlign w:val="bottom"/>
            <w:tcBorders>
              <w:right w:val="single" w:sz="8" w:color="00000A"/>
            </w:tcBorders>
          </w:tcPr>
          <w:p>
            <w:pPr>
              <w:jc w:val="right"/>
              <w:spacing w:after="0"/>
              <w:rPr>
                <w:sz w:val="20"/>
                <w:szCs w:val="20"/>
                <w:color w:val="auto"/>
              </w:rPr>
            </w:pPr>
            <w:r>
              <w:rPr>
                <w:rFonts w:ascii="Arial" w:cs="Arial" w:eastAsia="Arial" w:hAnsi="Arial"/>
                <w:sz w:val="20"/>
                <w:szCs w:val="20"/>
                <w:color w:val="auto"/>
              </w:rPr>
              <w:t>25 %</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r>
        <w:trPr>
          <w:trHeight w:val="254"/>
        </w:trPr>
        <w:tc>
          <w:tcPr>
            <w:tcW w:w="5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21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b w:val="1"/>
                <w:bCs w:val="1"/>
                <w:color w:val="auto"/>
              </w:rPr>
              <w:t>44,775,000.00</w:t>
            </w:r>
          </w:p>
        </w:tc>
        <w:tc>
          <w:tcPr>
            <w:tcW w:w="2520" w:type="dxa"/>
            <w:vAlign w:val="bottom"/>
            <w:tcBorders>
              <w:right w:val="single" w:sz="8" w:color="00000A"/>
            </w:tcBorders>
          </w:tcPr>
          <w:p>
            <w:pPr>
              <w:jc w:val="right"/>
              <w:ind w:right="1"/>
              <w:spacing w:after="0"/>
              <w:rPr>
                <w:sz w:val="20"/>
                <w:szCs w:val="20"/>
                <w:color w:val="auto"/>
              </w:rPr>
            </w:pPr>
            <w:r>
              <w:rPr>
                <w:rFonts w:ascii="Arial" w:cs="Arial" w:eastAsia="Arial" w:hAnsi="Arial"/>
                <w:sz w:val="20"/>
                <w:szCs w:val="20"/>
                <w:b w:val="1"/>
                <w:bCs w:val="1"/>
                <w:color w:val="auto"/>
              </w:rPr>
              <w:t>100.000000000%</w:t>
            </w:r>
          </w:p>
        </w:tc>
      </w:tr>
      <w:tr>
        <w:trPr>
          <w:trHeight w:val="50"/>
        </w:trPr>
        <w:tc>
          <w:tcPr>
            <w:tcW w:w="5560" w:type="dxa"/>
            <w:vAlign w:val="bottom"/>
            <w:tcBorders>
              <w:left w:val="single" w:sz="8" w:color="00000A"/>
              <w:bottom w:val="single" w:sz="8" w:color="00000A"/>
              <w:right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2120" w:type="dxa"/>
            <w:vAlign w:val="bottom"/>
            <w:tcBorders>
              <w:bottom w:val="single" w:sz="8" w:color="00000A"/>
              <w:right w:val="single" w:sz="8" w:color="00000A"/>
            </w:tcBorders>
          </w:tcPr>
          <w:p>
            <w:pPr>
              <w:spacing w:after="0"/>
              <w:rPr>
                <w:sz w:val="4"/>
                <w:szCs w:val="4"/>
                <w:color w:val="auto"/>
              </w:rPr>
            </w:pPr>
          </w:p>
        </w:tc>
        <w:tc>
          <w:tcPr>
            <w:tcW w:w="252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97592046_9</w:t>
      </w:r>
    </w:p>
    <w:p>
      <w:pPr>
        <w:sectPr>
          <w:pgSz w:w="11900" w:h="16838" w:orient="portrait"/>
          <w:cols w:equalWidth="0" w:num="1">
            <w:col w:w="10900"/>
          </w:cols>
          <w:pgMar w:left="240" w:top="1011" w:right="759" w:bottom="1440" w:gutter="0" w:footer="0" w:header="0"/>
        </w:sectPr>
      </w:pPr>
    </w:p>
    <w:bookmarkStart w:id="238" w:name="page239"/>
    <w:bookmarkEnd w:id="238"/>
    <w:p>
      <w:pPr>
        <w:jc w:val="center"/>
        <w:ind w:right="-1200"/>
        <w:spacing w:after="0"/>
        <w:rPr>
          <w:sz w:val="20"/>
          <w:szCs w:val="20"/>
          <w:color w:val="auto"/>
        </w:rPr>
      </w:pPr>
      <w:r>
        <w:rPr>
          <w:rFonts w:ascii="Arial" w:cs="Arial" w:eastAsia="Arial" w:hAnsi="Arial"/>
          <w:sz w:val="22"/>
          <w:szCs w:val="22"/>
          <w:b w:val="1"/>
          <w:bCs w:val="1"/>
          <w:color w:val="auto"/>
        </w:rPr>
        <w:t>Annex II</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Form of Compliance Certificate</w:t>
      </w:r>
    </w:p>
    <w:p>
      <w:pPr>
        <w:spacing w:after="0" w:line="295"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[See attached.]</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97592046_9</w:t>
      </w:r>
    </w:p>
    <w:p>
      <w:pPr>
        <w:sectPr>
          <w:pgSz w:w="11900" w:h="16838" w:orient="portrait"/>
          <w:cols w:equalWidth="0" w:num="1">
            <w:col w:w="10219"/>
          </w:cols>
          <w:pgMar w:left="240" w:top="625" w:right="1440"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Exhibit 21.1</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980" w:type="dxa"/>
            <w:vAlign w:val="bottom"/>
          </w:tcPr>
          <w:p>
            <w:pPr>
              <w:spacing w:after="0"/>
              <w:rPr>
                <w:sz w:val="17"/>
                <w:szCs w:val="17"/>
                <w:color w:val="auto"/>
              </w:rPr>
            </w:pPr>
          </w:p>
        </w:tc>
      </w:tr>
      <w:tr>
        <w:trPr>
          <w:trHeight w:val="277"/>
        </w:trPr>
        <w:tc>
          <w:tcPr>
            <w:tcW w:w="488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AHT Services,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Air Petro Corp.</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Fuels,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Alta Transportation,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Altitude Ventures Holding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Amelia Holding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ANY-G Services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Ascent Aviation Group,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Associated Petroleum Products,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Holding Company (BVI) Ltd.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w w:val="98"/>
              </w:rPr>
              <w:t>Virgin Islands, British</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AVCARD Services (BVI), Ltd.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w w:val="98"/>
              </w:rPr>
              <w:t>Virgin Islands, British</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Aktiebolag</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Shared Services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Avinode,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Baseops International,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Casa Petro, S.R.L.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Costa Rica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Chrome Club,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das Américas Serviços de Aviação Ltda.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Brazil</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Europe SARL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Switzerland</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International,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Colt Risk Management Services,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Combustibles Aereos Nacionales, S. de R.L. de C.V.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Mexico</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Desanfur S.A.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Uruguay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Ecuacentair Cia. Ltda.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Ecuador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Energie-Tankdienstgesellschaft Bremen mbH</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Oil Services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Falmouth Petroleum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(UK)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Gib Oil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Gibraltar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Hellenic Aviation Fuel Company S.A.</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Greece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Oil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Henty Shipping Services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JCP Brazil,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 T M,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Consulting, LLC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Denmark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Denmark</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France Sarl</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France</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Germany GmbH</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Germany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Green Services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Hungary Kft</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Hungary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Markets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Netherlands B.V.</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Netherlands</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Pty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Australia</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Spot AS</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Norway</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Sweden AB</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Sweden</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UK Limited</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Kingdom</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Kinect Energy, Inc.</w:t>
            </w:r>
          </w:p>
        </w:tc>
        <w:tc>
          <w:tcPr>
            <w:tcW w:w="192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0219"/>
          </w:cols>
          <w:pgMar w:left="240" w:top="363" w:right="1440"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780" w:type="dxa"/>
            <w:vAlign w:val="bottom"/>
          </w:tcPr>
          <w:p>
            <w:pPr>
              <w:spacing w:after="0"/>
              <w:rPr>
                <w:sz w:val="17"/>
                <w:szCs w:val="17"/>
                <w:color w:val="auto"/>
              </w:rPr>
            </w:pPr>
          </w:p>
        </w:tc>
      </w:tr>
      <w:tr>
        <w:trPr>
          <w:trHeight w:val="277"/>
        </w:trPr>
        <w:tc>
          <w:tcPr>
            <w:tcW w:w="4660" w:type="dxa"/>
            <w:vAlign w:val="bottom"/>
            <w:gridSpan w:val="2"/>
          </w:tcPr>
          <w:p>
            <w:pPr>
              <w:spacing w:after="0"/>
              <w:rPr>
                <w:sz w:val="20"/>
                <w:szCs w:val="20"/>
                <w:color w:val="auto"/>
              </w:rPr>
            </w:pPr>
            <w:r>
              <w:rPr>
                <w:rFonts w:ascii="Arial" w:cs="Arial" w:eastAsia="Arial" w:hAnsi="Arial"/>
                <w:sz w:val="18"/>
                <w:szCs w:val="18"/>
                <w:color w:val="auto"/>
              </w:rPr>
              <w:t>Kropp Holdings, Inc.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LFO Holdings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Linton Fuel Oils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MH Aviation Services (Pty) Ltd.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South Africa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MS Europe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MSTS Payments, LLC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Aero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Comercio, S. de R.L. de C.V.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Mexico</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Holding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Pre Paid Solutions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Private Label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Pty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Australia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Multi Service Technology Solutions, Inc.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Nature Port Reception Facilities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Gibraltar</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Nordic Camp Supply ApS</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Denmark</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Nordic Camp Supply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Norse Bunker AS</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Norway</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ODEMNA Energy, LLC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Oil Shipping (Bunkering) B.V.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Oil Shipping Korea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w w:val="98"/>
              </w:rPr>
              <w:t>Korea, Republic of</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On-Demand Energy, L.P</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Orchard (Holdings) UK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Orchard Energy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Orchard Utilities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Orchard Water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PAPCO, Inc.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PAX Distribution, LLC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PayNode AB</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Sweden</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Petro Air, Corp.</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Puerto Rico</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Petroleum Transport Solutions, LLC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PetroServicios de Costa Rica, S.R.L.</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Costa Rica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PT Oil Shipping Trans Indonesia</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Indonesia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PT Servicios de Guatemala, Limitada</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Redline Oil Services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Resource Recovery of America, Inc.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Schedaero AB</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Sweden</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SchedAero, Inc.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Servicios Auxiliares de México, S. de R.L. de C.V.</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Mexico</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Servicios de Combustible Atlanticos, S.R.L</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Costa Rica</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Servicios Ecuatorianos de Energia-Secsa CIA. LTDA</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Ecuador</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Servicios WFSE Ecuador C.L.</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Ecuador</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Spire Flight Solutions (Ireland)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Ireland</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Tamlyn Shipping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Tank and Marine Engineering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The Hiller Group Incorporated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The Lubricant Company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TM Hawkins Brazil, LLC</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States</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Tobras Distribuidora de Combustíveis Ltda.</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Brazil</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Tramp Group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Tramp Holdings Limited</w:t>
            </w:r>
          </w:p>
        </w:tc>
        <w:tc>
          <w:tcPr>
            <w:tcW w:w="1940" w:type="dxa"/>
            <w:vAlign w:val="bottom"/>
            <w:gridSpan w:val="3"/>
          </w:tcPr>
          <w:p>
            <w:pPr>
              <w:ind w:left="4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19"/>
          </w:cols>
          <w:pgMar w:left="240" w:top="809" w:right="1440"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7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600" w:type="dxa"/>
            <w:vAlign w:val="bottom"/>
          </w:tcPr>
          <w:p>
            <w:pPr>
              <w:spacing w:after="0"/>
              <w:rPr>
                <w:sz w:val="17"/>
                <w:szCs w:val="17"/>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&amp; Marine (Argentina) S.R.L.</w:t>
            </w:r>
          </w:p>
        </w:tc>
        <w:tc>
          <w:tcPr>
            <w:tcW w:w="130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&amp; Marine (Chile) Limitada</w:t>
            </w:r>
          </w:p>
        </w:tc>
        <w:tc>
          <w:tcPr>
            <w:tcW w:w="13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&amp; Marine (Romania) SRL</w:t>
            </w:r>
          </w:p>
        </w:tc>
        <w:tc>
          <w:tcPr>
            <w:tcW w:w="1300" w:type="dxa"/>
            <w:vAlign w:val="bottom"/>
            <w:gridSpan w:val="2"/>
          </w:tcPr>
          <w:p>
            <w:pPr>
              <w:spacing w:after="0"/>
              <w:rPr>
                <w:sz w:val="20"/>
                <w:szCs w:val="20"/>
                <w:color w:val="auto"/>
              </w:rPr>
            </w:pPr>
            <w:r>
              <w:rPr>
                <w:rFonts w:ascii="Arial" w:cs="Arial" w:eastAsia="Arial" w:hAnsi="Arial"/>
                <w:sz w:val="18"/>
                <w:szCs w:val="18"/>
                <w:color w:val="auto"/>
              </w:rPr>
              <w:t>Romania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&amp; Marine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(Brasil) Ltda.</w:t>
            </w:r>
          </w:p>
        </w:tc>
        <w:tc>
          <w:tcPr>
            <w:tcW w:w="13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Germany GmbH</w:t>
            </w:r>
          </w:p>
        </w:tc>
        <w:tc>
          <w:tcPr>
            <w:tcW w:w="13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 Participações Ltda.</w:t>
            </w:r>
          </w:p>
        </w:tc>
        <w:tc>
          <w:tcPr>
            <w:tcW w:w="130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Tramp Oil-Schiffahrts-und Handelsgesellschaft mbH &amp; Co.</w:t>
            </w:r>
          </w:p>
        </w:tc>
        <w:tc>
          <w:tcPr>
            <w:tcW w:w="13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Trans-Tec Mundial S.R.L.</w:t>
            </w:r>
          </w:p>
        </w:tc>
        <w:tc>
          <w:tcPr>
            <w:tcW w:w="130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U.S. Energy Engineering, Inc.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Western Aviation Products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Western Petroleum Company</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Lubricants S.L.</w:t>
            </w:r>
          </w:p>
        </w:tc>
        <w:tc>
          <w:tcPr>
            <w:tcW w:w="13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I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II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III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IV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V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 Tanker VI Pte.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(UK) II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(UK)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WFL MOZAMBIQUE, LDA</w:t>
            </w:r>
          </w:p>
        </w:tc>
        <w:tc>
          <w:tcPr>
            <w:tcW w:w="1300" w:type="dxa"/>
            <w:vAlign w:val="bottom"/>
            <w:gridSpan w:val="2"/>
          </w:tcPr>
          <w:p>
            <w:pPr>
              <w:spacing w:after="0"/>
              <w:rPr>
                <w:sz w:val="20"/>
                <w:szCs w:val="20"/>
                <w:color w:val="auto"/>
              </w:rPr>
            </w:pPr>
            <w:r>
              <w:rPr>
                <w:rFonts w:ascii="Arial" w:cs="Arial" w:eastAsia="Arial" w:hAnsi="Arial"/>
                <w:sz w:val="18"/>
                <w:szCs w:val="18"/>
                <w:color w:val="auto"/>
              </w:rPr>
              <w:t>Mozambique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&amp; J Company Limited</w:t>
            </w:r>
          </w:p>
        </w:tc>
        <w:tc>
          <w:tcPr>
            <w:tcW w:w="13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(Guam) Limited</w:t>
            </w:r>
          </w:p>
        </w:tc>
        <w:tc>
          <w:tcPr>
            <w:tcW w:w="1300" w:type="dxa"/>
            <w:vAlign w:val="bottom"/>
            <w:gridSpan w:val="2"/>
          </w:tcPr>
          <w:p>
            <w:pPr>
              <w:spacing w:after="0"/>
              <w:rPr>
                <w:sz w:val="20"/>
                <w:szCs w:val="20"/>
                <w:color w:val="auto"/>
              </w:rPr>
            </w:pPr>
            <w:r>
              <w:rPr>
                <w:rFonts w:ascii="Arial" w:cs="Arial" w:eastAsia="Arial" w:hAnsi="Arial"/>
                <w:sz w:val="18"/>
                <w:szCs w:val="18"/>
                <w:color w:val="auto"/>
              </w:rPr>
              <w:t>Guam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Agencia de Naves, Limitada</w:t>
            </w:r>
          </w:p>
        </w:tc>
        <w:tc>
          <w:tcPr>
            <w:tcW w:w="13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Commercial Consulting (Shanghai) Co., Ltd.</w:t>
            </w:r>
          </w:p>
        </w:tc>
        <w:tc>
          <w:tcPr>
            <w:tcW w:w="13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Danish Holding Company I ApS</w:t>
            </w:r>
          </w:p>
        </w:tc>
        <w:tc>
          <w:tcPr>
            <w:tcW w:w="13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Danish Holding Partnership K/S</w:t>
            </w:r>
          </w:p>
        </w:tc>
        <w:tc>
          <w:tcPr>
            <w:tcW w:w="130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Company II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Company III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II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III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UK Holding Partnership LP</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IV,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WFS US Holding Company VII,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Capital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III</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IV</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Cayman Holding Company V</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Cayman Islands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Commodities Services (Ireland) Limited</w:t>
            </w:r>
          </w:p>
        </w:tc>
        <w:tc>
          <w:tcPr>
            <w:tcW w:w="13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CX LLC</w:t>
            </w:r>
          </w:p>
        </w:tc>
        <w:tc>
          <w:tcPr>
            <w:tcW w:w="13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Gas and Power Limited</w:t>
            </w:r>
          </w:p>
        </w:tc>
        <w:tc>
          <w:tcPr>
            <w:tcW w:w="1300" w:type="dxa"/>
            <w:vAlign w:val="bottom"/>
            <w:gridSpan w:val="2"/>
          </w:tcPr>
          <w:p>
            <w:pPr>
              <w:spacing w:after="0"/>
              <w:rPr>
                <w:sz w:val="20"/>
                <w:szCs w:val="20"/>
                <w:color w:val="auto"/>
              </w:rPr>
            </w:pPr>
            <w:r>
              <w:rPr>
                <w:rFonts w:ascii="Arial" w:cs="Arial" w:eastAsia="Arial" w:hAnsi="Arial"/>
                <w:sz w:val="18"/>
                <w:szCs w:val="18"/>
                <w:color w:val="auto"/>
                <w:w w:val="99"/>
              </w:rPr>
              <w:t>United Kingdom</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International S.R.L. (Petromundo Internacional,</w:t>
            </w: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S.R.L.)</w:t>
            </w:r>
          </w:p>
        </w:tc>
        <w:tc>
          <w:tcPr>
            <w:tcW w:w="1300" w:type="dxa"/>
            <w:vAlign w:val="bottom"/>
            <w:gridSpan w:val="2"/>
          </w:tcPr>
          <w:p>
            <w:pPr>
              <w:spacing w:after="0"/>
              <w:rPr>
                <w:sz w:val="20"/>
                <w:szCs w:val="20"/>
                <w:color w:val="auto"/>
              </w:rPr>
            </w:pPr>
            <w:r>
              <w:rPr>
                <w:rFonts w:ascii="Arial" w:cs="Arial" w:eastAsia="Arial" w:hAnsi="Arial"/>
                <w:sz w:val="18"/>
                <w:szCs w:val="18"/>
                <w:color w:val="auto"/>
              </w:rPr>
              <w:t>Costa Rica</w:t>
            </w:r>
          </w:p>
        </w:tc>
      </w:tr>
    </w:tbl>
    <w:p>
      <w:pPr>
        <w:sectPr>
          <w:pgSz w:w="11900" w:h="16838" w:orient="portrait"/>
          <w:cols w:equalWidth="0" w:num="1">
            <w:col w:w="10219"/>
          </w:cols>
          <w:pgMar w:left="240" w:top="809" w:right="1440"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b w:val="1"/>
          <w:bCs w:val="1"/>
          <w:color w:val="auto"/>
        </w:rPr>
        <w:t>SUBSIDIARIES OF REGISTRANT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Company Name</w:t>
            </w:r>
          </w:p>
        </w:tc>
        <w:tc>
          <w:tcPr>
            <w:tcW w:w="37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Country</w:t>
            </w:r>
          </w:p>
        </w:tc>
        <w:tc>
          <w:tcPr>
            <w:tcW w:w="1020" w:type="dxa"/>
            <w:vAlign w:val="bottom"/>
          </w:tcPr>
          <w:p>
            <w:pPr>
              <w:spacing w:after="0"/>
              <w:rPr>
                <w:sz w:val="17"/>
                <w:szCs w:val="17"/>
                <w:color w:val="auto"/>
              </w:rPr>
            </w:pPr>
          </w:p>
        </w:tc>
      </w:tr>
      <w:tr>
        <w:trPr>
          <w:trHeight w:val="27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PG Trading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(Australia)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(Bahamas)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Bahamas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(Costa Rica)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Costa 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(Denmark) ApS</w:t>
            </w:r>
          </w:p>
        </w:tc>
        <w:tc>
          <w:tcPr>
            <w:tcW w:w="172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(Hong Kong)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(KG)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Kyrgyzstan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(Malaysia) Sdn. Bhd.</w:t>
            </w:r>
          </w:p>
        </w:tc>
        <w:tc>
          <w:tcPr>
            <w:tcW w:w="172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(New Zealand)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New Zealand</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(Panama) Limited Liability Company,</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Sociedad De Responsabilidad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(Singapore)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(Singapore)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(South Africa)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South Africa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(Taiwan)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Argentina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Aviation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Belgium BVBA</w:t>
            </w:r>
          </w:p>
        </w:tc>
        <w:tc>
          <w:tcPr>
            <w:tcW w:w="172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Canada, ULC</w:t>
            </w:r>
          </w:p>
        </w:tc>
        <w:tc>
          <w:tcPr>
            <w:tcW w:w="172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Chile, Limitada</w:t>
            </w:r>
          </w:p>
        </w:tc>
        <w:tc>
          <w:tcPr>
            <w:tcW w:w="172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Company,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6860" w:type="dxa"/>
            <w:vAlign w:val="bottom"/>
            <w:gridSpan w:val="4"/>
          </w:tcPr>
          <w:p>
            <w:pPr>
              <w:spacing w:after="0"/>
              <w:rPr>
                <w:sz w:val="20"/>
                <w:szCs w:val="20"/>
                <w:color w:val="auto"/>
              </w:rPr>
            </w:pPr>
            <w:r>
              <w:rPr>
                <w:rFonts w:ascii="Arial" w:cs="Arial" w:eastAsia="Arial" w:hAnsi="Arial"/>
                <w:sz w:val="18"/>
                <w:szCs w:val="18"/>
                <w:color w:val="auto"/>
              </w:rPr>
              <w:t>World Fuel Services Corporate Aviation Support Services, Inc.  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CZ s.r.o.</w:t>
            </w:r>
          </w:p>
        </w:tc>
        <w:tc>
          <w:tcPr>
            <w:tcW w:w="172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European Holding Company I,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II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Finance Company S.à.r.L.</w:t>
            </w:r>
          </w:p>
        </w:tc>
        <w:tc>
          <w:tcPr>
            <w:tcW w:w="172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France SAS</w:t>
            </w:r>
          </w:p>
        </w:tc>
        <w:tc>
          <w:tcPr>
            <w:tcW w:w="17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International (Panama)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Panama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Italy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Japan G.K.</w:t>
            </w:r>
          </w:p>
        </w:tc>
        <w:tc>
          <w:tcPr>
            <w:tcW w:w="17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Kenya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Kenya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México, S. de R.L. de C.V.</w:t>
            </w:r>
          </w:p>
        </w:tc>
        <w:tc>
          <w:tcPr>
            <w:tcW w:w="17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Pakistan (Pvt.)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Pakistan</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Peru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Peru</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Private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Trading DMCC</w:t>
            </w:r>
          </w:p>
        </w:tc>
        <w:tc>
          <w:tcPr>
            <w:tcW w:w="1720" w:type="dxa"/>
            <w:vAlign w:val="bottom"/>
            <w:gridSpan w:val="2"/>
          </w:tcPr>
          <w:p>
            <w:pPr>
              <w:spacing w:after="0"/>
              <w:rPr>
                <w:sz w:val="20"/>
                <w:szCs w:val="20"/>
                <w:color w:val="auto"/>
              </w:rPr>
            </w:pPr>
            <w:r>
              <w:rPr>
                <w:rFonts w:ascii="Arial" w:cs="Arial" w:eastAsia="Arial" w:hAnsi="Arial"/>
                <w:sz w:val="18"/>
                <w:szCs w:val="18"/>
                <w:color w:val="auto"/>
                <w:w w:val="99"/>
              </w:rPr>
              <w:t>United Arab Emirates</w:t>
            </w:r>
          </w:p>
        </w:tc>
      </w:tr>
      <w:tr>
        <w:trPr>
          <w:trHeight w:val="242"/>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Turkey Petrol Urunleri Dagitim Ve Ticaret</w:t>
            </w: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Limited Sirketi</w:t>
            </w:r>
          </w:p>
        </w:tc>
        <w:tc>
          <w:tcPr>
            <w:tcW w:w="172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Services,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World Fuel Singapore Holding Company II Pte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5140" w:type="dxa"/>
            <w:vAlign w:val="bottom"/>
            <w:gridSpan w:val="2"/>
          </w:tcPr>
          <w:p>
            <w:pPr>
              <w:spacing w:after="0"/>
              <w:rPr>
                <w:sz w:val="20"/>
                <w:szCs w:val="20"/>
                <w:color w:val="auto"/>
              </w:rPr>
            </w:pPr>
            <w:r>
              <w:rPr>
                <w:rFonts w:ascii="Arial" w:cs="Arial" w:eastAsia="Arial" w:hAnsi="Arial"/>
                <w:sz w:val="18"/>
                <w:szCs w:val="18"/>
                <w:color w:val="auto"/>
              </w:rPr>
              <w:t>Yacht Fuel Services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19"/>
          </w:cols>
          <w:pgMar w:left="240" w:top="810" w:right="1440"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Exhibit 23.1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333-212927, No. 333-161099, No. 333-144379, No. 333-130528 and No. 333-68276) of World Fuel Services Corporation of our report dated February 28, 2018 relating to the consolidated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606"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2018</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 for the period ended December 31, 2017;</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28,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220" w:hanging="328"/>
        <w:spacing w:after="0" w:line="277"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2017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1."/>
      <w:numFmt w:val="upperLetter"/>
      <w:start w:val="1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1)"/>
      <w:numFmt w:val="decimal"/>
      <w:start w:val="1"/>
    </w:lvl>
  </w:abstractNum>
  <w:abstractNum w:abstractNumId="13">
    <w:nsid w:val="2B0D8DBE"/>
    <w:multiLevelType w:val="hybridMultilevel"/>
    <w:lvl w:ilvl="0">
      <w:lvlJc w:val="left"/>
      <w:lvlText w:val="(%1)"/>
      <w:numFmt w:val="decimal"/>
      <w:start w:val="1"/>
    </w:lvl>
  </w:abstractNum>
  <w:abstractNum w:abstractNumId="14">
    <w:nsid w:val="6C80EC70"/>
    <w:multiLevelType w:val="hybridMultilevel"/>
    <w:lvl w:ilvl="0">
      <w:lvlJc w:val="left"/>
      <w:lvlText w:val="(%1)"/>
      <w:numFmt w:val="decimal"/>
      <w:start w:val="1"/>
    </w:lvl>
  </w:abstractNum>
  <w:abstractNum w:abstractNumId="15">
    <w:nsid w:val="379E21B5"/>
    <w:multiLevelType w:val="hybridMultilevel"/>
    <w:lvl w:ilvl="0">
      <w:lvlJc w:val="left"/>
      <w:lvlText w:val="(%1)"/>
      <w:numFmt w:val="lowerRoman"/>
      <w:start w:val="1"/>
    </w:lvl>
  </w:abstractNum>
  <w:abstractNum w:abstractNumId="16">
    <w:nsid w:val="69E373"/>
    <w:multiLevelType w:val="hybridMultilevel"/>
    <w:lvl w:ilvl="0">
      <w:lvlJc w:val="left"/>
      <w:lvlText w:val="(%1)"/>
      <w:numFmt w:val="lowerLetter"/>
      <w:start w:val="2"/>
    </w:lvl>
  </w:abstractNum>
  <w:abstractNum w:abstractNumId="17">
    <w:nsid w:val="2C27173B"/>
    <w:multiLevelType w:val="hybridMultilevel"/>
    <w:lvl w:ilvl="0">
      <w:lvlJc w:val="left"/>
      <w:lvlText w:val="*"/>
      <w:numFmt w:val="bullet"/>
      <w:start w:val="1"/>
    </w:lvl>
    <w:lvl w:ilvl="1">
      <w:lvlJc w:val="left"/>
      <w:lvlText w:val="%2"/>
      <w:numFmt w:val="decimal"/>
      <w:start w:val="101"/>
    </w:lvl>
  </w:abstractNum>
  <w:abstractNum w:abstractNumId="18">
    <w:nsid w:val="4C9B0904"/>
    <w:multiLevelType w:val="hybridMultilevel"/>
    <w:lvl w:ilvl="0">
      <w:lvlJc w:val="left"/>
      <w:lvlText w:val="%1."/>
      <w:numFmt w:val="decimal"/>
      <w:start w:val="3"/>
    </w:lvl>
  </w:abstractNum>
  <w:abstractNum w:abstractNumId="19">
    <w:nsid w:val="6AA7B75C"/>
    <w:multiLevelType w:val="hybridMultilevel"/>
    <w:lvl w:ilvl="0">
      <w:lvlJc w:val="left"/>
      <w:lvlText w:val="(%1)"/>
      <w:numFmt w:val="decimal"/>
      <w:start w:val="1"/>
    </w:lvl>
  </w:abstractNum>
  <w:abstractNum w:abstractNumId="20">
    <w:nsid w:val="1DF029D3"/>
    <w:multiLevelType w:val="hybridMultilevel"/>
    <w:lvl w:ilvl="0">
      <w:lvlJc w:val="left"/>
      <w:lvlText w:val="%1."/>
      <w:numFmt w:val="decimal"/>
      <w:start w:val="9"/>
    </w:lvl>
  </w:abstractNum>
  <w:abstractNum w:abstractNumId="21">
    <w:nsid w:val="5675FF36"/>
    <w:multiLevelType w:val="hybridMultilevel"/>
    <w:lvl w:ilvl="0">
      <w:lvlJc w:val="left"/>
      <w:lvlText w:val="%1."/>
      <w:numFmt w:val="decimal"/>
      <w:start w:val="10"/>
    </w:lvl>
  </w:abstractNum>
  <w:abstractNum w:abstractNumId="22">
    <w:nsid w:val="3DD15094"/>
    <w:multiLevelType w:val="hybridMultilevel"/>
    <w:lvl w:ilvl="0">
      <w:lvlJc w:val="left"/>
      <w:lvlText w:val="(%1)"/>
      <w:numFmt w:val="decimal"/>
      <w:start w:val="1"/>
    </w:lvl>
  </w:abstractNum>
  <w:abstractNum w:abstractNumId="23">
    <w:nsid w:val="3DB012B3"/>
    <w:multiLevelType w:val="hybridMultilevel"/>
    <w:lvl w:ilvl="0">
      <w:lvlJc w:val="left"/>
      <w:lvlText w:val="%1."/>
      <w:numFmt w:val="decimal"/>
      <w:start w:val="13"/>
    </w:lvl>
  </w:abstractNum>
  <w:abstractNum w:abstractNumId="24">
    <w:nsid w:val="2708C9AF"/>
    <w:multiLevelType w:val="hybridMultilevel"/>
    <w:lvl w:ilvl="0">
      <w:lvlJc w:val="left"/>
      <w:lvlText w:val="(%1)"/>
      <w:numFmt w:val="decimal"/>
      <w:start w:val="1"/>
    </w:lvl>
  </w:abstractNum>
  <w:abstractNum w:abstractNumId="25">
    <w:nsid w:val="5B25ACE2"/>
    <w:multiLevelType w:val="hybridMultilevel"/>
    <w:lvl w:ilvl="0">
      <w:lvlJc w:val="left"/>
      <w:lvlText w:val="(%1)"/>
      <w:numFmt w:val="decimal"/>
      <w:start w:val="1"/>
    </w:lvl>
  </w:abstractNum>
  <w:abstractNum w:abstractNumId="26">
    <w:nsid w:val="175DFCF0"/>
    <w:multiLevelType w:val="hybridMultilevel"/>
    <w:lvl w:ilvl="0">
      <w:lvlJc w:val="left"/>
      <w:lvlText w:val="(%1)"/>
      <w:numFmt w:val="decimal"/>
      <w:start w:val="1"/>
    </w:lvl>
  </w:abstractNum>
  <w:abstractNum w:abstractNumId="27">
    <w:nsid w:val="4F97E3E4"/>
    <w:multiLevelType w:val="hybridMultilevel"/>
    <w:lvl w:ilvl="0">
      <w:lvlJc w:val="left"/>
      <w:lvlText w:val="%1."/>
      <w:numFmt w:val="decimal"/>
      <w:start w:val="1"/>
    </w:lvl>
    <w:lvl w:ilvl="1">
      <w:lvlJc w:val="left"/>
      <w:lvlText w:val="(%2)"/>
      <w:numFmt w:val="lowerLetter"/>
      <w:start w:val="1"/>
    </w:lvl>
  </w:abstractNum>
  <w:abstractNum w:abstractNumId="28">
    <w:nsid w:val="53B0A9E"/>
    <w:multiLevelType w:val="hybridMultilevel"/>
    <w:lvl w:ilvl="0">
      <w:lvlJc w:val="left"/>
      <w:lvlText w:val="%1"/>
      <w:numFmt w:val="lowerLetter"/>
      <w:start w:val="1"/>
    </w:lvl>
    <w:lvl w:ilvl="1">
      <w:lvlJc w:val="left"/>
      <w:lvlText w:val="(%2)"/>
      <w:numFmt w:val="lowerRoman"/>
      <w:start w:val="1"/>
    </w:lvl>
  </w:abstractNum>
  <w:abstractNum w:abstractNumId="29">
    <w:nsid w:val="34FD6B4F"/>
    <w:multiLevelType w:val="hybridMultilevel"/>
    <w:lvl w:ilvl="0">
      <w:lvlJc w:val="left"/>
      <w:lvlText w:val="(%1)"/>
      <w:numFmt w:val="lowerLetter"/>
      <w:start w:val="3"/>
    </w:lvl>
    <w:lvl w:ilvl="1">
      <w:lvlJc w:val="left"/>
      <w:lvlText w:val="%2"/>
      <w:numFmt w:val="lowerRoman"/>
      <w:start w:val="1"/>
    </w:lvl>
  </w:abstractNum>
  <w:abstractNum w:abstractNumId="30">
    <w:nsid w:val="5915FF32"/>
    <w:multiLevelType w:val="hybridMultilevel"/>
    <w:lvl w:ilvl="0">
      <w:lvlJc w:val="left"/>
      <w:lvlText w:val="(%1)"/>
      <w:numFmt w:val="lowerLetter"/>
      <w:start w:val="4"/>
    </w:lvl>
  </w:abstractNum>
  <w:abstractNum w:abstractNumId="31">
    <w:nsid w:val="56438D1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519E314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3">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4">
    <w:nsid w:val="17A1B5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5">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36">
    <w:nsid w:val="5046B5A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37">
    <w:nsid w:val="5D888A08"/>
    <w:multiLevelType w:val="hybridMultilevel"/>
    <w:lvl w:ilvl="0">
      <w:lvlJc w:val="left"/>
      <w:lvlText w:val="%1"/>
      <w:numFmt w:val="decimal"/>
      <w:start w:val="1"/>
    </w:lvl>
    <w:lvl w:ilvl="1">
      <w:lvlJc w:val="left"/>
      <w:lvlText w:val="(%2)"/>
      <w:numFmt w:val="lowerLetter"/>
      <w:start w:val="3"/>
    </w:lvl>
  </w:abstractNum>
  <w:abstractNum w:abstractNumId="38">
    <w:nsid w:val="2A082C70"/>
    <w:multiLevelType w:val="hybridMultilevel"/>
    <w:lvl w:ilvl="0">
      <w:lvlJc w:val="left"/>
      <w:lvlText w:val="%1."/>
      <w:numFmt w:val="decimal"/>
      <w:start w:val="10"/>
    </w:lvl>
    <w:lvl w:ilvl="1">
      <w:lvlJc w:val="left"/>
      <w:lvlText w:val="%2"/>
      <w:numFmt w:val="lowerLetter"/>
      <w:start w:val="1"/>
    </w:lvl>
  </w:abstractNum>
  <w:abstractNum w:abstractNumId="39">
    <w:nsid w:val="5EC6AFD4"/>
    <w:multiLevelType w:val="hybridMultilevel"/>
    <w:lvl w:ilvl="0">
      <w:lvlJc w:val="left"/>
      <w:lvlText w:val="%1."/>
      <w:numFmt w:val="decimal"/>
      <w:start w:val="13"/>
    </w:lvl>
  </w:abstractNum>
  <w:abstractNum w:abstractNumId="40">
    <w:nsid w:val="19E21BB2"/>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41">
    <w:nsid w:val="75E0858A"/>
    <w:multiLevelType w:val="hybridMultilevel"/>
    <w:lvl w:ilvl="0">
      <w:lvlJc w:val="left"/>
      <w:lvlText w:val="%1"/>
      <w:numFmt w:val="decimal"/>
      <w:start w:val="1"/>
    </w:lvl>
    <w:lvl w:ilvl="1">
      <w:lvlJc w:val="left"/>
      <w:lvlText w:val="(%2)"/>
      <w:numFmt w:val="lowerLetter"/>
      <w:start w:val="3"/>
    </w:lvl>
  </w:abstractNum>
  <w:abstractNum w:abstractNumId="42">
    <w:nsid w:val="57A61A29"/>
    <w:multiLevelType w:val="hybridMultilevel"/>
    <w:lvl w:ilvl="0">
      <w:lvlJc w:val="left"/>
      <w:lvlText w:val="%1."/>
      <w:numFmt w:val="decimal"/>
      <w:start w:val="22"/>
    </w:lvl>
    <w:lvl w:ilvl="1">
      <w:lvlJc w:val="left"/>
      <w:lvlText w:val="%2"/>
      <w:numFmt w:val="lowerLetter"/>
      <w:start w:val="1"/>
    </w:lvl>
  </w:abstractNum>
  <w:abstractNum w:abstractNumId="43">
    <w:nsid w:val="5399C654"/>
    <w:multiLevelType w:val="hybridMultilevel"/>
    <w:lvl w:ilvl="0">
      <w:lvlJc w:val="left"/>
      <w:lvlText w:val="%1."/>
      <w:numFmt w:val="decimal"/>
      <w:start w:val="1"/>
    </w:lvl>
    <w:lvl w:ilvl="1">
      <w:lvlJc w:val="left"/>
      <w:lvlText w:val="(%2)"/>
      <w:numFmt w:val="lowerLetter"/>
      <w:start w:val="1"/>
    </w:lvl>
  </w:abstractNum>
  <w:abstractNum w:abstractNumId="44">
    <w:nsid w:val="20EE1348"/>
    <w:multiLevelType w:val="hybridMultilevel"/>
    <w:lvl w:ilvl="0">
      <w:lvlJc w:val="left"/>
      <w:lvlText w:val="(%1)"/>
      <w:numFmt w:val="lowerLetter"/>
      <w:start w:val="8"/>
    </w:lvl>
  </w:abstractNum>
  <w:abstractNum w:abstractNumId="45">
    <w:nsid w:val="4427069A"/>
    <w:multiLevelType w:val="hybridMultilevel"/>
    <w:lvl w:ilvl="0">
      <w:lvlJc w:val="left"/>
      <w:lvlText w:val="%1"/>
      <w:numFmt w:val="decimal"/>
      <w:start w:val="1"/>
    </w:lvl>
    <w:lvl w:ilvl="1">
      <w:lvlJc w:val="left"/>
      <w:lvlText w:val="(%2)"/>
      <w:numFmt w:val="lowerLetter"/>
      <w:start w:val="9"/>
    </w:lvl>
  </w:abstractNum>
  <w:abstractNum w:abstractNumId="46">
    <w:nsid w:val="B37E80A"/>
    <w:multiLevelType w:val="hybridMultilevel"/>
    <w:lvl w:ilvl="0">
      <w:lvlJc w:val="left"/>
      <w:lvlText w:val="%1."/>
      <w:numFmt w:val="decimal"/>
      <w:start w:val="3"/>
    </w:lvl>
    <w:lvl w:ilvl="1">
      <w:lvlJc w:val="left"/>
      <w:lvlText w:val="%2"/>
      <w:numFmt w:val="lowerLetter"/>
      <w:start w:val="1"/>
    </w:lvl>
  </w:abstractNum>
  <w:abstractNum w:abstractNumId="47">
    <w:nsid w:val="2157F6BC"/>
    <w:multiLevelType w:val="hybridMultilevel"/>
    <w:lvl w:ilvl="0">
      <w:lvlJc w:val="left"/>
      <w:lvlText w:val="%1"/>
      <w:numFmt w:val="lowerLetter"/>
      <w:start w:val="1"/>
    </w:lvl>
    <w:lvl w:ilvl="1">
      <w:lvlJc w:val="left"/>
      <w:lvlText w:val="(%2)"/>
      <w:numFmt w:val="lowerRoman"/>
      <w:start w:val="1"/>
    </w:lvl>
  </w:abstractNum>
  <w:abstractNum w:abstractNumId="48">
    <w:nsid w:val="704E1DD5"/>
    <w:multiLevelType w:val="hybridMultilevel"/>
    <w:lvl w:ilvl="0">
      <w:lvlJc w:val="left"/>
      <w:lvlText w:val="(%1)"/>
      <w:numFmt w:val="lowerLetter"/>
      <w:start w:val="2"/>
    </w:lvl>
    <w:lvl w:ilvl="1">
      <w:lvlJc w:val="left"/>
      <w:lvlText w:val="%2"/>
      <w:numFmt w:val="lowerRoman"/>
      <w:start w:val="1"/>
    </w:lvl>
  </w:abstractNum>
  <w:abstractNum w:abstractNumId="49">
    <w:nsid w:val="57D2F10E"/>
    <w:multiLevelType w:val="hybridMultilevel"/>
    <w:lvl w:ilvl="0">
      <w:lvlJc w:val="left"/>
      <w:lvlText w:val="(%1)"/>
      <w:numFmt w:val="lowerRoman"/>
      <w:start w:val="1"/>
    </w:lvl>
  </w:abstractNum>
  <w:abstractNum w:abstractNumId="50">
    <w:nsid w:val="BFFAE18"/>
    <w:multiLevelType w:val="hybridMultilevel"/>
    <w:lvl w:ilvl="0">
      <w:lvlJc w:val="left"/>
      <w:lvlText w:val="(%1)"/>
      <w:numFmt w:val="upperLetter"/>
      <w:start w:val="1"/>
    </w:lvl>
  </w:abstractNum>
  <w:abstractNum w:abstractNumId="51">
    <w:nsid w:val="E3E47A8"/>
    <w:multiLevelType w:val="hybridMultilevel"/>
    <w:lvl w:ilvl="0">
      <w:lvlJc w:val="left"/>
      <w:lvlText w:val="(%1)"/>
      <w:numFmt w:val="lowerRoman"/>
      <w:start w:val="2"/>
    </w:lvl>
  </w:abstractNum>
  <w:abstractNum w:abstractNumId="52">
    <w:nsid w:val="2E48F044"/>
    <w:multiLevelType w:val="hybridMultilevel"/>
    <w:lvl w:ilvl="0">
      <w:lvlJc w:val="left"/>
      <w:lvlText w:val="(%1)"/>
      <w:numFmt w:val="lowerRoman"/>
      <w:start w:val="3"/>
    </w:lvl>
  </w:abstractNum>
  <w:abstractNum w:abstractNumId="53">
    <w:nsid w:val="49D0FEAC"/>
    <w:multiLevelType w:val="hybridMultilevel"/>
    <w:lvl w:ilvl="0">
      <w:lvlJc w:val="left"/>
      <w:lvlText w:val="(%1)"/>
      <w:numFmt w:val="upperLetter"/>
      <w:start w:val="1"/>
    </w:lvl>
  </w:abstractNum>
  <w:abstractNum w:abstractNumId="54">
    <w:nsid w:val="4BEE5A5B"/>
    <w:multiLevelType w:val="hybridMultilevel"/>
    <w:lvl w:ilvl="0">
      <w:lvlJc w:val="left"/>
      <w:lvlText w:val="(%1)"/>
      <w:numFmt w:val="lowerLetter"/>
      <w:start w:val="3"/>
    </w:lvl>
  </w:abstractNum>
  <w:abstractNum w:abstractNumId="55">
    <w:nsid w:val="5551B9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6">
    <w:nsid w:val="24F6AB8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7">
    <w:nsid w:val="634C574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8">
    <w:nsid w:val="24E99DD7"/>
    <w:multiLevelType w:val="hybridMultilevel"/>
    <w:lvl w:ilvl="0">
      <w:lvlJc w:val="left"/>
      <w:lvlText w:val="%1"/>
      <w:numFmt w:val="decimal"/>
      <w:start w:val="1"/>
    </w:lvl>
    <w:lvl w:ilvl="1">
      <w:lvlJc w:val="left"/>
      <w:lvlText w:val="(%2)"/>
      <w:numFmt w:val="lowerLetter"/>
      <w:start w:val="3"/>
    </w:lvl>
  </w:abstractNum>
  <w:abstractNum w:abstractNumId="59">
    <w:nsid w:val="2A31B62D"/>
    <w:multiLevelType w:val="hybridMultilevel"/>
    <w:lvl w:ilvl="0">
      <w:lvlJc w:val="left"/>
      <w:lvlText w:val="%1."/>
      <w:numFmt w:val="decimal"/>
      <w:start w:val="6"/>
    </w:lvl>
    <w:lvl w:ilvl="1">
      <w:lvlJc w:val="left"/>
      <w:lvlText w:val="(%2)"/>
      <w:numFmt w:val="lowerLetter"/>
      <w:start w:val="1"/>
    </w:lvl>
  </w:abstractNum>
  <w:abstractNum w:abstractNumId="60">
    <w:nsid w:val="1849C29B"/>
    <w:multiLevelType w:val="hybridMultilevel"/>
    <w:lvl w:ilvl="0">
      <w:lvlJc w:val="left"/>
      <w:lvlText w:val="%1"/>
      <w:numFmt w:val="decimal"/>
      <w:start w:val="1"/>
    </w:lvl>
    <w:lvl w:ilvl="1">
      <w:lvlJc w:val="left"/>
      <w:lvlText w:val="(%2)"/>
      <w:numFmt w:val="lowerRoman"/>
      <w:start w:val="1"/>
    </w:lvl>
  </w:abstractNum>
  <w:abstractNum w:abstractNumId="61">
    <w:nsid w:val="7DFF9D09"/>
    <w:multiLevelType w:val="hybridMultilevel"/>
    <w:lvl w:ilvl="0">
      <w:lvlJc w:val="left"/>
      <w:lvlText w:val="%1."/>
      <w:numFmt w:val="decimal"/>
      <w:start w:val="7"/>
    </w:lvl>
    <w:lvl w:ilvl="1">
      <w:lvlJc w:val="left"/>
      <w:lvlText w:val="%2"/>
      <w:numFmt w:val="lowerRoman"/>
      <w:start w:val="1"/>
    </w:lvl>
  </w:abstractNum>
  <w:abstractNum w:abstractNumId="62">
    <w:nsid w:val="754342"/>
    <w:multiLevelType w:val="hybridMultilevel"/>
    <w:lvl w:ilvl="0">
      <w:lvlJc w:val="left"/>
      <w:lvlText w:val="%1."/>
      <w:numFmt w:val="decimal"/>
      <w:start w:val="9"/>
    </w:lvl>
    <w:lvl w:ilvl="1">
      <w:lvlJc w:val="left"/>
      <w:lvlText w:val="(%2)"/>
      <w:numFmt w:val="lowerLetter"/>
      <w:start w:val="1"/>
    </w:lvl>
  </w:abstractNum>
  <w:abstractNum w:abstractNumId="63">
    <w:nsid w:val="69E7F3E5"/>
    <w:multiLevelType w:val="hybridMultilevel"/>
    <w:lvl w:ilvl="0">
      <w:lvlJc w:val="left"/>
      <w:lvlText w:val="%1."/>
      <w:numFmt w:val="decimal"/>
      <w:start w:val="11"/>
    </w:lvl>
  </w:abstractNum>
  <w:abstractNum w:abstractNumId="64">
    <w:nsid w:val="2A6DE806"/>
    <w:multiLevelType w:val="hybridMultilevel"/>
    <w:lvl w:ilvl="0">
      <w:lvlJc w:val="left"/>
      <w:lvlText w:val="%1."/>
      <w:numFmt w:val="decimal"/>
      <w:start w:val="18"/>
    </w:lvl>
    <w:lvl w:ilvl="1">
      <w:lvlJc w:val="left"/>
      <w:lvlText w:val="(%2)"/>
      <w:numFmt w:val="lowerLetter"/>
      <w:start w:val="1"/>
    </w:lvl>
  </w:abstractNum>
  <w:abstractNum w:abstractNumId="65">
    <w:nsid w:val="1816F8C4"/>
    <w:multiLevelType w:val="hybridMultilevel"/>
    <w:lvl w:ilvl="0">
      <w:lvlJc w:val="left"/>
      <w:lvlText w:val="(%1)"/>
      <w:numFmt w:val="lowerRoman"/>
      <w:start w:val="1"/>
    </w:lvl>
  </w:abstractNum>
  <w:abstractNum w:abstractNumId="66">
    <w:nsid w:val="37DF2233"/>
    <w:multiLevelType w:val="hybridMultilevel"/>
    <w:lvl w:ilvl="0">
      <w:lvlJc w:val="left"/>
      <w:lvlText w:val="(%1)"/>
      <w:numFmt w:val="lowerRoman"/>
      <w:start w:val="3"/>
    </w:lvl>
  </w:abstractNum>
  <w:abstractNum w:abstractNumId="67">
    <w:nsid w:val="7AB49DAF"/>
    <w:multiLevelType w:val="hybridMultilevel"/>
    <w:lvl w:ilvl="0">
      <w:lvlJc w:val="left"/>
      <w:lvlText w:val="%1"/>
      <w:numFmt w:val="decimal"/>
      <w:start w:val="1"/>
    </w:lvl>
    <w:lvl w:ilvl="1">
      <w:lvlJc w:val="left"/>
      <w:lvlText w:val="(%2)"/>
      <w:numFmt w:val="lowerLetter"/>
      <w:start w:val="3"/>
    </w:lvl>
  </w:abstractNum>
  <w:abstractNum w:abstractNumId="68">
    <w:nsid w:val="759F82CD"/>
    <w:multiLevelType w:val="hybridMultilevel"/>
    <w:lvl w:ilvl="0">
      <w:lvlJc w:val="left"/>
      <w:lvlText w:val="%1."/>
      <w:numFmt w:val="decimal"/>
      <w:start w:val="22"/>
    </w:lvl>
    <w:lvl w:ilvl="1">
      <w:lvlJc w:val="left"/>
      <w:lvlText w:val="%2"/>
      <w:numFmt w:val="lowerLetter"/>
      <w:start w:val="1"/>
    </w:lvl>
  </w:abstractNum>
  <w:abstractNum w:abstractNumId="69">
    <w:nsid w:val="61E74EA3"/>
    <w:multiLevelType w:val="hybridMultilevel"/>
    <w:lvl w:ilvl="0">
      <w:lvlJc w:val="left"/>
      <w:lvlText w:val="%1."/>
      <w:numFmt w:val="decimal"/>
      <w:start w:val="1"/>
    </w:lvl>
    <w:lvl w:ilvl="1">
      <w:lvlJc w:val="left"/>
      <w:lvlText w:val="(%2)"/>
      <w:numFmt w:val="lowerLetter"/>
      <w:start w:val="1"/>
    </w:lvl>
  </w:abstractNum>
  <w:abstractNum w:abstractNumId="70">
    <w:nsid w:val="597B4D8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1">
    <w:nsid w:val="F819E7F"/>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72">
    <w:nsid w:val="57C7D42D"/>
    <w:multiLevelType w:val="hybridMultilevel"/>
    <w:lvl w:ilvl="0">
      <w:lvlJc w:val="left"/>
      <w:lvlText w:val="%1"/>
      <w:numFmt w:val="decimal"/>
      <w:start w:val="1"/>
    </w:lvl>
    <w:lvl w:ilvl="1">
      <w:lvlJc w:val="left"/>
      <w:lvlText w:val="(%2)"/>
      <w:numFmt w:val="lowerLetter"/>
      <w:start w:val="4"/>
    </w:lvl>
  </w:abstractNum>
  <w:abstractNum w:abstractNumId="73">
    <w:nsid w:val="312167AD"/>
    <w:multiLevelType w:val="hybridMultilevel"/>
    <w:lvl w:ilvl="0">
      <w:lvlJc w:val="left"/>
      <w:lvlText w:val="%1."/>
      <w:numFmt w:val="decimal"/>
      <w:start w:val="4"/>
    </w:lvl>
    <w:lvl w:ilvl="1">
      <w:lvlJc w:val="left"/>
      <w:lvlText w:val="%2"/>
      <w:numFmt w:val="lowerLetter"/>
      <w:start w:val="1"/>
    </w:lvl>
  </w:abstractNum>
  <w:abstractNum w:abstractNumId="74">
    <w:nsid w:val="631B64D4"/>
    <w:multiLevelType w:val="hybridMultilevel"/>
    <w:lvl w:ilvl="0">
      <w:lvlJc w:val="left"/>
      <w:lvlText w:val="%1."/>
      <w:numFmt w:val="decimal"/>
      <w:start w:val="6"/>
    </w:lvl>
    <w:lvl w:ilvl="1">
      <w:lvlJc w:val="left"/>
      <w:lvlText w:val="(%2)"/>
      <w:numFmt w:val="lowerLetter"/>
      <w:start w:val="1"/>
    </w:lvl>
  </w:abstractNum>
  <w:abstractNum w:abstractNumId="75">
    <w:nsid w:val="78B5E776"/>
    <w:multiLevelType w:val="hybridMultilevel"/>
    <w:lvl w:ilvl="0">
      <w:lvlJc w:val="left"/>
      <w:lvlText w:val="%1."/>
      <w:numFmt w:val="decimal"/>
      <w:start w:val="10"/>
    </w:lvl>
  </w:abstractNum>
  <w:abstractNum w:abstractNumId="76">
    <w:nsid w:val="75486E47"/>
    <w:multiLevelType w:val="hybridMultilevel"/>
    <w:lvl w:ilvl="0">
      <w:lvlJc w:val="left"/>
      <w:lvlText w:val="%1."/>
      <w:numFmt w:val="decimal"/>
      <w:start w:val="18"/>
    </w:lvl>
  </w:abstractNum>
  <w:abstractNum w:abstractNumId="77">
    <w:nsid w:val="6E534CDE"/>
    <w:multiLevelType w:val="hybridMultilevel"/>
    <w:lvl w:ilvl="0">
      <w:lvlJc w:val="left"/>
      <w:lvlText w:val="%1."/>
      <w:numFmt w:val="decimal"/>
      <w:start w:val="24"/>
    </w:lvl>
    <w:lvl w:ilvl="1">
      <w:lvlJc w:val="left"/>
      <w:lvlText w:val="(%2)"/>
      <w:numFmt w:val="lowerLetter"/>
      <w:start w:val="1"/>
    </w:lvl>
  </w:abstractNum>
  <w:abstractNum w:abstractNumId="78">
    <w:nsid w:val="1A0DDE32"/>
    <w:multiLevelType w:val="hybridMultilevel"/>
    <w:lvl w:ilvl="0">
      <w:lvlJc w:val="left"/>
      <w:lvlText w:val="%1."/>
      <w:numFmt w:val="decimal"/>
      <w:start w:val="1"/>
    </w:lvl>
  </w:abstractNum>
  <w:abstractNum w:abstractNumId="79">
    <w:nsid w:val="65968C1C"/>
    <w:multiLevelType w:val="hybridMultilevel"/>
    <w:lvl w:ilvl="0">
      <w:lvlJc w:val="left"/>
      <w:lvlText w:val="(%1)"/>
      <w:numFmt w:val="lowerLetter"/>
      <w:start w:val="1"/>
    </w:lvl>
  </w:abstractNum>
  <w:abstractNum w:abstractNumId="80">
    <w:nsid w:val="46263DEC"/>
    <w:multiLevelType w:val="hybridMultilevel"/>
    <w:lvl w:ilvl="0">
      <w:lvlJc w:val="left"/>
      <w:lvlText w:val="%1."/>
      <w:numFmt w:val="decimal"/>
      <w:start w:val="3"/>
    </w:lvl>
  </w:abstractNum>
  <w:abstractNum w:abstractNumId="81">
    <w:nsid w:val="260D8C4A"/>
    <w:multiLevelType w:val="hybridMultilevel"/>
    <w:lvl w:ilvl="0">
      <w:lvlJc w:val="left"/>
      <w:lvlText w:val="(%1)"/>
      <w:numFmt w:val="lowerLetter"/>
      <w:start w:val="1"/>
    </w:lvl>
  </w:abstractNum>
  <w:abstractNum w:abstractNumId="82">
    <w:nsid w:val="73D4D3C4"/>
    <w:multiLevelType w:val="hybridMultilevel"/>
    <w:lvl w:ilvl="0">
      <w:lvlJc w:val="left"/>
      <w:lvlText w:val="(%1)"/>
      <w:numFmt w:val="lowerRoman"/>
      <w:start w:val="1"/>
    </w:lvl>
  </w:abstractNum>
  <w:abstractNum w:abstractNumId="83">
    <w:nsid w:val="746F2E30"/>
    <w:multiLevelType w:val="hybridMultilevel"/>
    <w:lvl w:ilvl="0">
      <w:lvlJc w:val="left"/>
      <w:lvlText w:val="(%1)"/>
      <w:numFmt w:val="upperLetter"/>
      <w:start w:val="1"/>
    </w:lvl>
  </w:abstractNum>
  <w:abstractNum w:abstractNumId="84">
    <w:nsid w:val="6FDE8AF6"/>
    <w:multiLevelType w:val="hybridMultilevel"/>
    <w:lvl w:ilvl="0">
      <w:lvlJc w:val="left"/>
      <w:lvlText w:val="(%1)"/>
      <w:numFmt w:val="lowerRoman"/>
      <w:start w:val="2"/>
    </w:lvl>
  </w:abstractNum>
  <w:abstractNum w:abstractNumId="85">
    <w:nsid w:val="3FC32E20"/>
    <w:multiLevelType w:val="hybridMultilevel"/>
    <w:lvl w:ilvl="0">
      <w:lvlJc w:val="left"/>
      <w:lvlText w:val="(%1)"/>
      <w:numFmt w:val="lowerLetter"/>
      <w:start w:val="2"/>
    </w:lvl>
  </w:abstractNum>
  <w:abstractNum w:abstractNumId="86">
    <w:nsid w:val="49C0E823"/>
    <w:multiLevelType w:val="hybridMultilevel"/>
    <w:lvl w:ilvl="0">
      <w:lvlJc w:val="left"/>
      <w:lvlText w:val="%1."/>
      <w:numFmt w:val="decimal"/>
      <w:start w:val="4"/>
    </w:lvl>
  </w:abstractNum>
  <w:abstractNum w:abstractNumId="87">
    <w:nsid w:val="14D53685"/>
    <w:multiLevelType w:val="hybridMultilevel"/>
    <w:lvl w:ilvl="0">
      <w:lvlJc w:val="left"/>
      <w:lvlText w:val="(%1)"/>
      <w:numFmt w:val="lowerLetter"/>
      <w:start w:val="1"/>
    </w:lvl>
    <w:lvl w:ilvl="1">
      <w:lvlJc w:val="left"/>
      <w:lvlText w:val="(%2)"/>
      <w:numFmt w:val="lowerLetter"/>
      <w:start w:val="9"/>
    </w:lvl>
  </w:abstractNum>
  <w:abstractNum w:abstractNumId="88">
    <w:nsid w:val="230F856C"/>
    <w:multiLevelType w:val="hybridMultilevel"/>
    <w:lvl w:ilvl="0">
      <w:lvlJc w:val="left"/>
      <w:lvlText w:val="(%1)"/>
      <w:numFmt w:val="upperLetter"/>
      <w:start w:val="1"/>
    </w:lvl>
  </w:abstractNum>
  <w:abstractNum w:abstractNumId="89">
    <w:nsid w:val="6EAA85FB"/>
    <w:multiLevelType w:val="hybridMultilevel"/>
    <w:lvl w:ilvl="0">
      <w:lvlJc w:val="left"/>
      <w:lvlText w:val="(%1)"/>
      <w:numFmt w:val="lowerRoman"/>
      <w:start w:val="2"/>
    </w:lvl>
  </w:abstractNum>
  <w:abstractNum w:abstractNumId="90">
    <w:nsid w:val="3F06ECB2"/>
    <w:multiLevelType w:val="hybridMultilevel"/>
    <w:lvl w:ilvl="0">
      <w:lvlJc w:val="left"/>
      <w:lvlText w:val="%1"/>
      <w:numFmt w:val="lowerLetter"/>
      <w:start w:val="1"/>
    </w:lvl>
    <w:lvl w:ilvl="1">
      <w:lvlJc w:val="left"/>
      <w:lvlText w:val="(%2)"/>
      <w:numFmt w:val="upperLetter"/>
      <w:start w:val="1"/>
    </w:lvl>
  </w:abstractNum>
  <w:abstractNum w:abstractNumId="91">
    <w:nsid w:val="3B594807"/>
    <w:multiLevelType w:val="hybridMultilevel"/>
    <w:lvl w:ilvl="0">
      <w:lvlJc w:val="left"/>
      <w:lvlText w:val="(%1)"/>
      <w:numFmt w:val="lowerLetter"/>
      <w:start w:val="3"/>
    </w:lvl>
    <w:lvl w:ilvl="1">
      <w:lvlJc w:val="left"/>
      <w:lvlText w:val="%2"/>
      <w:numFmt w:val="upperLetter"/>
      <w:start w:val="1"/>
    </w:lvl>
  </w:abstractNum>
  <w:abstractNum w:abstractNumId="92">
    <w:nsid w:val="6CAA2304"/>
    <w:multiLevelType w:val="hybridMultilevel"/>
    <w:lvl w:ilvl="0">
      <w:lvlJc w:val="left"/>
      <w:lvlText w:val="(%1)"/>
      <w:numFmt w:val="lowerLetter"/>
      <w:start w:val="4"/>
    </w:lvl>
  </w:abstractNum>
  <w:abstractNum w:abstractNumId="93">
    <w:nsid w:val="3F7C2FF4"/>
    <w:multiLevelType w:val="hybridMultilevel"/>
    <w:lvl w:ilvl="0">
      <w:lvlJc w:val="left"/>
      <w:lvlText w:val="%1."/>
      <w:numFmt w:val="decimal"/>
      <w:start w:val="6"/>
    </w:lvl>
  </w:abstractNum>
  <w:abstractNum w:abstractNumId="94">
    <w:nsid w:val="25413BEC"/>
    <w:multiLevelType w:val="hybridMultilevel"/>
    <w:lvl w:ilvl="0">
      <w:lvlJc w:val="left"/>
      <w:lvlText w:val="(%1)"/>
      <w:numFmt w:val="lowerLetter"/>
      <w:start w:val="1"/>
    </w:lvl>
    <w:lvl w:ilvl="1">
      <w:lvlJc w:val="left"/>
      <w:lvlText w:val="(%2)"/>
      <w:numFmt w:val="lowerRoman"/>
      <w:start w:val="1"/>
    </w:lvl>
  </w:abstractNum>
  <w:abstractNum w:abstractNumId="95">
    <w:nsid w:val="17180B0B"/>
    <w:multiLevelType w:val="hybridMultilevel"/>
    <w:lvl w:ilvl="0">
      <w:lvlJc w:val="left"/>
      <w:lvlText w:val="%1."/>
      <w:numFmt w:val="decimal"/>
      <w:start w:val="7"/>
    </w:lvl>
  </w:abstractNum>
  <w:abstractNum w:abstractNumId="96">
    <w:nsid w:val="579328B9"/>
    <w:multiLevelType w:val="hybridMultilevel"/>
    <w:lvl w:ilvl="0">
      <w:lvlJc w:val="left"/>
      <w:lvlText w:val="%1."/>
      <w:numFmt w:val="decimal"/>
      <w:start w:val="9"/>
    </w:lvl>
  </w:abstractNum>
  <w:abstractNum w:abstractNumId="97">
    <w:nsid w:val="5D205E20"/>
    <w:multiLevelType w:val="hybridMultilevel"/>
    <w:lvl w:ilvl="0">
      <w:lvlJc w:val="left"/>
      <w:lvlText w:val="(%1)"/>
      <w:numFmt w:val="lowerLetter"/>
      <w:start w:val="1"/>
    </w:lvl>
  </w:abstractNum>
  <w:abstractNum w:abstractNumId="98">
    <w:nsid w:val="11CCA8BA"/>
    <w:multiLevelType w:val="hybridMultilevel"/>
    <w:lvl w:ilvl="0">
      <w:lvlJc w:val="left"/>
      <w:lvlText w:val="%1."/>
      <w:numFmt w:val="decimal"/>
      <w:start w:val="10"/>
    </w:lvl>
  </w:abstractNum>
  <w:abstractNum w:abstractNumId="99">
    <w:nsid w:val="4D32AB86"/>
    <w:multiLevelType w:val="hybridMultilevel"/>
    <w:lvl w:ilvl="0">
      <w:lvlJc w:val="left"/>
      <w:lvlText w:val="%1."/>
      <w:numFmt w:val="decimal"/>
      <w:start w:val="11"/>
    </w:lvl>
  </w:abstractNum>
  <w:abstractNum w:abstractNumId="100">
    <w:nsid w:val="3F07ACC3"/>
    <w:multiLevelType w:val="hybridMultilevel"/>
    <w:lvl w:ilvl="0">
      <w:lvlJc w:val="left"/>
      <w:lvlText w:val="%1."/>
      <w:numFmt w:val="decimal"/>
      <w:start w:val="21"/>
    </w:lvl>
  </w:abstractNum>
  <w:abstractNum w:abstractNumId="101">
    <w:nsid w:val="6B47F63E"/>
    <w:multiLevelType w:val="hybridMultilevel"/>
    <w:lvl w:ilvl="0">
      <w:lvlJc w:val="left"/>
      <w:lvlText w:val="(%1)"/>
      <w:numFmt w:val="lowerLetter"/>
      <w:start w:val="1"/>
    </w:lvl>
    <w:lvl w:ilvl="1">
      <w:lvlJc w:val="left"/>
      <w:lvlText w:val="(%2)"/>
      <w:numFmt w:val="lowerRoman"/>
      <w:start w:val="1"/>
    </w:lvl>
  </w:abstractNum>
  <w:abstractNum w:abstractNumId="102">
    <w:nsid w:val="5CB44A05"/>
    <w:multiLevelType w:val="hybridMultilevel"/>
    <w:lvl w:ilvl="0">
      <w:lvlJc w:val="left"/>
      <w:lvlText w:val="(%1)"/>
      <w:numFmt w:val="lowerLetter"/>
      <w:start w:val="3"/>
    </w:lvl>
  </w:abstractNum>
  <w:abstractNum w:abstractNumId="103">
    <w:nsid w:val="16CF80F1"/>
    <w:multiLevelType w:val="hybridMultilevel"/>
    <w:lvl w:ilvl="0">
      <w:lvlJc w:val="left"/>
      <w:lvlText w:val="%1."/>
      <w:numFmt w:val="decimal"/>
      <w:start w:val="22"/>
    </w:lvl>
  </w:abstractNum>
  <w:abstractNum w:abstractNumId="104">
    <w:nsid w:val="1C695DEC"/>
    <w:multiLevelType w:val="hybridMultilevel"/>
    <w:lvl w:ilvl="0">
      <w:lvlJc w:val="left"/>
      <w:lvlText w:val="%1."/>
      <w:numFmt w:val="decimal"/>
      <w:start w:val="1"/>
    </w:lvl>
  </w:abstractNum>
  <w:abstractNum w:abstractNumId="105">
    <w:nsid w:val="3FCFAED9"/>
    <w:multiLevelType w:val="hybridMultilevel"/>
    <w:lvl w:ilvl="0">
      <w:lvlJc w:val="left"/>
      <w:lvlText w:val="(%1)"/>
      <w:numFmt w:val="lowerLetter"/>
      <w:start w:val="1"/>
    </w:lvl>
    <w:lvl w:ilvl="1">
      <w:lvlJc w:val="left"/>
      <w:lvlText w:val="(%2)"/>
      <w:numFmt w:val="lowerRoman"/>
      <w:start w:val="1"/>
    </w:lvl>
  </w:abstractNum>
  <w:abstractNum w:abstractNumId="106">
    <w:nsid w:val="F85686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7">
    <w:nsid w:val="11B1CC33"/>
    <w:multiLevelType w:val="hybridMultilevel"/>
    <w:lvl w:ilvl="0">
      <w:lvlJc w:val="left"/>
      <w:lvlText w:val="(%1)"/>
      <w:numFmt w:val="decimal"/>
      <w:start w:val="180"/>
    </w:lvl>
    <w:lvl w:ilvl="1">
      <w:lvlJc w:val="left"/>
      <w:lvlText w:val="(%2)"/>
      <w:numFmt w:val="lowerLetter"/>
      <w:start w:val="3"/>
    </w:lvl>
    <w:lvl w:ilvl="2">
      <w:lvlJc w:val="left"/>
      <w:lvlText w:val="(%3)"/>
      <w:numFmt w:val="lowerRoman"/>
      <w:start w:val="1"/>
    </w:lvl>
  </w:abstractNum>
  <w:abstractNum w:abstractNumId="108">
    <w:nsid w:val="2E22FBB7"/>
    <w:multiLevelType w:val="hybridMultilevel"/>
    <w:lvl w:ilvl="0">
      <w:lvlJc w:val="left"/>
      <w:lvlText w:val="(%1)"/>
      <w:numFmt w:val="lowerLetter"/>
      <w:start w:val="4"/>
    </w:lvl>
  </w:abstractNum>
  <w:abstractNum w:abstractNumId="109">
    <w:nsid w:val="29934699"/>
    <w:multiLevelType w:val="hybridMultilevel"/>
    <w:lvl w:ilvl="0">
      <w:lvlJc w:val="left"/>
      <w:lvlText w:val="%1."/>
      <w:numFmt w:val="decimal"/>
      <w:start w:val="3"/>
    </w:lvl>
  </w:abstractNum>
  <w:abstractNum w:abstractNumId="110">
    <w:nsid w:val="77485850"/>
    <w:multiLevelType w:val="hybridMultilevel"/>
    <w:lvl w:ilvl="0">
      <w:lvlJc w:val="left"/>
      <w:lvlText w:val="(%1)"/>
      <w:numFmt w:val="lowerLetter"/>
      <w:start w:val="1"/>
    </w:lvl>
    <w:lvl w:ilvl="1">
      <w:lvlJc w:val="left"/>
      <w:lvlText w:val="(%2)"/>
      <w:numFmt w:val="lowerLetter"/>
      <w:start w:val="9"/>
    </w:lvl>
  </w:abstractNum>
  <w:abstractNum w:abstractNumId="111">
    <w:nsid w:val="744939A3"/>
    <w:multiLevelType w:val="hybridMultilevel"/>
    <w:lvl w:ilvl="0">
      <w:lvlJc w:val="left"/>
      <w:lvlText w:val="%1"/>
      <w:numFmt w:val="decimal"/>
      <w:start w:val="1"/>
    </w:lvl>
    <w:lvl w:ilvl="1">
      <w:lvlJc w:val="left"/>
      <w:lvlText w:val="(%2)"/>
      <w:numFmt w:val="upperLetter"/>
      <w:start w:val="1"/>
    </w:lvl>
  </w:abstractNum>
  <w:abstractNum w:abstractNumId="112">
    <w:nsid w:val="4FA0D2E3"/>
    <w:multiLevelType w:val="hybridMultilevel"/>
    <w:lvl w:ilvl="0">
      <w:lvlJc w:val="left"/>
      <w:lvlText w:val="(%1)"/>
      <w:numFmt w:val="decimal"/>
      <w:start w:val="2"/>
    </w:lvl>
    <w:lvl w:ilvl="1">
      <w:lvlJc w:val="left"/>
      <w:lvlText w:val="%2"/>
      <w:numFmt w:val="upperLetter"/>
      <w:start w:val="1"/>
    </w:lvl>
  </w:abstractNum>
  <w:abstractNum w:abstractNumId="113">
    <w:nsid w:val="6B1D2C14"/>
    <w:multiLevelType w:val="hybridMultilevel"/>
    <w:lvl w:ilvl="0">
      <w:lvlJc w:val="left"/>
      <w:lvlText w:val="%1"/>
      <w:numFmt w:val="upperLetter"/>
      <w:start w:val="1"/>
    </w:lvl>
    <w:lvl w:ilvl="1">
      <w:lvlJc w:val="left"/>
      <w:lvlText w:val="(%2)"/>
      <w:numFmt w:val="lowerRoman"/>
      <w:start w:val="2"/>
    </w:lvl>
  </w:abstractNum>
  <w:abstractNum w:abstractNumId="114">
    <w:nsid w:val="68B867D3"/>
    <w:multiLevelType w:val="hybridMultilevel"/>
    <w:lvl w:ilvl="0">
      <w:lvlJc w:val="left"/>
      <w:lvlText w:val="(%1)"/>
      <w:numFmt w:val="upperLetter"/>
      <w:start w:val="1"/>
    </w:lvl>
    <w:lvl w:ilvl="1">
      <w:lvlJc w:val="left"/>
      <w:lvlText w:val="%2"/>
      <w:numFmt w:val="lowerRoman"/>
      <w:start w:val="1"/>
    </w:lvl>
  </w:abstractNum>
  <w:abstractNum w:abstractNumId="115">
    <w:nsid w:val="3F7F5DD9"/>
    <w:multiLevelType w:val="hybridMultilevel"/>
    <w:lvl w:ilvl="0">
      <w:lvlJc w:val="left"/>
      <w:lvlText w:val="(%1)"/>
      <w:numFmt w:val="lowerLetter"/>
      <w:start w:val="2"/>
    </w:lvl>
  </w:abstractNum>
  <w:abstractNum w:abstractNumId="116">
    <w:nsid w:val="2AE05A34"/>
    <w:multiLevelType w:val="hybridMultilevel"/>
    <w:lvl w:ilvl="0">
      <w:lvlJc w:val="left"/>
      <w:lvlText w:val="%1."/>
      <w:numFmt w:val="decimal"/>
      <w:start w:val="4"/>
    </w:lvl>
  </w:abstractNum>
  <w:abstractNum w:abstractNumId="117">
    <w:nsid w:val="32794FF7"/>
    <w:multiLevelType w:val="hybridMultilevel"/>
    <w:lvl w:ilvl="0">
      <w:lvlJc w:val="left"/>
      <w:lvlText w:val="(%1)"/>
      <w:numFmt w:val="lowerLetter"/>
      <w:start w:val="1"/>
    </w:lvl>
    <w:lvl w:ilvl="1">
      <w:lvlJc w:val="left"/>
      <w:lvlText w:val="(%2)"/>
      <w:numFmt w:val="lowerLetter"/>
      <w:start w:val="9"/>
    </w:lvl>
  </w:abstractNum>
  <w:abstractNum w:abstractNumId="118">
    <w:nsid w:val="5454945E"/>
    <w:multiLevelType w:val="hybridMultilevel"/>
    <w:lvl w:ilvl="0">
      <w:lvlJc w:val="left"/>
      <w:lvlText w:val="(%1)"/>
      <w:numFmt w:val="upperLetter"/>
      <w:start w:val="1"/>
    </w:lvl>
  </w:abstractNum>
  <w:abstractNum w:abstractNumId="119">
    <w:nsid w:val="4DEFDFA0"/>
    <w:multiLevelType w:val="hybridMultilevel"/>
    <w:lvl w:ilvl="0">
      <w:lvlJc w:val="left"/>
      <w:lvlText w:val="(%1)"/>
      <w:numFmt w:val="lowerRoman"/>
      <w:start w:val="2"/>
    </w:lvl>
  </w:abstractNum>
  <w:abstractNum w:abstractNumId="120">
    <w:nsid w:val="2123D5F2"/>
    <w:multiLevelType w:val="hybridMultilevel"/>
    <w:lvl w:ilvl="0">
      <w:lvlJc w:val="left"/>
      <w:lvlText w:val="(%1)"/>
      <w:numFmt w:val="upperLetter"/>
      <w:start w:val="1"/>
    </w:lvl>
  </w:abstractNum>
  <w:abstractNum w:abstractNumId="121">
    <w:nsid w:val="135B8110"/>
    <w:multiLevelType w:val="hybridMultilevel"/>
    <w:lvl w:ilvl="0">
      <w:lvlJc w:val="left"/>
      <w:lvlText w:val="(%1)"/>
      <w:numFmt w:val="lowerLetter"/>
      <w:start w:val="3"/>
    </w:lvl>
  </w:abstractNum>
  <w:abstractNum w:abstractNumId="122">
    <w:nsid w:val="94927A8"/>
    <w:multiLevelType w:val="hybridMultilevel"/>
    <w:lvl w:ilvl="0">
      <w:lvlJc w:val="left"/>
      <w:lvlText w:val="%1."/>
      <w:numFmt w:val="decimal"/>
      <w:start w:val="6"/>
    </w:lvl>
  </w:abstractNum>
  <w:abstractNum w:abstractNumId="123">
    <w:nsid w:val="DCDF8F6"/>
    <w:multiLevelType w:val="hybridMultilevel"/>
    <w:lvl w:ilvl="0">
      <w:lvlJc w:val="left"/>
      <w:lvlText w:val="(%1)"/>
      <w:numFmt w:val="lowerLetter"/>
      <w:start w:val="1"/>
    </w:lvl>
    <w:lvl w:ilvl="1">
      <w:lvlJc w:val="left"/>
      <w:lvlText w:val="(%2)"/>
      <w:numFmt w:val="lowerLetter"/>
      <w:start w:val="9"/>
    </w:lvl>
  </w:abstractNum>
  <w:abstractNum w:abstractNumId="124">
    <w:nsid w:val="52D7B105"/>
    <w:multiLevelType w:val="hybridMultilevel"/>
    <w:lvl w:ilvl="0">
      <w:lvlJc w:val="left"/>
      <w:lvlText w:val="%1"/>
      <w:numFmt w:val="decimal"/>
      <w:start w:val="1"/>
    </w:lvl>
    <w:lvl w:ilvl="1">
      <w:lvlJc w:val="left"/>
      <w:lvlText w:val="(%2)"/>
      <w:numFmt w:val="lowerRoman"/>
      <w:start w:val="2"/>
    </w:lvl>
  </w:abstractNum>
  <w:abstractNum w:abstractNumId="125">
    <w:nsid w:val="2E8A6394"/>
    <w:multiLevelType w:val="hybridMultilevel"/>
    <w:lvl w:ilvl="0">
      <w:lvlJc w:val="left"/>
      <w:lvlText w:val="%1."/>
      <w:numFmt w:val="decimal"/>
      <w:start w:val="7"/>
    </w:lvl>
    <w:lvl w:ilvl="1">
      <w:lvlJc w:val="left"/>
      <w:lvlText w:val="%2"/>
      <w:numFmt w:val="lowerRoman"/>
      <w:start w:val="1"/>
    </w:lvl>
  </w:abstractNum>
  <w:abstractNum w:abstractNumId="126">
    <w:nsid w:val="24E60401"/>
    <w:multiLevelType w:val="hybridMultilevel"/>
    <w:lvl w:ilvl="0">
      <w:lvlJc w:val="left"/>
      <w:lvlText w:val="(%1)"/>
      <w:numFmt w:val="lowerLetter"/>
      <w:start w:val="1"/>
    </w:lvl>
  </w:abstractNum>
  <w:abstractNum w:abstractNumId="127">
    <w:nsid w:val="2A6AD9BE"/>
    <w:multiLevelType w:val="hybridMultilevel"/>
    <w:lvl w:ilvl="0">
      <w:lvlJc w:val="left"/>
      <w:lvlText w:val="%1"/>
      <w:numFmt w:val="decimal"/>
      <w:start w:val="1"/>
    </w:lvl>
    <w:lvl w:ilvl="1">
      <w:lvlJc w:val="left"/>
      <w:lvlText w:val="%2."/>
      <w:numFmt w:val="decimal"/>
      <w:start w:val="10"/>
    </w:lvl>
  </w:abstractNum>
  <w:abstractNum w:abstractNumId="128">
    <w:nsid w:val="BAAC1B4"/>
    <w:multiLevelType w:val="hybridMultilevel"/>
    <w:lvl w:ilvl="0">
      <w:lvlJc w:val="left"/>
      <w:lvlText w:val="(%1)"/>
      <w:numFmt w:val="decimal"/>
      <w:start w:val="5"/>
    </w:lvl>
    <w:lvl w:ilvl="1">
      <w:lvlJc w:val="left"/>
      <w:lvlText w:val="%2."/>
      <w:numFmt w:val="decimal"/>
      <w:start w:val="12"/>
    </w:lvl>
  </w:abstractNum>
  <w:abstractNum w:abstractNumId="129">
    <w:nsid w:val="36B2ACBC"/>
    <w:multiLevelType w:val="hybridMultilevel"/>
    <w:lvl w:ilvl="0">
      <w:lvlJc w:val="left"/>
      <w:lvlText w:val="%1."/>
      <w:numFmt w:val="decimal"/>
      <w:start w:val="17"/>
    </w:lvl>
  </w:abstractNum>
  <w:abstractNum w:abstractNumId="130">
    <w:nsid w:val="779D8544"/>
    <w:multiLevelType w:val="hybridMultilevel"/>
    <w:lvl w:ilvl="0">
      <w:lvlJc w:val="left"/>
      <w:lvlText w:val="(%1)"/>
      <w:numFmt w:val="lowerLetter"/>
      <w:start w:val="1"/>
    </w:lvl>
  </w:abstractNum>
  <w:abstractNum w:abstractNumId="131">
    <w:nsid w:val="4AB26E78"/>
    <w:multiLevelType w:val="hybridMultilevel"/>
    <w:lvl w:ilvl="0">
      <w:lvlJc w:val="left"/>
      <w:lvlText w:val="(%1)"/>
      <w:numFmt w:val="lowerRoman"/>
      <w:start w:val="1"/>
    </w:lvl>
  </w:abstractNum>
  <w:abstractNum w:abstractNumId="132">
    <w:nsid w:val="21FAA2FA"/>
    <w:multiLevelType w:val="hybridMultilevel"/>
    <w:lvl w:ilvl="0">
      <w:lvlJc w:val="left"/>
      <w:lvlText w:val="(%1)"/>
      <w:numFmt w:val="lowerLetter"/>
      <w:start w:val="3"/>
    </w:lvl>
  </w:abstractNum>
  <w:abstractNum w:abstractNumId="133">
    <w:nsid w:val="5451CF49"/>
    <w:multiLevelType w:val="hybridMultilevel"/>
    <w:lvl w:ilvl="0">
      <w:lvlJc w:val="left"/>
      <w:lvlText w:val="%1."/>
      <w:numFmt w:val="decimal"/>
      <w:start w:val="22"/>
    </w:lvl>
  </w:abstractNum>
  <w:abstractNum w:abstractNumId="134">
    <w:nsid w:val="6181EF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5">
    <w:nsid w:val="3E6400E6"/>
    <w:multiLevelType w:val="hybridMultilevel"/>
    <w:lvl w:ilvl="0">
      <w:lvlJc w:val="left"/>
      <w:lvlText w:val="(%1)"/>
      <w:numFmt w:val="lowerLetter"/>
      <w:start w:val="2"/>
    </w:lvl>
    <w:lvl w:ilvl="1">
      <w:lvlJc w:val="left"/>
      <w:lvlText w:val="(%2)"/>
      <w:numFmt w:val="lowerRoman"/>
      <w:start w:val="1"/>
    </w:lvl>
  </w:abstractNum>
  <w:abstractNum w:abstractNumId="136">
    <w:nsid w:val="14217E23"/>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37">
    <w:nsid w:val="710757D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38">
    <w:nsid w:val="5015CD1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39">
    <w:nsid w:val="424479D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140">
    <w:nsid w:val="1A9A9E6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141">
    <w:nsid w:val="475E256A"/>
    <w:multiLevelType w:val="hybridMultilevel"/>
    <w:lvl w:ilvl="0">
      <w:lvlJc w:val="left"/>
      <w:lvlText w:val="(%1)"/>
      <w:numFmt w:val="upperLetter"/>
      <w:start w:val="1"/>
    </w:lvl>
  </w:abstractNum>
  <w:abstractNum w:abstractNumId="142">
    <w:nsid w:val="368DB37E"/>
    <w:multiLevelType w:val="hybridMultilevel"/>
    <w:lvl w:ilvl="0">
      <w:lvlJc w:val="left"/>
      <w:lvlText w:val="(%1)"/>
      <w:numFmt w:val="lowerRoman"/>
      <w:start w:val="2"/>
    </w:lvl>
  </w:abstractNum>
  <w:abstractNum w:abstractNumId="143">
    <w:nsid w:val="6A3B714C"/>
    <w:multiLevelType w:val="hybridMultilevel"/>
    <w:lvl w:ilvl="0">
      <w:lvlJc w:val="left"/>
      <w:lvlText w:val="(%1)"/>
      <w:numFmt w:val="upperLetter"/>
      <w:start w:val="1"/>
    </w:lvl>
  </w:abstractNum>
  <w:abstractNum w:abstractNumId="144">
    <w:nsid w:val="327B517E"/>
    <w:multiLevelType w:val="hybridMultilevel"/>
    <w:lvl w:ilvl="0">
      <w:lvlJc w:val="left"/>
      <w:lvlText w:val="%1"/>
      <w:numFmt w:val="decimal"/>
      <w:start w:val="1"/>
    </w:lvl>
    <w:lvl w:ilvl="1">
      <w:lvlJc w:val="left"/>
      <w:lvlText w:val="(%2)"/>
      <w:numFmt w:val="lowerLetter"/>
      <w:start w:val="3"/>
    </w:lvl>
  </w:abstractNum>
  <w:abstractNum w:abstractNumId="145">
    <w:nsid w:val="1F461B51"/>
    <w:multiLevelType w:val="hybridMultilevel"/>
    <w:lvl w:ilvl="0">
      <w:lvlJc w:val="left"/>
      <w:lvlText w:val="%1."/>
      <w:numFmt w:val="decimal"/>
      <w:start w:val="4"/>
    </w:lvl>
    <w:lvl w:ilvl="1">
      <w:lvlJc w:val="left"/>
      <w:lvlText w:val="(%2)"/>
      <w:numFmt w:val="lowerLetter"/>
      <w:start w:val="1"/>
    </w:lvl>
  </w:abstractNum>
  <w:abstractNum w:abstractNumId="146">
    <w:nsid w:val="29BACF2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7">
    <w:nsid w:val="5D5BABB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8">
    <w:nsid w:val="51BF6B48"/>
    <w:multiLevelType w:val="hybridMultilevel"/>
    <w:lvl w:ilvl="0">
      <w:lvlJc w:val="left"/>
      <w:lvlText w:val="%1."/>
      <w:numFmt w:val="decimal"/>
      <w:start w:val="8"/>
    </w:lvl>
    <w:lvl w:ilvl="1">
      <w:lvlJc w:val="left"/>
      <w:lvlText w:val="(%2)"/>
      <w:numFmt w:val="lowerLetter"/>
      <w:start w:val="1"/>
    </w:lvl>
  </w:abstractNum>
  <w:abstractNum w:abstractNumId="149">
    <w:nsid w:val="7E0F6384"/>
    <w:multiLevelType w:val="hybridMultilevel"/>
    <w:lvl w:ilvl="0">
      <w:lvlJc w:val="left"/>
      <w:lvlText w:val="%1."/>
      <w:numFmt w:val="decimal"/>
      <w:start w:val="11"/>
    </w:lvl>
  </w:abstractNum>
  <w:abstractNum w:abstractNumId="150">
    <w:nsid w:val="2B4B8B53"/>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2"/>
    </w:lvl>
    <w:lvl w:ilvl="3">
      <w:lvlJc w:val="left"/>
      <w:lvlText w:val="(%4)"/>
      <w:numFmt w:val="lowerLetter"/>
      <w:start w:val="9"/>
    </w:lvl>
  </w:abstractNum>
  <w:abstractNum w:abstractNumId="151">
    <w:nsid w:val="72E3413A"/>
    <w:multiLevelType w:val="hybridMultilevel"/>
    <w:lvl w:ilvl="0">
      <w:lvlJc w:val="left"/>
      <w:lvlText w:val="(%1)"/>
      <w:numFmt w:val="lowerRoman"/>
      <w:start w:val="2"/>
    </w:lvl>
  </w:abstractNum>
  <w:abstractNum w:abstractNumId="152">
    <w:nsid w:val="116AE494"/>
    <w:multiLevelType w:val="hybridMultilevel"/>
    <w:lvl w:ilvl="0">
      <w:lvlJc w:val="left"/>
      <w:lvlText w:val="%1"/>
      <w:numFmt w:val="decimal"/>
      <w:start w:val="1"/>
    </w:lvl>
    <w:lvl w:ilvl="1">
      <w:lvlJc w:val="left"/>
      <w:lvlText w:val="(%2)"/>
      <w:numFmt w:val="lowerLetter"/>
      <w:start w:val="3"/>
    </w:lvl>
  </w:abstractNum>
  <w:abstractNum w:abstractNumId="153">
    <w:nsid w:val="3494B2FB"/>
    <w:multiLevelType w:val="hybridMultilevel"/>
    <w:lvl w:ilvl="0">
      <w:lvlJc w:val="left"/>
      <w:lvlText w:val="%1."/>
      <w:numFmt w:val="decimal"/>
      <w:start w:val="22"/>
    </w:lvl>
    <w:lvl w:ilvl="1">
      <w:lvlJc w:val="left"/>
      <w:lvlText w:val="%2"/>
      <w:numFmt w:val="lowerLetter"/>
      <w:start w:val="1"/>
    </w:lvl>
  </w:abstractNum>
  <w:abstractNum w:abstractNumId="154">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64429599"/>
    <w:multiLevelType w:val="hybridMultilevel"/>
    <w:lvl w:ilvl="0">
      <w:lvlJc w:val="left"/>
      <w:lvlText w:val="%1"/>
      <w:numFmt w:val="decimal"/>
      <w:start w:val="1"/>
    </w:lvl>
    <w:lvl w:ilvl="1">
      <w:lvlJc w:val="left"/>
      <w:lvlText w:val="(%2)"/>
      <w:numFmt w:val="lowerLetter"/>
      <w:start w:val="2"/>
    </w:lvl>
  </w:abstractNum>
  <w:abstractNum w:abstractNumId="156">
    <w:nsid w:val="631F1690"/>
    <w:multiLevelType w:val="hybridMultilevel"/>
    <w:lvl w:ilvl="0">
      <w:lvlJc w:val="left"/>
      <w:lvlText w:val="(%1)"/>
      <w:numFmt w:val="decimal"/>
      <w:start w:val="180"/>
    </w:lvl>
    <w:lvl w:ilvl="1">
      <w:lvlJc w:val="left"/>
      <w:lvlText w:val="%2"/>
      <w:numFmt w:val="lowerLetter"/>
      <w:start w:val="1"/>
    </w:lvl>
  </w:abstractNum>
  <w:abstractNum w:abstractNumId="157">
    <w:nsid w:val="25973E3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3"/>
    </w:lvl>
    <w:lvl w:ilvl="3">
      <w:lvlJc w:val="left"/>
      <w:lvlText w:val="(%4)"/>
      <w:numFmt w:val="lowerRoman"/>
      <w:start w:val="1"/>
    </w:lvl>
  </w:abstractNum>
  <w:abstractNum w:abstractNumId="158">
    <w:nsid w:val="EAD6F57"/>
    <w:multiLevelType w:val="hybridMultilevel"/>
    <w:lvl w:ilvl="0">
      <w:lvlJc w:val="left"/>
      <w:lvlText w:val="(%1)"/>
      <w:numFmt w:val="lowerRoman"/>
      <w:start w:val="2"/>
    </w:lvl>
    <w:lvl w:ilvl="1">
      <w:lvlJc w:val="left"/>
      <w:lvlText w:val="(%2)"/>
      <w:numFmt w:val="lowerRoman"/>
      <w:start w:val="4"/>
    </w:lvl>
    <w:lvl w:ilvl="2">
      <w:lvlJc w:val="left"/>
      <w:lvlText w:val="%3"/>
      <w:numFmt w:val="lowerLetter"/>
      <w:start w:val="1"/>
    </w:lvl>
    <w:lvl w:ilvl="3">
      <w:lvlJc w:val="left"/>
      <w:lvlText w:val="%4"/>
      <w:numFmt w:val="lowerRoman"/>
      <w:start w:val="1"/>
    </w:lvl>
  </w:abstractNum>
  <w:abstractNum w:abstractNumId="159">
    <w:nsid w:val="6EC9D844"/>
    <w:multiLevelType w:val="hybridMultilevel"/>
    <w:lvl w:ilvl="0">
      <w:lvlJc w:val="left"/>
      <w:lvlText w:val="(%1)"/>
      <w:numFmt w:val="lowerLetter"/>
      <w:start w:val="4"/>
    </w:lvl>
  </w:abstractNum>
  <w:abstractNum w:abstractNumId="160">
    <w:nsid w:val="5C49EAEE"/>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61">
    <w:nsid w:val="64AF49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2">
    <w:nsid w:val="397C46BC"/>
    <w:multiLevelType w:val="hybridMultilevel"/>
    <w:lvl w:ilvl="0">
      <w:lvlJc w:val="left"/>
      <w:lvlText w:val="(%1)"/>
      <w:numFmt w:val="lowerLetter"/>
      <w:start w:val="3"/>
    </w:lvl>
  </w:abstractNum>
  <w:abstractNum w:abstractNumId="163">
    <w:nsid w:val="7E448DE9"/>
    <w:multiLevelType w:val="hybridMultilevel"/>
    <w:lvl w:ilvl="0">
      <w:lvlJc w:val="left"/>
      <w:lvlText w:val="(%1)"/>
      <w:numFmt w:val="lowerLetter"/>
      <w:start w:val="4"/>
    </w:lvl>
  </w:abstractNum>
  <w:abstractNum w:abstractNumId="164">
    <w:nsid w:val="5A9CC3E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5">
    <w:nsid w:val="1AFE3625"/>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66">
    <w:nsid w:val="3CA88EC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7">
    <w:nsid w:val="6EBE420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8">
    <w:nsid w:val="C058DF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169">
    <w:nsid w:val="CBE5BE9"/>
    <w:multiLevelType w:val="hybridMultilevel"/>
    <w:lvl w:ilvl="0">
      <w:lvlJc w:val="left"/>
      <w:lvlText w:val="%1."/>
      <w:numFmt w:val="decimal"/>
      <w:start w:val="10"/>
    </w:lvl>
  </w:abstractNum>
  <w:abstractNum w:abstractNumId="170">
    <w:nsid w:val="3102BBE2"/>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9"/>
    </w:lvl>
  </w:abstractNum>
  <w:abstractNum w:abstractNumId="171">
    <w:nsid w:val="26A02C5E"/>
    <w:multiLevelType w:val="hybridMultilevel"/>
    <w:lvl w:ilvl="0">
      <w:lvlJc w:val="left"/>
      <w:lvlText w:val="(%1)"/>
      <w:numFmt w:val="lowerRoman"/>
      <w:start w:val="2"/>
    </w:lvl>
    <w:lvl w:ilvl="1">
      <w:lvlJc w:val="left"/>
      <w:lvlText w:val="(%2)"/>
      <w:numFmt w:val="lowerRoman"/>
      <w:start w:val="3"/>
    </w:lvl>
  </w:abstractNum>
  <w:abstractNum w:abstractNumId="172">
    <w:nsid w:val="541C8153"/>
    <w:multiLevelType w:val="hybridMultilevel"/>
    <w:lvl w:ilvl="0">
      <w:lvlJc w:val="left"/>
      <w:lvlText w:val="%1"/>
      <w:numFmt w:val="decimal"/>
      <w:start w:val="1"/>
    </w:lvl>
    <w:lvl w:ilvl="1">
      <w:lvlJc w:val="left"/>
      <w:lvlText w:val="(%2)"/>
      <w:numFmt w:val="lowerLetter"/>
      <w:start w:val="3"/>
    </w:lvl>
  </w:abstractNum>
  <w:abstractNum w:abstractNumId="173">
    <w:nsid w:val="67906F60"/>
    <w:multiLevelType w:val="hybridMultilevel"/>
    <w:lvl w:ilvl="0">
      <w:lvlJc w:val="left"/>
      <w:lvlText w:val="%1."/>
      <w:numFmt w:val="decimal"/>
      <w:start w:val="22"/>
    </w:lvl>
    <w:lvl w:ilvl="1">
      <w:lvlJc w:val="left"/>
      <w:lvlText w:val="%2"/>
      <w:numFmt w:val="lowerLetter"/>
      <w:start w:val="1"/>
    </w:lvl>
  </w:abstractNum>
  <w:abstractNum w:abstractNumId="174">
    <w:nsid w:val="10DB9DAA"/>
    <w:multiLevelType w:val="hybridMultilevel"/>
    <w:lvl w:ilvl="0">
      <w:lvlJc w:val="left"/>
      <w:lvlText w:val="%1."/>
      <w:numFmt w:val="decimal"/>
      <w:start w:val="1"/>
    </w:lvl>
    <w:lvl w:ilvl="1">
      <w:lvlJc w:val="left"/>
      <w:lvlText w:val="(%2)"/>
      <w:numFmt w:val="lowerLetter"/>
      <w:start w:val="1"/>
    </w:lvl>
  </w:abstractNum>
  <w:abstractNum w:abstractNumId="175">
    <w:nsid w:val="697D2D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6">
    <w:nsid w:val="6D68AB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77">
    <w:nsid w:val="3A966CD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78">
    <w:nsid w:val="63F37E85"/>
    <w:multiLevelType w:val="hybridMultilevel"/>
    <w:lvl w:ilvl="0">
      <w:lvlJc w:val="left"/>
      <w:lvlText w:val="(%1)"/>
      <w:numFmt w:val="upperLetter"/>
      <w:start w:val="1"/>
    </w:lvl>
  </w:abstractNum>
  <w:abstractNum w:abstractNumId="179">
    <w:nsid w:val="5895F5FA"/>
    <w:multiLevelType w:val="hybridMultilevel"/>
    <w:lvl w:ilvl="0">
      <w:lvlJc w:val="left"/>
      <w:lvlText w:val="(%1)"/>
      <w:numFmt w:val="lowerRoman"/>
      <w:start w:val="2"/>
    </w:lvl>
  </w:abstractNum>
  <w:abstractNum w:abstractNumId="180">
    <w:nsid w:val="38A5D05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1">
    <w:nsid w:val="F3F09D8"/>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182">
    <w:nsid w:val="4B793735"/>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abstractNum>
  <w:abstractNum w:abstractNumId="183">
    <w:nsid w:val="4A10B4E8"/>
    <w:multiLevelType w:val="hybridMultilevel"/>
    <w:lvl w:ilvl="0">
      <w:lvlJc w:val="left"/>
      <w:lvlText w:val="(%1)"/>
      <w:numFmt w:val="upperLetter"/>
      <w:start w:val="1"/>
    </w:lvl>
    <w:lvl w:ilvl="1">
      <w:lvlJc w:val="left"/>
      <w:lvlText w:val="(%2)"/>
      <w:numFmt w:val="lowerLetter"/>
      <w:start w:val="2"/>
    </w:lvl>
  </w:abstractNum>
  <w:abstractNum w:abstractNumId="184">
    <w:nsid w:val="43D3BCD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85">
    <w:nsid w:val="4C2A71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6">
    <w:nsid w:val="2E534A8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87">
    <w:nsid w:val="26F2D364"/>
    <w:multiLevelType w:val="hybridMultilevel"/>
    <w:lvl w:ilvl="0">
      <w:lvlJc w:val="left"/>
      <w:lvlText w:val="%1"/>
      <w:numFmt w:val="decimal"/>
      <w:start w:val="1"/>
    </w:lvl>
    <w:lvl w:ilvl="1">
      <w:lvlJc w:val="left"/>
      <w:lvlText w:val="(%2)"/>
      <w:numFmt w:val="lowerLetter"/>
      <w:start w:val="3"/>
    </w:lvl>
  </w:abstractNum>
  <w:abstractNum w:abstractNumId="188">
    <w:nsid w:val="71C1AF98"/>
    <w:multiLevelType w:val="hybridMultilevel"/>
    <w:lvl w:ilvl="0">
      <w:lvlJc w:val="left"/>
      <w:lvlText w:val="%1."/>
      <w:numFmt w:val="decimal"/>
      <w:start w:val="10"/>
    </w:lvl>
    <w:lvl w:ilvl="1">
      <w:lvlJc w:val="left"/>
      <w:lvlText w:val="%2"/>
      <w:numFmt w:val="lowerLetter"/>
      <w:start w:val="1"/>
    </w:lvl>
  </w:abstractNum>
  <w:abstractNum w:abstractNumId="189">
    <w:nsid w:val="3D00B9D9"/>
    <w:multiLevelType w:val="hybridMultilevel"/>
    <w:lvl w:ilvl="0">
      <w:lvlJc w:val="left"/>
      <w:lvlText w:val="%1."/>
      <w:numFmt w:val="decimal"/>
      <w:start w:val="15"/>
    </w:lvl>
    <w:lvl w:ilvl="1">
      <w:lvlJc w:val="left"/>
      <w:lvlText w:val="(%2)"/>
      <w:numFmt w:val="lowerLetter"/>
      <w:start w:val="1"/>
    </w:lvl>
  </w:abstractNum>
  <w:abstractNum w:abstractNumId="190">
    <w:nsid w:val="15BCABA8"/>
    <w:multiLevelType w:val="hybridMultilevel"/>
    <w:lvl w:ilvl="0">
      <w:lvlJc w:val="left"/>
      <w:lvlText w:val="(%1)"/>
      <w:numFmt w:val="lowerLetter"/>
      <w:start w:val="2"/>
    </w:lvl>
    <w:lvl w:ilvl="1">
      <w:lvlJc w:val="left"/>
      <w:lvlText w:val="(%2)"/>
      <w:numFmt w:val="lowerRoman"/>
      <w:start w:val="1"/>
    </w:lvl>
  </w:abstractNum>
  <w:abstractNum w:abstractNumId="191">
    <w:nsid w:val="4E0B9A87"/>
    <w:multiLevelType w:val="hybridMultilevel"/>
    <w:lvl w:ilvl="0">
      <w:lvlJc w:val="left"/>
      <w:lvlText w:val="%1"/>
      <w:numFmt w:val="decimal"/>
      <w:start w:val="1"/>
    </w:lvl>
    <w:lvl w:ilvl="1">
      <w:lvlJc w:val="left"/>
      <w:lvlText w:val="(%2)"/>
      <w:numFmt w:val="lowerLetter"/>
      <w:start w:val="3"/>
    </w:lvl>
  </w:abstractNum>
  <w:abstractNum w:abstractNumId="192">
    <w:nsid w:val="434BAE75"/>
    <w:multiLevelType w:val="hybridMultilevel"/>
    <w:lvl w:ilvl="0">
      <w:lvlJc w:val="left"/>
      <w:lvlText w:val="%1."/>
      <w:numFmt w:val="decimal"/>
      <w:start w:val="22"/>
    </w:lvl>
    <w:lvl w:ilvl="1">
      <w:lvlJc w:val="left"/>
      <w:lvlText w:val="%2"/>
      <w:numFmt w:val="lowerLetter"/>
      <w:start w:val="1"/>
    </w:lvl>
  </w:abstractNum>
  <w:abstractNum w:abstractNumId="193">
    <w:nsid w:val="4F38F265"/>
    <w:multiLevelType w:val="hybridMultilevel"/>
    <w:lvl w:ilvl="0">
      <w:lvlJc w:val="left"/>
      <w:lvlText w:val="%1."/>
      <w:numFmt w:val="decimal"/>
      <w:start w:val="1"/>
    </w:lvl>
  </w:abstractNum>
  <w:abstractNum w:abstractNumId="194">
    <w:nsid w:val="4C502870"/>
    <w:multiLevelType w:val="hybridMultilevel"/>
    <w:lvl w:ilvl="0">
      <w:lvlJc w:val="left"/>
      <w:lvlText w:val="(%1)"/>
      <w:numFmt w:val="lowerLetter"/>
      <w:start w:val="1"/>
    </w:lvl>
  </w:abstractNum>
  <w:abstractNum w:abstractNumId="195">
    <w:nsid w:val="1DE8725A"/>
    <w:multiLevelType w:val="hybridMultilevel"/>
    <w:lvl w:ilvl="0">
      <w:lvlJc w:val="left"/>
      <w:lvlText w:val="(%1)"/>
      <w:numFmt w:val="lowerLetter"/>
      <w:start w:val="2"/>
    </w:lvl>
  </w:abstractNum>
  <w:abstractNum w:abstractNumId="196">
    <w:nsid w:val="6A37288A"/>
    <w:multiLevelType w:val="hybridMultilevel"/>
    <w:lvl w:ilvl="0">
      <w:lvlJc w:val="left"/>
      <w:lvlText w:val="(%1)"/>
      <w:numFmt w:val="lowerLetter"/>
      <w:start w:val="3"/>
    </w:lvl>
  </w:abstractNum>
  <w:abstractNum w:abstractNumId="197">
    <w:nsid w:val="8F8B73F"/>
    <w:multiLevelType w:val="hybridMultilevel"/>
    <w:lvl w:ilvl="0">
      <w:lvlJc w:val="left"/>
      <w:lvlText w:val="(%1)"/>
      <w:numFmt w:val="lowerLetter"/>
      <w:start w:val="4"/>
    </w:lvl>
  </w:abstractNum>
  <w:abstractNum w:abstractNumId="198">
    <w:nsid w:val="CA6B462"/>
    <w:multiLevelType w:val="hybridMultilevel"/>
    <w:lvl w:ilvl="0">
      <w:lvlJc w:val="left"/>
      <w:lvlText w:val="(%1)"/>
      <w:numFmt w:val="lowerLetter"/>
      <w:start w:val="5"/>
    </w:lvl>
  </w:abstractNum>
  <w:abstractNum w:abstractNumId="199">
    <w:nsid w:val="763CB680"/>
    <w:multiLevelType w:val="hybridMultilevel"/>
    <w:lvl w:ilvl="0">
      <w:lvlJc w:val="left"/>
      <w:lvlText w:val="(%1)"/>
      <w:numFmt w:val="lowerLetter"/>
      <w:start w:val="6"/>
    </w:lvl>
  </w:abstractNum>
  <w:abstractNum w:abstractNumId="200">
    <w:nsid w:val="15B71329"/>
    <w:multiLevelType w:val="hybridMultilevel"/>
    <w:lvl w:ilvl="0">
      <w:lvlJc w:val="left"/>
      <w:lvlText w:val="(%1)"/>
      <w:numFmt w:val="lowerLetter"/>
      <w:start w:val="7"/>
    </w:lvl>
  </w:abstractNum>
  <w:abstractNum w:abstractNumId="201">
    <w:nsid w:val="3DA97044"/>
    <w:multiLevelType w:val="hybridMultilevel"/>
    <w:lvl w:ilvl="0">
      <w:lvlJc w:val="left"/>
      <w:lvlText w:val="(%1)"/>
      <w:numFmt w:val="lowerLetter"/>
      <w:start w:val="8"/>
    </w:lvl>
    <w:lvl w:ilvl="1">
      <w:lvlJc w:val="left"/>
      <w:lvlText w:val="(%2)"/>
      <w:numFmt w:val="lowerLetter"/>
      <w:start w:val="5"/>
    </w:lvl>
  </w:abstractNum>
  <w:abstractNum w:abstractNumId="202">
    <w:nsid w:val="1CDCE2DE"/>
    <w:multiLevelType w:val="hybridMultilevel"/>
    <w:lvl w:ilvl="0">
      <w:lvlJc w:val="left"/>
      <w:lvlText w:val="(%1)"/>
      <w:numFmt w:val="lowerLetter"/>
      <w:start w:val="1"/>
    </w:lvl>
    <w:lvl w:ilvl="1">
      <w:lvlJc w:val="left"/>
      <w:lvlText w:val="(%2)"/>
      <w:numFmt w:val="lowerRoman"/>
      <w:start w:val="1"/>
    </w:lvl>
  </w:abstractNum>
  <w:abstractNum w:abstractNumId="203">
    <w:nsid w:val="69D3947C"/>
    <w:multiLevelType w:val="hybridMultilevel"/>
    <w:lvl w:ilvl="0">
      <w:lvlJc w:val="left"/>
      <w:lvlText w:val="%1"/>
      <w:numFmt w:val="lowerLetter"/>
      <w:start w:val="1"/>
    </w:lvl>
    <w:lvl w:ilvl="1">
      <w:lvlJc w:val="left"/>
      <w:lvlText w:val="(%2)"/>
      <w:numFmt w:val="lowerRoman"/>
      <w:start w:val="3"/>
    </w:lvl>
  </w:abstractNum>
  <w:abstractNum w:abstractNumId="204">
    <w:nsid w:val="2539DFA5"/>
    <w:multiLevelType w:val="hybridMultilevel"/>
    <w:lvl w:ilvl="0">
      <w:lvlJc w:val="left"/>
      <w:lvlText w:val="(%1)"/>
      <w:numFmt w:val="lowerLetter"/>
      <w:start w:val="2"/>
    </w:lvl>
    <w:lvl w:ilvl="1">
      <w:lvlJc w:val="left"/>
      <w:lvlText w:val="%2"/>
      <w:numFmt w:val="lowerRoman"/>
      <w:start w:val="1"/>
    </w:lvl>
  </w:abstractNum>
  <w:abstractNum w:abstractNumId="205">
    <w:nsid w:val="2DB88089"/>
    <w:multiLevelType w:val="hybridMultilevel"/>
    <w:lvl w:ilvl="0">
      <w:lvlJc w:val="left"/>
      <w:lvlText w:val="(%1)"/>
      <w:numFmt w:val="lowerLetter"/>
      <w:start w:val="25"/>
    </w:lvl>
    <w:lvl w:ilvl="1">
      <w:lvlJc w:val="left"/>
      <w:lvlText w:val="(%2)"/>
      <w:numFmt w:val="lowerRoman"/>
      <w:start w:val="1"/>
    </w:lvl>
  </w:abstractNum>
  <w:abstractNum w:abstractNumId="206">
    <w:nsid w:val="706B674E"/>
    <w:multiLevelType w:val="hybridMultilevel"/>
    <w:lvl w:ilvl="0">
      <w:lvlJc w:val="left"/>
      <w:lvlText w:val="%1"/>
      <w:numFmt w:val="lowerLetter"/>
      <w:start w:val="1"/>
    </w:lvl>
    <w:lvl w:ilvl="1">
      <w:lvlJc w:val="left"/>
      <w:lvlText w:val="(%2)"/>
      <w:numFmt w:val="lowerRoman"/>
      <w:start w:val="3"/>
    </w:lvl>
  </w:abstractNum>
  <w:abstractNum w:abstractNumId="207">
    <w:nsid w:val="2C106A57"/>
    <w:multiLevelType w:val="hybridMultilevel"/>
    <w:lvl w:ilvl="0">
      <w:lvlJc w:val="left"/>
      <w:lvlText w:val="(%1)"/>
      <w:numFmt w:val="lowerLetter"/>
      <w:start w:val="3"/>
    </w:lvl>
    <w:lvl w:ilvl="1">
      <w:lvlJc w:val="left"/>
      <w:lvlText w:val="%2"/>
      <w:numFmt w:val="lowerRoman"/>
      <w:start w:val="1"/>
    </w:lvl>
  </w:abstractNum>
  <w:abstractNum w:abstractNumId="208">
    <w:nsid w:val="684EED59"/>
    <w:multiLevelType w:val="hybridMultilevel"/>
    <w:lvl w:ilvl="0">
      <w:lvlJc w:val="left"/>
      <w:lvlText w:val="%1"/>
      <w:numFmt w:val="decimal"/>
      <w:start w:val="1"/>
    </w:lvl>
    <w:lvl w:ilvl="1">
      <w:lvlJc w:val="left"/>
      <w:lvlText w:val="(%2)"/>
      <w:numFmt w:val="lowerLetter"/>
      <w:start w:val="10"/>
    </w:lvl>
  </w:abstractNum>
  <w:abstractNum w:abstractNumId="209">
    <w:nsid w:val="545EE5D3"/>
    <w:multiLevelType w:val="hybridMultilevel"/>
    <w:lvl w:ilvl="0">
      <w:lvlJc w:val="left"/>
      <w:lvlText w:val="%1."/>
      <w:numFmt w:val="decimal"/>
      <w:start w:val="2"/>
    </w:lvl>
    <w:lvl w:ilvl="1">
      <w:lvlJc w:val="left"/>
      <w:lvlText w:val="(%2)"/>
      <w:numFmt w:val="lowerLetter"/>
      <w:start w:val="1"/>
    </w:lvl>
  </w:abstractNum>
  <w:abstractNum w:abstractNumId="210">
    <w:nsid w:val="4A6605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11">
    <w:nsid w:val="20F4BDA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12">
    <w:nsid w:val="639DEFAC"/>
    <w:multiLevelType w:val="hybridMultilevel"/>
    <w:lvl w:ilvl="0">
      <w:lvlJc w:val="left"/>
      <w:lvlText w:val="%1."/>
      <w:numFmt w:val="decimal"/>
      <w:start w:val="4"/>
    </w:lvl>
    <w:lvl w:ilvl="1">
      <w:lvlJc w:val="left"/>
      <w:lvlText w:val="%2."/>
      <w:numFmt w:val="lowerLetter"/>
      <w:start w:val="1"/>
    </w:lvl>
  </w:abstractNum>
  <w:abstractNum w:abstractNumId="213">
    <w:nsid w:val="501F9786"/>
    <w:multiLevelType w:val="hybridMultilevel"/>
    <w:lvl w:ilvl="0">
      <w:lvlJc w:val="left"/>
      <w:lvlText w:val="%1"/>
      <w:numFmt w:val="lowerLetter"/>
      <w:start w:val="1"/>
    </w:lvl>
    <w:lvl w:ilvl="1">
      <w:lvlJc w:val="left"/>
      <w:lvlText w:val="%2."/>
      <w:numFmt w:val="lowerLetter"/>
      <w:start w:val="2"/>
    </w:lvl>
  </w:abstractNum>
  <w:abstractNum w:abstractNumId="214">
    <w:nsid w:val="6B057295"/>
    <w:multiLevelType w:val="hybridMultilevel"/>
    <w:lvl w:ilvl="0">
      <w:lvlJc w:val="left"/>
      <w:lvlText w:val="(%1)"/>
      <w:numFmt w:val="lowerLetter"/>
      <w:start w:val="1"/>
    </w:lvl>
    <w:lvl w:ilvl="1">
      <w:lvlJc w:val="left"/>
      <w:lvlText w:val="%2"/>
      <w:numFmt w:val="lowerLetter"/>
      <w:start w:val="1"/>
    </w:lvl>
  </w:abstractNum>
  <w:abstractNum w:abstractNumId="215">
    <w:nsid w:val="2771AC80"/>
    <w:multiLevelType w:val="hybridMultilevel"/>
    <w:lvl w:ilvl="0">
      <w:lvlJc w:val="left"/>
      <w:lvlText w:val="%1."/>
      <w:numFmt w:val="decimal"/>
      <w:start w:val="6"/>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lvl w:ilvl="1">
      <w:lvlJc w:val="left"/>
      <w:lvlText w:val="%2."/>
      <w:numFmt w:val="lowerLetter"/>
      <w:start w:val="1"/>
    </w:lvl>
  </w:abstractNum>
  <w:abstractNum w:abstractNumId="218">
    <w:nsid w:val="4E647FE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37" Type="http://schemas.openxmlformats.org/officeDocument/2006/relationships/image" Target="media/image6.png"/><Relationship Id="rId38" Type="http://schemas.openxmlformats.org/officeDocument/2006/relationships/image" Target="media/image7.png"/><Relationship Id="rId39" Type="http://schemas.openxmlformats.org/officeDocument/2006/relationships/image" Target="media/image8.pn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jpe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image" Target="media/image55.png"/><Relationship Id="rId87" Type="http://schemas.openxmlformats.org/officeDocument/2006/relationships/image" Target="media/image56.png"/><Relationship Id="rId88" Type="http://schemas.openxmlformats.org/officeDocument/2006/relationships/image" Target="media/image57.png"/><Relationship Id="rId89" Type="http://schemas.openxmlformats.org/officeDocument/2006/relationships/image" Target="media/image58.png"/><Relationship Id="rId90" Type="http://schemas.openxmlformats.org/officeDocument/2006/relationships/image" Target="media/image59.png"/><Relationship Id="rId91" Type="http://schemas.openxmlformats.org/officeDocument/2006/relationships/image" Target="media/image60.png"/><Relationship Id="rId92" Type="http://schemas.openxmlformats.org/officeDocument/2006/relationships/image" Target="media/image61.png"/><Relationship Id="rId93" Type="http://schemas.openxmlformats.org/officeDocument/2006/relationships/image" Target="media/image62.png"/><Relationship Id="rId94" Type="http://schemas.openxmlformats.org/officeDocument/2006/relationships/image" Target="media/image63.png"/><Relationship Id="rId95" Type="http://schemas.openxmlformats.org/officeDocument/2006/relationships/image" Target="media/image64.png"/><Relationship Id="rId96" Type="http://schemas.openxmlformats.org/officeDocument/2006/relationships/image" Target="media/image65.png"/><Relationship Id="rId97" Type="http://schemas.openxmlformats.org/officeDocument/2006/relationships/image" Target="media/image66.png"/><Relationship Id="rId98"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3" Type="http://schemas.openxmlformats.org/officeDocument/2006/relationships/hyperlink" Target="http://www.sec.gov/Archives/edgar/data/789460/000119312505018689/dex992.htm" TargetMode="External"/><Relationship Id="rId14" Type="http://schemas.openxmlformats.org/officeDocument/2006/relationships/hyperlink" Target="http://www.sec.gov/Archives/edgar/data/789460/000115752309008255/a6106663ex3_1.txt" TargetMode="External"/><Relationship Id="rId15" Type="http://schemas.openxmlformats.org/officeDocument/2006/relationships/hyperlink" Target="http://www.sec.gov/Archives/edgar/data/789460/000115752311005202/a6842908_ex31.htm" TargetMode="External"/><Relationship Id="rId16" Type="http://schemas.openxmlformats.org/officeDocument/2006/relationships/hyperlink" Target="http://www.sec.gov/Archives/edgar/data/789460/000119312508061911/dex102.htm" TargetMode="External"/><Relationship Id="rId17" Type="http://schemas.openxmlformats.org/officeDocument/2006/relationships/hyperlink" Target="http://www.sec.gov/Archives/edgar/data/789460/000115752311005202/a6842908_ex101.htm" TargetMode="External"/><Relationship Id="rId18" Type="http://schemas.openxmlformats.org/officeDocument/2006/relationships/hyperlink" Target="http://www.sec.gov/Archives/edgar/data/789460/000115752312001808/a50230904ex10_1.htm" TargetMode="External"/><Relationship Id="rId19" Type="http://schemas.openxmlformats.org/officeDocument/2006/relationships/hyperlink" Target="http://www.sec.gov/Archives/edgar/data/789460/000110465914027167/a14-10353_1ex10d2.htm" TargetMode="External"/><Relationship Id="rId20" Type="http://schemas.openxmlformats.org/officeDocument/2006/relationships/hyperlink" Target="http://www.sec.gov/Archives/edgar/data/789460/000119312507081302/dex102.htm" TargetMode="External"/><Relationship Id="rId21" Type="http://schemas.openxmlformats.org/officeDocument/2006/relationships/hyperlink" Target="http://www.sec.gov/Archives/edgar/data/789460/000162828017007371/a2017q2ex101.htm" TargetMode="External"/><Relationship Id="rId22" Type="http://schemas.openxmlformats.org/officeDocument/2006/relationships/hyperlink" Target="http://www.sec.gov/Archives/edgar/data/789460/000119312509088539/ddef14a.htm" TargetMode="External"/><Relationship Id="rId23" Type="http://schemas.openxmlformats.org/officeDocument/2006/relationships/hyperlink" Target="http://www.sec.gov/Archives/edgar/data/789460/000110465916125102/a16-12742_1ex10d1.htm" TargetMode="External"/><Relationship Id="rId24" Type="http://schemas.openxmlformats.org/officeDocument/2006/relationships/hyperlink" Target="http://www.sec.gov/Archives/edgar/data/789460/000155837016003246/int-20151231ex1024bff55.htm" TargetMode="External"/><Relationship Id="rId25" Type="http://schemas.openxmlformats.org/officeDocument/2006/relationships/hyperlink" Target="http://www.sec.gov/Archives/edgar/data/789460/000155837015001275/int-20150630ex1015b0497.htm" TargetMode="External"/><Relationship Id="rId26" Type="http://schemas.openxmlformats.org/officeDocument/2006/relationships/hyperlink" Target="http://www.sec.gov/Archives/edgar/data/789460/000110465914054975/a14-13976_1ex10d1.htm" TargetMode="External"/><Relationship Id="rId27" Type="http://schemas.openxmlformats.org/officeDocument/2006/relationships/hyperlink" Target="http://www.sec.gov/Archives/edgar/data/789460/000162828017001482/a2016q4ex1015.htm" TargetMode="External"/><Relationship Id="rId28" Type="http://schemas.openxmlformats.org/officeDocument/2006/relationships/hyperlink" Target="http://www.sec.gov/Archives/edgar/data/789460/000110465914054975/a14-13976_1ex10d2.htm" TargetMode="External"/><Relationship Id="rId29" Type="http://schemas.openxmlformats.org/officeDocument/2006/relationships/hyperlink" Target="http://www.sec.gov/Archives/edgar/data/789460/000162828017001482/a2016q4ex1018.htm" TargetMode="External"/><Relationship Id="rId30" Type="http://schemas.openxmlformats.org/officeDocument/2006/relationships/hyperlink" Target="http://www.sec.gov/Archives/edgar/data/789460/000162828017007371/a2017q2ex103.htm" TargetMode="External"/><Relationship Id="rId31" Type="http://schemas.openxmlformats.org/officeDocument/2006/relationships/hyperlink" Target="http://www.sec.gov/Archives/edgar/data/789460/000162828017007371/a2017q2ex104.htm" TargetMode="External"/><Relationship Id="rId32" Type="http://schemas.openxmlformats.org/officeDocument/2006/relationships/hyperlink" Target="http://www.sec.gov/Archives/edgar/data/789460/000162828017007371/a2017q2ex105.htm" TargetMode="External"/><Relationship Id="rId33" Type="http://schemas.openxmlformats.org/officeDocument/2006/relationships/hyperlink" Target="http://www.sec.gov/Archives/edgar/data/789460/000110465913075419/a13-22173_1ex10d1.htm" TargetMode="External"/><Relationship Id="rId34" Type="http://schemas.openxmlformats.org/officeDocument/2006/relationships/hyperlink" Target="http://www.sec.gov/Archives/edgar/data/789460/000155837015000030/int-20150130ex10147ad65.htm" TargetMode="External"/><Relationship Id="rId35" Type="http://schemas.openxmlformats.org/officeDocument/2006/relationships/hyperlink" Target="http://www.sec.gov/Archives/edgar/data/789460/000162828016020385/amendmentno2.htm" TargetMode="External"/><Relationship Id="rId36" Type="http://schemas.openxmlformats.org/officeDocument/2006/relationships/hyperlink" Target="http://www.sec.gov/Archives/edgar/data/789460/000162828017007371/a2017q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2019-12-29T01:09:21Z</dcterms:created>
  <dcterms:modified xsi:type="dcterms:W3CDTF">2019-12-29T01:09:21Z</dcterms:modified>
</cp:coreProperties>
</file>